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E9CE7">
      <w:pPr>
        <w:keepNext/>
        <w:keepLines/>
        <w:widowControl w:val="0"/>
        <w:numPr>
          <w:ilvl w:val="0"/>
          <w:numId w:val="1"/>
        </w:numPr>
        <w:spacing w:before="260" w:after="260" w:line="420" w:lineRule="exact"/>
        <w:jc w:val="center"/>
        <w:outlineLvl w:val="0"/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2"/>
          <w:sz w:val="36"/>
          <w:szCs w:val="36"/>
          <w:highlight w:val="none"/>
          <w:lang w:val="en-US" w:eastAsia="zh-CN" w:bidi="ar-SA"/>
        </w:rPr>
        <w:t xml:space="preserve">  </w:t>
      </w:r>
      <w:bookmarkStart w:id="0" w:name="_Toc29159"/>
      <w:r>
        <w:rPr>
          <w:rFonts w:hint="eastAsia" w:ascii="仿宋" w:hAnsi="仿宋" w:eastAsia="仿宋" w:cs="仿宋"/>
          <w:b/>
          <w:bCs/>
          <w:color w:val="auto"/>
          <w:kern w:val="2"/>
          <w:sz w:val="36"/>
          <w:szCs w:val="36"/>
          <w:highlight w:val="none"/>
          <w:lang w:val="en-US" w:eastAsia="zh-CN" w:bidi="ar-SA"/>
        </w:rPr>
        <w:t>采购需求</w:t>
      </w:r>
      <w:bookmarkEnd w:id="0"/>
    </w:p>
    <w:p w14:paraId="7DDBFA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left="0" w:leftChars="0" w:firstLine="562" w:firstLineChars="200"/>
        <w:jc w:val="left"/>
        <w:textAlignment w:val="baseline"/>
        <w:outlineLvl w:val="0"/>
        <w:rPr>
          <w:rFonts w:hint="default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</w:pPr>
      <w:bookmarkStart w:id="1" w:name="_Toc29292"/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一、技术要求</w:t>
      </w:r>
      <w:bookmarkEnd w:id="1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9"/>
        <w:gridCol w:w="1360"/>
        <w:gridCol w:w="1393"/>
      </w:tblGrid>
      <w:tr w14:paraId="5D47F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936" w:type="dxa"/>
            <w:vAlign w:val="center"/>
          </w:tcPr>
          <w:p w14:paraId="167241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default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bookmarkStart w:id="2" w:name="_Toc19058"/>
            <w:r>
              <w:rPr>
                <w:rFonts w:hint="eastAsia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标的名称</w:t>
            </w:r>
          </w:p>
        </w:tc>
        <w:tc>
          <w:tcPr>
            <w:tcW w:w="1387" w:type="dxa"/>
            <w:vAlign w:val="center"/>
          </w:tcPr>
          <w:p w14:paraId="336CEF9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default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数量</w:t>
            </w:r>
          </w:p>
        </w:tc>
        <w:tc>
          <w:tcPr>
            <w:tcW w:w="1421" w:type="dxa"/>
            <w:vAlign w:val="center"/>
          </w:tcPr>
          <w:p w14:paraId="38182D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default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单位</w:t>
            </w:r>
          </w:p>
        </w:tc>
      </w:tr>
      <w:tr w14:paraId="6D750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936" w:type="dxa"/>
            <w:vAlign w:val="center"/>
          </w:tcPr>
          <w:p w14:paraId="49EA0A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江西省新余市高铁新区数据产业发展研究</w:t>
            </w:r>
          </w:p>
        </w:tc>
        <w:tc>
          <w:tcPr>
            <w:tcW w:w="1387" w:type="dxa"/>
            <w:vAlign w:val="center"/>
          </w:tcPr>
          <w:p w14:paraId="57F9B74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1</w:t>
            </w:r>
          </w:p>
        </w:tc>
        <w:tc>
          <w:tcPr>
            <w:tcW w:w="1421" w:type="dxa"/>
            <w:vAlign w:val="center"/>
          </w:tcPr>
          <w:p w14:paraId="5B95E55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8"/>
                <w:szCs w:val="28"/>
                <w:highlight w:val="none"/>
                <w:lang w:val="en-US" w:eastAsia="zh-CN" w:bidi="zh-CN"/>
              </w:rPr>
              <w:t>项</w:t>
            </w:r>
          </w:p>
        </w:tc>
      </w:tr>
    </w:tbl>
    <w:p w14:paraId="50AB3EE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（一）工作任务</w:t>
      </w:r>
    </w:p>
    <w:p w14:paraId="1DF12FF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结合国家及省级数据产业政策，立足新余市高铁新区现有数字经济产业基础，围绕“补短板、强优势”完善产业链条，推动数据要素与实体经济深度融合，激活新质生产力动能，明确新区数据产业发展方向及路径，完成以下研究任务：</w:t>
      </w:r>
    </w:p>
    <w:p w14:paraId="0873FF5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1. 数据产业发展环境研究：系统研究我国数据产业发展的战略意义、国家及省级相关政策环境、行业发展面临的机遇与挑战，结合新余市高铁新区“以产兴城、产城融合”的发展理念，分析政策对新区数据产业发展的支撑作用与落地路径。</w:t>
      </w:r>
    </w:p>
    <w:p w14:paraId="7AD9978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2. 数据产业发展现状分析：分析我国数据产业整体发展现状与趋势，通过深入调研，全面梳理新余市高铁新区数据产业发展基础、产业结构、企业主体、人才储备、现有优势及存在的短板，明确产业发展所处阶段。</w:t>
      </w:r>
    </w:p>
    <w:p w14:paraId="09ADE72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3. 数据产业发展标杆地区研究：针对国内外典型数据产业发展集聚区开展案例分析，分析其数据产业现状、发展模式等分析，为新余高铁新区数据产业发展提供经验借鉴。</w:t>
      </w:r>
    </w:p>
    <w:p w14:paraId="107DC79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4. 新余市高铁新区数据产业发展定位和政策建议：结合新区发展基础与标杆经验，明确数据产业发展定位，提出新余高铁新区数据产业发展建议、工作举措及实施路径。</w:t>
      </w:r>
    </w:p>
    <w:p w14:paraId="6745720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（二）成果要求</w:t>
      </w:r>
    </w:p>
    <w:p w14:paraId="48FE6DE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《江西省新余市高铁新区数据产业发展研究报告》和《江西省新余市高铁新区数据产业发展研究调研报告》：电子版本及纸质版本各一份，纸质版需装订规范、加盖公章。</w:t>
      </w:r>
    </w:p>
    <w:p w14:paraId="3EA04B3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注：成果需符合国家及省级数据产业相关政策要求，贴合新余市高铁新区实际，具备完整性、针对性和可操作性。</w:t>
      </w:r>
    </w:p>
    <w:p w14:paraId="08C2F44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（三）进度要求</w:t>
      </w:r>
    </w:p>
    <w:p w14:paraId="5047629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1. 项目合同签订后2个月内，完成全面调研工作，梳理调研数据与资料，形成研究调研报告初稿；</w:t>
      </w:r>
    </w:p>
    <w:p w14:paraId="14A70E9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2. 项目合同签订后3个月内，结合调研情况与标杆经验，完成研究方案初稿，形成征求意见稿；</w:t>
      </w:r>
    </w:p>
    <w:p w14:paraId="5DA1C08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3. 项目合同签订后4个月内，根据反馈意见修改完善，完成研究报告及方案终稿，提交招标人验收。</w:t>
      </w:r>
    </w:p>
    <w:p w14:paraId="79D0F68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（四）团队人员要求</w:t>
      </w:r>
    </w:p>
    <w:p w14:paraId="5A5805F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1. 项目负责人1名，具备数据产业相关研究或咨询经验，熟悉数据要素政策及区域产业发展规律；</w:t>
      </w:r>
    </w:p>
    <w:p w14:paraId="15EAC96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0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2. 项目团队其他成员不少于2人，团队成员需具备相关专业背景，拥有丰富的研究或项目实操经验，确保研究工作高质量推进。</w:t>
      </w:r>
    </w:p>
    <w:p w14:paraId="5180F7D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2" w:firstLineChars="200"/>
        <w:jc w:val="both"/>
        <w:outlineLvl w:val="0"/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二、</w:t>
      </w: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商务条件</w:t>
      </w:r>
      <w:bookmarkEnd w:id="2"/>
    </w:p>
    <w:p w14:paraId="4615F5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zh-CN" w:eastAsia="en-US" w:bidi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zh-CN" w:eastAsia="zh-CN"/>
        </w:rPr>
        <w:t>履行地点</w:t>
      </w:r>
      <w:r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zh-CN" w:eastAsia="en-US" w:bidi="zh-CN"/>
        </w:rPr>
        <w:t>：</w:t>
      </w:r>
      <w:r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en-US" w:eastAsia="en-US" w:bidi="zh-CN"/>
        </w:rPr>
        <w:t>新余市高铁新区管理委员会</w:t>
      </w:r>
      <w:r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zh-CN" w:eastAsia="en-US" w:bidi="zh-CN"/>
        </w:rPr>
        <w:t>指定地点。</w:t>
      </w:r>
    </w:p>
    <w:p w14:paraId="47EEACC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zh-CN" w:eastAsia="en-US" w:bidi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zh-CN" w:eastAsia="zh-CN"/>
        </w:rPr>
        <w:t>服务期限：</w:t>
      </w:r>
      <w:r>
        <w:rPr>
          <w:rFonts w:hint="eastAsia" w:ascii="仿宋" w:hAnsi="仿宋" w:eastAsia="仿宋" w:cs="仿宋"/>
          <w:snapToGrid w:val="0"/>
          <w:color w:val="auto"/>
          <w:kern w:val="0"/>
          <w:sz w:val="28"/>
          <w:szCs w:val="28"/>
          <w:highlight w:val="none"/>
          <w:lang w:val="zh-CN" w:eastAsia="en-US" w:bidi="zh-CN"/>
        </w:rPr>
        <w:t>自合同签订之日起4个月内，完成全部研究成果的编制，并通过招标人验收。</w:t>
      </w:r>
    </w:p>
    <w:p w14:paraId="189039A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spacing w:line="500" w:lineRule="exact"/>
        <w:ind w:firstLine="562" w:firstLineChars="200"/>
        <w:jc w:val="both"/>
        <w:outlineLvl w:val="0"/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zh-CN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3.</w:t>
      </w:r>
      <w:r>
        <w:rPr>
          <w:rFonts w:hint="eastAsia" w:ascii="仿宋" w:hAnsi="仿宋" w:eastAsia="仿宋" w:cs="仿宋"/>
          <w:b/>
          <w:bCs/>
          <w:color w:val="auto"/>
          <w:kern w:val="2"/>
          <w:sz w:val="28"/>
          <w:szCs w:val="28"/>
          <w:highlight w:val="none"/>
          <w:lang w:val="zh-CN" w:eastAsia="zh-CN" w:bidi="ar-SA"/>
        </w:rPr>
        <w:t>付款方式：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合同签订后支付合同金额的40%；提交研究方案初稿（征求意见稿）后支付合同金额的30%；研究成果终稿通过验收后支付合同金额的30%。</w:t>
      </w:r>
    </w:p>
    <w:p w14:paraId="2661B8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firstLine="562" w:firstLineChars="200"/>
        <w:jc w:val="left"/>
        <w:textAlignment w:val="baseline"/>
        <w:rPr>
          <w:rFonts w:hint="eastAsia" w:ascii="仿宋" w:hAnsi="仿宋" w:eastAsia="仿宋" w:cs="仿宋"/>
          <w:b w:val="0"/>
          <w:bCs w:val="0"/>
          <w:snapToGrid w:val="0"/>
          <w:color w:val="auto"/>
          <w:kern w:val="0"/>
          <w:sz w:val="28"/>
          <w:szCs w:val="28"/>
          <w:highlight w:val="none"/>
          <w:lang w:val="en-US" w:eastAsia="zh-CN" w:bidi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/>
        </w:rPr>
        <w:t>4.验收要求：</w:t>
      </w:r>
      <w:r>
        <w:rPr>
          <w:rFonts w:hint="eastAsia" w:ascii="仿宋" w:hAnsi="仿宋" w:eastAsia="仿宋" w:cs="仿宋"/>
          <w:b w:val="0"/>
          <w:bCs w:val="0"/>
          <w:snapToGrid w:val="0"/>
          <w:color w:val="auto"/>
          <w:kern w:val="0"/>
          <w:sz w:val="28"/>
          <w:szCs w:val="28"/>
          <w:highlight w:val="none"/>
          <w:lang w:val="en-US" w:eastAsia="zh-CN" w:bidi="zh-CN"/>
        </w:rPr>
        <w:t>验收标准严格遵循本响应文件约定、国家及省级相关规范，结合新余市高铁新区数据产业发展实际需求，由招标人新余市高铁新区管理委员会组织验收，验收合格后方视为完成交付；若成果不符合要求，服务方将在规定期限内无偿修改完善，直至验收通过。</w:t>
      </w:r>
    </w:p>
    <w:p w14:paraId="51F53CBB">
      <w:pPr>
        <w:widowControl w:val="0"/>
        <w:ind w:left="0" w:leftChars="0" w:firstLine="0" w:firstLineChars="0"/>
        <w:jc w:val="both"/>
        <w:rPr>
          <w:rFonts w:hint="default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 w:bidi="zh-CN"/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8"/>
          <w:szCs w:val="28"/>
          <w:highlight w:val="none"/>
          <w:lang w:val="en-US" w:eastAsia="zh-CN" w:bidi="zh-CN"/>
        </w:rPr>
        <w:t>注：上述“第四章 采购需求”中所有内容需完全响应，否则投标无效。</w:t>
      </w:r>
    </w:p>
    <w:p w14:paraId="631F6F1C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9CE32D9"/>
    <w:multiLevelType w:val="singleLevel"/>
    <w:tmpl w:val="C9CE32D9"/>
    <w:lvl w:ilvl="0" w:tentative="0">
      <w:start w:val="4"/>
      <w:numFmt w:val="chineseCounting"/>
      <w:suff w:val="space"/>
      <w:lvlText w:val="第%1章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F02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2026-06-05T04:05:59Z</dcterms:created>
  <dc:creator>Administrator</dc:creator>
  <cp:lastModifiedBy>新余长兴工程咨询有限公司</cp:lastModifiedBy>
  <dcterms:modified xsi:type="dcterms:W3CDTF">2026-06-05T04:06:16Z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eyJoZGlkIjoiNGU4ODU3MjZhZjc4N2VjYjllNDk5Y2UzYjk0ZGI4ZTQiLCJ1c2VySWQiOiIzNTUzNzgwODAifQ==</vt:lpwstr>
  </property>
  <property fmtid="{D5CDD505-2E9C-101B-9397-08002B2CF9AE}" pid="4" name="ICV">
    <vt:lpwstr>1C3476614E4F4345845A955B6D09FDD1_12</vt:lpwstr>
  </property>
</Properties>
</file>