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48013CB">
      <w:pPr>
        <w:pStyle w:val="5"/>
        <w:numPr>
          <w:ilvl w:val="0"/>
          <w:numId w:val="1"/>
        </w:numPr>
        <w:spacing w:before="0" w:after="0" w:line="400" w:lineRule="exact"/>
        <w:jc w:val="center"/>
        <w:rPr>
          <w:rFonts w:hint="eastAsia" w:ascii="宋体" w:hAnsi="宋体" w:eastAsia="宋体" w:cs="宋体"/>
          <w:color w:val="auto"/>
          <w:sz w:val="28"/>
          <w:szCs w:val="28"/>
        </w:rPr>
      </w:pPr>
      <w:bookmarkStart w:id="1" w:name="_GoBack"/>
      <w:bookmarkEnd w:id="1"/>
      <w:bookmarkStart w:id="0" w:name="_Toc13576"/>
      <w:r>
        <w:rPr>
          <w:rFonts w:hint="eastAsia" w:ascii="宋体" w:hAnsi="宋体" w:eastAsia="宋体" w:cs="宋体"/>
          <w:color w:val="auto"/>
          <w:sz w:val="28"/>
          <w:szCs w:val="28"/>
        </w:rPr>
        <w:t>采购需求</w:t>
      </w:r>
      <w:bookmarkEnd w:id="0"/>
    </w:p>
    <w:p w14:paraId="2D70F48B">
      <w:pPr>
        <w:rPr>
          <w:rFonts w:hint="eastAsia" w:ascii="宋体" w:hAnsi="宋体" w:eastAsia="宋体" w:cs="宋体"/>
          <w:color w:val="auto"/>
          <w:lang w:val="en-US" w:eastAsia="zh-CN"/>
        </w:rPr>
      </w:pPr>
      <w:r>
        <w:rPr>
          <w:rFonts w:hint="eastAsia" w:ascii="宋体" w:hAnsi="宋体" w:eastAsia="宋体" w:cs="宋体"/>
          <w:color w:val="auto"/>
          <w:sz w:val="28"/>
          <w:szCs w:val="28"/>
          <w:lang w:eastAsia="zh-CN"/>
        </w:rPr>
        <w:t>（</w:t>
      </w:r>
      <w:r>
        <w:rPr>
          <w:rFonts w:hint="eastAsia" w:ascii="宋体" w:hAnsi="宋体" w:eastAsia="宋体" w:cs="宋体"/>
          <w:color w:val="auto"/>
          <w:sz w:val="28"/>
          <w:szCs w:val="28"/>
          <w:lang w:val="en-US" w:eastAsia="zh-CN"/>
        </w:rPr>
        <w:t>一）</w:t>
      </w:r>
      <w:r>
        <w:rPr>
          <w:rFonts w:hint="eastAsia" w:ascii="宋体" w:hAnsi="宋体" w:eastAsia="宋体" w:cs="宋体"/>
          <w:b w:val="0"/>
          <w:bCs/>
          <w:color w:val="auto"/>
          <w:sz w:val="24"/>
          <w:szCs w:val="24"/>
          <w:highlight w:val="none"/>
          <w:vertAlign w:val="baseline"/>
          <w:lang w:val="en-US" w:eastAsia="zh-CN"/>
        </w:rPr>
        <w:t>采购清单</w:t>
      </w:r>
    </w:p>
    <w:tbl>
      <w:tblPr>
        <w:tblStyle w:val="33"/>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32"/>
        <w:gridCol w:w="1320"/>
        <w:gridCol w:w="1396"/>
        <w:gridCol w:w="921"/>
        <w:gridCol w:w="978"/>
        <w:gridCol w:w="1132"/>
        <w:gridCol w:w="920"/>
        <w:gridCol w:w="608"/>
        <w:gridCol w:w="609"/>
      </w:tblGrid>
      <w:tr w14:paraId="5B49A4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2" w:type="dxa"/>
            <w:noWrap w:val="0"/>
            <w:vAlign w:val="top"/>
          </w:tcPr>
          <w:p w14:paraId="5D31ECAB">
            <w:pPr>
              <w:pageBreakBefore w:val="0"/>
              <w:numPr>
                <w:ilvl w:val="0"/>
                <w:numId w:val="0"/>
              </w:numPr>
              <w:kinsoku/>
              <w:wordWrap/>
              <w:overflowPunct/>
              <w:topLinePunct w:val="0"/>
              <w:autoSpaceDE/>
              <w:autoSpaceDN/>
              <w:bidi w:val="0"/>
              <w:adjustRightInd/>
              <w:snapToGrid/>
              <w:spacing w:line="500" w:lineRule="exact"/>
              <w:ind w:left="0" w:leftChars="0" w:firstLine="0" w:firstLineChars="0"/>
              <w:jc w:val="center"/>
              <w:rPr>
                <w:rFonts w:hint="eastAsia" w:ascii="宋体" w:hAnsi="宋体" w:eastAsia="宋体" w:cs="宋体"/>
                <w:b w:val="0"/>
                <w:bCs/>
                <w:color w:val="auto"/>
                <w:kern w:val="2"/>
                <w:sz w:val="24"/>
                <w:szCs w:val="24"/>
                <w:highlight w:val="none"/>
                <w:vertAlign w:val="baseline"/>
                <w:lang w:val="en-US" w:eastAsia="zh-CN" w:bidi="ar-SA"/>
              </w:rPr>
            </w:pPr>
            <w:r>
              <w:rPr>
                <w:rFonts w:hint="eastAsia" w:ascii="宋体" w:hAnsi="宋体" w:eastAsia="宋体" w:cs="宋体"/>
                <w:b w:val="0"/>
                <w:bCs/>
                <w:color w:val="auto"/>
                <w:sz w:val="24"/>
                <w:szCs w:val="24"/>
                <w:highlight w:val="none"/>
                <w:vertAlign w:val="baseline"/>
                <w:lang w:val="en-US" w:eastAsia="zh-CN"/>
              </w:rPr>
              <w:t>序号</w:t>
            </w:r>
          </w:p>
        </w:tc>
        <w:tc>
          <w:tcPr>
            <w:tcW w:w="1320" w:type="dxa"/>
            <w:noWrap w:val="0"/>
            <w:vAlign w:val="top"/>
          </w:tcPr>
          <w:p w14:paraId="0BDE1E49">
            <w:pPr>
              <w:pageBreakBefore w:val="0"/>
              <w:numPr>
                <w:ilvl w:val="0"/>
                <w:numId w:val="0"/>
              </w:numPr>
              <w:kinsoku/>
              <w:wordWrap/>
              <w:overflowPunct/>
              <w:topLinePunct w:val="0"/>
              <w:autoSpaceDE/>
              <w:autoSpaceDN/>
              <w:bidi w:val="0"/>
              <w:adjustRightInd/>
              <w:snapToGrid/>
              <w:spacing w:line="500" w:lineRule="exact"/>
              <w:ind w:left="0" w:leftChars="0" w:firstLine="0" w:firstLineChars="0"/>
              <w:jc w:val="center"/>
              <w:rPr>
                <w:rFonts w:hint="eastAsia" w:ascii="宋体" w:hAnsi="宋体" w:eastAsia="宋体" w:cs="宋体"/>
                <w:b w:val="0"/>
                <w:bCs/>
                <w:color w:val="auto"/>
                <w:kern w:val="2"/>
                <w:sz w:val="24"/>
                <w:szCs w:val="24"/>
                <w:highlight w:val="none"/>
                <w:vertAlign w:val="baseline"/>
                <w:lang w:val="en-US" w:eastAsia="zh-CN" w:bidi="ar-SA"/>
              </w:rPr>
            </w:pPr>
            <w:r>
              <w:rPr>
                <w:rFonts w:hint="eastAsia" w:ascii="宋体" w:hAnsi="宋体" w:eastAsia="宋体" w:cs="宋体"/>
                <w:b w:val="0"/>
                <w:bCs/>
                <w:color w:val="auto"/>
                <w:sz w:val="24"/>
                <w:szCs w:val="24"/>
                <w:highlight w:val="none"/>
                <w:vertAlign w:val="baseline"/>
                <w:lang w:val="en-US" w:eastAsia="zh-CN"/>
              </w:rPr>
              <w:t>产品名称</w:t>
            </w:r>
          </w:p>
        </w:tc>
        <w:tc>
          <w:tcPr>
            <w:tcW w:w="1396" w:type="dxa"/>
            <w:noWrap w:val="0"/>
            <w:vAlign w:val="top"/>
          </w:tcPr>
          <w:p w14:paraId="7C6AB8A3">
            <w:pPr>
              <w:keepNext w:val="0"/>
              <w:keepLines w:val="0"/>
              <w:pageBreakBefore w:val="0"/>
              <w:widowControl w:val="0"/>
              <w:numPr>
                <w:ilvl w:val="0"/>
                <w:numId w:val="0"/>
              </w:numPr>
              <w:kinsoku/>
              <w:wordWrap/>
              <w:overflowPunct/>
              <w:topLinePunct w:val="0"/>
              <w:autoSpaceDE/>
              <w:autoSpaceDN/>
              <w:bidi w:val="0"/>
              <w:adjustRightInd/>
              <w:snapToGrid/>
              <w:spacing w:line="500" w:lineRule="exact"/>
              <w:jc w:val="center"/>
              <w:textAlignment w:val="auto"/>
              <w:rPr>
                <w:rFonts w:hint="eastAsia" w:ascii="宋体" w:hAnsi="宋体" w:eastAsia="宋体" w:cs="宋体"/>
                <w:b w:val="0"/>
                <w:bCs/>
                <w:color w:val="auto"/>
                <w:sz w:val="24"/>
                <w:szCs w:val="24"/>
                <w:highlight w:val="none"/>
                <w:vertAlign w:val="baseline"/>
                <w:lang w:val="en-US" w:eastAsia="zh-CN"/>
              </w:rPr>
            </w:pPr>
            <w:r>
              <w:rPr>
                <w:rFonts w:hint="eastAsia" w:ascii="宋体" w:hAnsi="宋体" w:eastAsia="宋体" w:cs="宋体"/>
                <w:b w:val="0"/>
                <w:bCs/>
                <w:color w:val="auto"/>
                <w:sz w:val="24"/>
                <w:szCs w:val="24"/>
                <w:highlight w:val="none"/>
                <w:vertAlign w:val="baseline"/>
                <w:lang w:val="en-US" w:eastAsia="zh-CN"/>
              </w:rPr>
              <w:t>政府采购品目分类编码</w:t>
            </w:r>
          </w:p>
        </w:tc>
        <w:tc>
          <w:tcPr>
            <w:tcW w:w="921" w:type="dxa"/>
            <w:noWrap w:val="0"/>
            <w:vAlign w:val="top"/>
          </w:tcPr>
          <w:p w14:paraId="6D1B1C10">
            <w:pPr>
              <w:keepNext w:val="0"/>
              <w:keepLines w:val="0"/>
              <w:pageBreakBefore w:val="0"/>
              <w:widowControl w:val="0"/>
              <w:numPr>
                <w:ilvl w:val="0"/>
                <w:numId w:val="0"/>
              </w:numPr>
              <w:kinsoku/>
              <w:wordWrap/>
              <w:overflowPunct/>
              <w:topLinePunct w:val="0"/>
              <w:autoSpaceDE/>
              <w:autoSpaceDN/>
              <w:bidi w:val="0"/>
              <w:adjustRightInd/>
              <w:snapToGrid/>
              <w:spacing w:line="500" w:lineRule="exact"/>
              <w:jc w:val="center"/>
              <w:textAlignment w:val="auto"/>
              <w:rPr>
                <w:rFonts w:hint="eastAsia" w:ascii="宋体" w:hAnsi="宋体" w:eastAsia="宋体" w:cs="宋体"/>
                <w:b w:val="0"/>
                <w:bCs/>
                <w:color w:val="auto"/>
                <w:sz w:val="24"/>
                <w:szCs w:val="24"/>
                <w:highlight w:val="none"/>
                <w:vertAlign w:val="baseline"/>
                <w:lang w:val="en-US" w:eastAsia="zh-CN"/>
              </w:rPr>
            </w:pPr>
            <w:r>
              <w:rPr>
                <w:rFonts w:hint="eastAsia" w:ascii="宋体" w:hAnsi="宋体" w:eastAsia="宋体" w:cs="宋体"/>
                <w:b w:val="0"/>
                <w:bCs/>
                <w:color w:val="auto"/>
                <w:sz w:val="24"/>
                <w:szCs w:val="24"/>
                <w:highlight w:val="none"/>
                <w:vertAlign w:val="baseline"/>
                <w:lang w:val="en-US" w:eastAsia="zh-CN"/>
              </w:rPr>
              <w:t>计量单位</w:t>
            </w:r>
          </w:p>
        </w:tc>
        <w:tc>
          <w:tcPr>
            <w:tcW w:w="978" w:type="dxa"/>
            <w:noWrap w:val="0"/>
            <w:vAlign w:val="top"/>
          </w:tcPr>
          <w:p w14:paraId="42CDA9EA">
            <w:pPr>
              <w:keepNext w:val="0"/>
              <w:keepLines w:val="0"/>
              <w:pageBreakBefore w:val="0"/>
              <w:widowControl w:val="0"/>
              <w:numPr>
                <w:ilvl w:val="0"/>
                <w:numId w:val="0"/>
              </w:numPr>
              <w:kinsoku/>
              <w:wordWrap/>
              <w:overflowPunct/>
              <w:topLinePunct w:val="0"/>
              <w:autoSpaceDE/>
              <w:autoSpaceDN/>
              <w:bidi w:val="0"/>
              <w:adjustRightInd/>
              <w:snapToGrid/>
              <w:spacing w:line="500" w:lineRule="exact"/>
              <w:jc w:val="center"/>
              <w:textAlignment w:val="auto"/>
              <w:rPr>
                <w:rFonts w:hint="eastAsia" w:ascii="宋体" w:hAnsi="宋体" w:eastAsia="宋体" w:cs="宋体"/>
                <w:b w:val="0"/>
                <w:bCs/>
                <w:color w:val="auto"/>
                <w:sz w:val="24"/>
                <w:szCs w:val="24"/>
                <w:highlight w:val="none"/>
                <w:vertAlign w:val="baseline"/>
                <w:lang w:val="en-US" w:eastAsia="zh-CN"/>
              </w:rPr>
            </w:pPr>
            <w:r>
              <w:rPr>
                <w:rFonts w:hint="eastAsia" w:ascii="宋体" w:hAnsi="宋体" w:eastAsia="宋体" w:cs="宋体"/>
                <w:b w:val="0"/>
                <w:bCs/>
                <w:color w:val="auto"/>
                <w:sz w:val="24"/>
                <w:szCs w:val="24"/>
                <w:highlight w:val="none"/>
                <w:vertAlign w:val="baseline"/>
                <w:lang w:val="en-US" w:eastAsia="zh-CN"/>
              </w:rPr>
              <w:t>数量</w:t>
            </w:r>
          </w:p>
        </w:tc>
        <w:tc>
          <w:tcPr>
            <w:tcW w:w="1132" w:type="dxa"/>
            <w:noWrap w:val="0"/>
            <w:vAlign w:val="top"/>
          </w:tcPr>
          <w:p w14:paraId="5E55E0E1">
            <w:pPr>
              <w:keepNext w:val="0"/>
              <w:keepLines w:val="0"/>
              <w:pageBreakBefore w:val="0"/>
              <w:widowControl w:val="0"/>
              <w:numPr>
                <w:ilvl w:val="0"/>
                <w:numId w:val="0"/>
              </w:numPr>
              <w:kinsoku/>
              <w:wordWrap/>
              <w:overflowPunct/>
              <w:topLinePunct w:val="0"/>
              <w:autoSpaceDE/>
              <w:autoSpaceDN/>
              <w:bidi w:val="0"/>
              <w:adjustRightInd/>
              <w:snapToGrid/>
              <w:spacing w:line="500" w:lineRule="exact"/>
              <w:jc w:val="center"/>
              <w:textAlignment w:val="auto"/>
              <w:rPr>
                <w:rFonts w:hint="eastAsia" w:ascii="宋体" w:hAnsi="宋体" w:eastAsia="宋体" w:cs="宋体"/>
                <w:b w:val="0"/>
                <w:bCs/>
                <w:color w:val="auto"/>
                <w:sz w:val="24"/>
                <w:szCs w:val="24"/>
                <w:highlight w:val="none"/>
                <w:vertAlign w:val="baseline"/>
                <w:lang w:val="en-US" w:eastAsia="zh-CN"/>
              </w:rPr>
            </w:pPr>
            <w:r>
              <w:rPr>
                <w:rFonts w:hint="eastAsia" w:ascii="宋体" w:hAnsi="宋体" w:eastAsia="宋体" w:cs="宋体"/>
                <w:b w:val="0"/>
                <w:bCs/>
                <w:color w:val="auto"/>
                <w:sz w:val="24"/>
                <w:szCs w:val="24"/>
                <w:highlight w:val="none"/>
                <w:vertAlign w:val="baseline"/>
                <w:lang w:val="en-US" w:eastAsia="zh-CN"/>
              </w:rPr>
              <w:t>预算金额</w:t>
            </w:r>
          </w:p>
        </w:tc>
        <w:tc>
          <w:tcPr>
            <w:tcW w:w="920" w:type="dxa"/>
            <w:noWrap w:val="0"/>
            <w:vAlign w:val="top"/>
          </w:tcPr>
          <w:p w14:paraId="453D3CB3">
            <w:pPr>
              <w:keepNext w:val="0"/>
              <w:keepLines w:val="0"/>
              <w:pageBreakBefore w:val="0"/>
              <w:widowControl w:val="0"/>
              <w:numPr>
                <w:ilvl w:val="0"/>
                <w:numId w:val="0"/>
              </w:numPr>
              <w:kinsoku/>
              <w:wordWrap/>
              <w:overflowPunct/>
              <w:topLinePunct w:val="0"/>
              <w:autoSpaceDE/>
              <w:autoSpaceDN/>
              <w:bidi w:val="0"/>
              <w:adjustRightInd/>
              <w:snapToGrid/>
              <w:spacing w:line="500" w:lineRule="exact"/>
              <w:jc w:val="center"/>
              <w:textAlignment w:val="auto"/>
              <w:rPr>
                <w:rFonts w:hint="eastAsia" w:ascii="宋体" w:hAnsi="宋体" w:eastAsia="宋体" w:cs="宋体"/>
                <w:b w:val="0"/>
                <w:bCs/>
                <w:color w:val="auto"/>
                <w:sz w:val="24"/>
                <w:szCs w:val="24"/>
                <w:highlight w:val="none"/>
                <w:vertAlign w:val="baseline"/>
                <w:lang w:val="en-US" w:eastAsia="zh-CN"/>
              </w:rPr>
            </w:pPr>
            <w:r>
              <w:rPr>
                <w:rFonts w:hint="eastAsia" w:ascii="宋体" w:hAnsi="宋体" w:eastAsia="宋体" w:cs="宋体"/>
                <w:b w:val="0"/>
                <w:bCs/>
                <w:color w:val="auto"/>
                <w:sz w:val="24"/>
                <w:szCs w:val="24"/>
                <w:highlight w:val="none"/>
                <w:vertAlign w:val="baseline"/>
                <w:lang w:val="en-US" w:eastAsia="zh-CN"/>
              </w:rPr>
              <w:t>是否进口</w:t>
            </w:r>
          </w:p>
        </w:tc>
        <w:tc>
          <w:tcPr>
            <w:tcW w:w="608" w:type="dxa"/>
            <w:noWrap w:val="0"/>
            <w:vAlign w:val="top"/>
          </w:tcPr>
          <w:p w14:paraId="40C5AABA">
            <w:pPr>
              <w:keepNext w:val="0"/>
              <w:keepLines w:val="0"/>
              <w:pageBreakBefore w:val="0"/>
              <w:widowControl w:val="0"/>
              <w:numPr>
                <w:ilvl w:val="0"/>
                <w:numId w:val="0"/>
              </w:numPr>
              <w:kinsoku/>
              <w:wordWrap/>
              <w:overflowPunct/>
              <w:topLinePunct w:val="0"/>
              <w:autoSpaceDE/>
              <w:autoSpaceDN/>
              <w:bidi w:val="0"/>
              <w:adjustRightInd/>
              <w:snapToGrid/>
              <w:spacing w:line="500" w:lineRule="exact"/>
              <w:jc w:val="center"/>
              <w:textAlignment w:val="auto"/>
              <w:rPr>
                <w:rFonts w:hint="eastAsia" w:ascii="宋体" w:hAnsi="宋体" w:eastAsia="宋体" w:cs="宋体"/>
                <w:b w:val="0"/>
                <w:bCs/>
                <w:color w:val="auto"/>
                <w:sz w:val="24"/>
                <w:szCs w:val="24"/>
                <w:highlight w:val="none"/>
                <w:vertAlign w:val="baseline"/>
                <w:lang w:val="en-US" w:eastAsia="zh-CN"/>
              </w:rPr>
            </w:pPr>
            <w:r>
              <w:rPr>
                <w:rFonts w:hint="eastAsia" w:ascii="宋体" w:hAnsi="宋体" w:eastAsia="宋体" w:cs="宋体"/>
                <w:b w:val="0"/>
                <w:bCs/>
                <w:color w:val="auto"/>
                <w:sz w:val="24"/>
                <w:szCs w:val="24"/>
                <w:highlight w:val="none"/>
                <w:vertAlign w:val="baseline"/>
                <w:lang w:val="en-US" w:eastAsia="zh-CN"/>
              </w:rPr>
              <w:t>所属行业</w:t>
            </w:r>
          </w:p>
        </w:tc>
        <w:tc>
          <w:tcPr>
            <w:tcW w:w="609" w:type="dxa"/>
            <w:noWrap w:val="0"/>
            <w:vAlign w:val="top"/>
          </w:tcPr>
          <w:p w14:paraId="622F66FA">
            <w:pPr>
              <w:keepNext w:val="0"/>
              <w:keepLines w:val="0"/>
              <w:pageBreakBefore w:val="0"/>
              <w:widowControl w:val="0"/>
              <w:numPr>
                <w:ilvl w:val="0"/>
                <w:numId w:val="0"/>
              </w:numPr>
              <w:kinsoku/>
              <w:wordWrap/>
              <w:overflowPunct/>
              <w:topLinePunct w:val="0"/>
              <w:autoSpaceDE/>
              <w:autoSpaceDN/>
              <w:bidi w:val="0"/>
              <w:adjustRightInd/>
              <w:snapToGrid/>
              <w:spacing w:line="500" w:lineRule="exact"/>
              <w:jc w:val="center"/>
              <w:textAlignment w:val="auto"/>
              <w:rPr>
                <w:rFonts w:hint="eastAsia" w:ascii="宋体" w:hAnsi="宋体" w:eastAsia="宋体" w:cs="宋体"/>
                <w:b w:val="0"/>
                <w:bCs/>
                <w:color w:val="auto"/>
                <w:sz w:val="24"/>
                <w:szCs w:val="24"/>
                <w:highlight w:val="none"/>
                <w:vertAlign w:val="baseline"/>
                <w:lang w:val="en-US" w:eastAsia="zh-CN"/>
              </w:rPr>
            </w:pPr>
            <w:r>
              <w:rPr>
                <w:rFonts w:hint="eastAsia" w:ascii="宋体" w:hAnsi="宋体" w:eastAsia="宋体" w:cs="宋体"/>
                <w:b w:val="0"/>
                <w:bCs/>
                <w:color w:val="auto"/>
                <w:sz w:val="24"/>
                <w:szCs w:val="24"/>
                <w:highlight w:val="none"/>
                <w:vertAlign w:val="baseline"/>
                <w:lang w:val="en-US" w:eastAsia="zh-CN"/>
              </w:rPr>
              <w:t>备注</w:t>
            </w:r>
          </w:p>
        </w:tc>
      </w:tr>
      <w:tr w14:paraId="633297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2" w:type="dxa"/>
            <w:noWrap w:val="0"/>
            <w:vAlign w:val="center"/>
          </w:tcPr>
          <w:p w14:paraId="776FFD3A">
            <w:pPr>
              <w:autoSpaceDE w:val="0"/>
              <w:autoSpaceDN w:val="0"/>
              <w:adjustRightInd w:val="0"/>
              <w:spacing w:line="360" w:lineRule="auto"/>
              <w:jc w:val="center"/>
              <w:rPr>
                <w:rFonts w:hint="eastAsia" w:ascii="宋体" w:hAnsi="宋体" w:eastAsia="宋体" w:cs="宋体"/>
                <w:b w:val="0"/>
                <w:bCs/>
                <w:color w:val="auto"/>
                <w:sz w:val="24"/>
                <w:szCs w:val="24"/>
                <w:highlight w:val="none"/>
                <w:vertAlign w:val="baseline"/>
                <w:lang w:val="en-US" w:eastAsia="zh-CN"/>
              </w:rPr>
            </w:pPr>
            <w:r>
              <w:rPr>
                <w:rFonts w:hint="eastAsia" w:ascii="宋体" w:hAnsi="宋体" w:eastAsia="宋体" w:cs="宋体"/>
                <w:color w:val="auto"/>
                <w:kern w:val="0"/>
                <w:sz w:val="24"/>
                <w:szCs w:val="24"/>
                <w:lang w:val="en-US" w:eastAsia="zh-CN"/>
              </w:rPr>
              <w:t>1</w:t>
            </w:r>
          </w:p>
        </w:tc>
        <w:tc>
          <w:tcPr>
            <w:tcW w:w="1320" w:type="dxa"/>
            <w:noWrap w:val="0"/>
            <w:vAlign w:val="center"/>
          </w:tcPr>
          <w:p w14:paraId="35FBCB5E">
            <w:pPr>
              <w:autoSpaceDE w:val="0"/>
              <w:autoSpaceDN w:val="0"/>
              <w:adjustRightInd w:val="0"/>
              <w:spacing w:line="360" w:lineRule="auto"/>
              <w:jc w:val="center"/>
              <w:rPr>
                <w:rFonts w:hint="eastAsia" w:ascii="宋体" w:hAnsi="宋体" w:eastAsia="宋体" w:cs="宋体"/>
                <w:b w:val="0"/>
                <w:bCs/>
                <w:color w:val="auto"/>
                <w:sz w:val="24"/>
                <w:szCs w:val="24"/>
                <w:highlight w:val="none"/>
                <w:vertAlign w:val="baseline"/>
                <w:lang w:val="en-US" w:eastAsia="zh-CN"/>
              </w:rPr>
            </w:pPr>
            <w:r>
              <w:rPr>
                <w:rFonts w:hint="eastAsia" w:ascii="宋体" w:hAnsi="宋体" w:eastAsia="宋体" w:cs="宋体"/>
                <w:color w:val="auto"/>
                <w:kern w:val="0"/>
                <w:sz w:val="24"/>
                <w:szCs w:val="24"/>
                <w:lang w:val="en-US" w:eastAsia="zh-CN"/>
              </w:rPr>
              <w:t>教师办公电脑</w:t>
            </w:r>
          </w:p>
        </w:tc>
        <w:tc>
          <w:tcPr>
            <w:tcW w:w="1396" w:type="dxa"/>
            <w:noWrap w:val="0"/>
            <w:vAlign w:val="center"/>
          </w:tcPr>
          <w:p w14:paraId="782C3891">
            <w:pPr>
              <w:autoSpaceDE w:val="0"/>
              <w:autoSpaceDN w:val="0"/>
              <w:adjustRightInd w:val="0"/>
              <w:spacing w:line="360" w:lineRule="auto"/>
              <w:jc w:val="center"/>
              <w:rPr>
                <w:rFonts w:hint="eastAsia" w:ascii="宋体" w:hAnsi="宋体" w:eastAsia="宋体" w:cs="宋体"/>
                <w:b w:val="0"/>
                <w:bCs/>
                <w:color w:val="auto"/>
                <w:sz w:val="24"/>
                <w:szCs w:val="24"/>
                <w:highlight w:val="none"/>
                <w:vertAlign w:val="baseline"/>
                <w:lang w:val="en-US" w:eastAsia="zh-CN"/>
              </w:rPr>
            </w:pPr>
            <w:r>
              <w:rPr>
                <w:rFonts w:hint="eastAsia" w:ascii="宋体" w:hAnsi="宋体" w:eastAsia="宋体" w:cs="宋体"/>
                <w:color w:val="auto"/>
                <w:kern w:val="0"/>
                <w:sz w:val="24"/>
                <w:szCs w:val="24"/>
                <w:lang w:val="en-US" w:eastAsia="zh-CN"/>
              </w:rPr>
              <w:t>A02010105</w:t>
            </w:r>
          </w:p>
        </w:tc>
        <w:tc>
          <w:tcPr>
            <w:tcW w:w="921" w:type="dxa"/>
            <w:noWrap w:val="0"/>
            <w:vAlign w:val="center"/>
          </w:tcPr>
          <w:p w14:paraId="65440D3E">
            <w:pPr>
              <w:autoSpaceDE w:val="0"/>
              <w:autoSpaceDN w:val="0"/>
              <w:adjustRightInd w:val="0"/>
              <w:spacing w:line="360" w:lineRule="auto"/>
              <w:jc w:val="center"/>
              <w:rPr>
                <w:rFonts w:hint="eastAsia" w:ascii="宋体" w:hAnsi="宋体" w:eastAsia="宋体" w:cs="宋体"/>
                <w:b w:val="0"/>
                <w:bCs/>
                <w:color w:val="auto"/>
                <w:sz w:val="24"/>
                <w:szCs w:val="24"/>
                <w:highlight w:val="none"/>
                <w:vertAlign w:val="baseline"/>
                <w:lang w:val="en-US" w:eastAsia="zh-CN"/>
              </w:rPr>
            </w:pPr>
            <w:r>
              <w:rPr>
                <w:rFonts w:hint="eastAsia" w:ascii="宋体" w:hAnsi="宋体" w:eastAsia="宋体" w:cs="宋体"/>
                <w:color w:val="auto"/>
                <w:kern w:val="0"/>
                <w:sz w:val="24"/>
                <w:szCs w:val="24"/>
                <w:lang w:val="en-US" w:eastAsia="zh-CN"/>
              </w:rPr>
              <w:t>台</w:t>
            </w:r>
          </w:p>
        </w:tc>
        <w:tc>
          <w:tcPr>
            <w:tcW w:w="978" w:type="dxa"/>
            <w:noWrap w:val="0"/>
            <w:vAlign w:val="center"/>
          </w:tcPr>
          <w:p w14:paraId="6CD669A9">
            <w:pPr>
              <w:autoSpaceDE w:val="0"/>
              <w:autoSpaceDN w:val="0"/>
              <w:adjustRightInd w:val="0"/>
              <w:spacing w:line="360" w:lineRule="auto"/>
              <w:jc w:val="center"/>
              <w:rPr>
                <w:rFonts w:hint="eastAsia" w:ascii="宋体" w:hAnsi="宋体" w:eastAsia="宋体" w:cs="宋体"/>
                <w:b w:val="0"/>
                <w:bCs/>
                <w:color w:val="auto"/>
                <w:sz w:val="24"/>
                <w:szCs w:val="24"/>
                <w:highlight w:val="none"/>
                <w:vertAlign w:val="baseline"/>
                <w:lang w:val="en-US" w:eastAsia="zh-CN"/>
              </w:rPr>
            </w:pPr>
            <w:r>
              <w:rPr>
                <w:rFonts w:hint="eastAsia" w:ascii="宋体" w:hAnsi="宋体" w:eastAsia="宋体" w:cs="宋体"/>
                <w:color w:val="auto"/>
                <w:kern w:val="0"/>
                <w:sz w:val="24"/>
                <w:szCs w:val="24"/>
                <w:lang w:val="en-US" w:eastAsia="zh-CN"/>
              </w:rPr>
              <w:t>120</w:t>
            </w:r>
          </w:p>
        </w:tc>
        <w:tc>
          <w:tcPr>
            <w:tcW w:w="1132" w:type="dxa"/>
            <w:vMerge w:val="restart"/>
            <w:noWrap w:val="0"/>
            <w:vAlign w:val="center"/>
          </w:tcPr>
          <w:p w14:paraId="1DD7BC99">
            <w:pPr>
              <w:autoSpaceDE w:val="0"/>
              <w:autoSpaceDN w:val="0"/>
              <w:adjustRightInd w:val="0"/>
              <w:spacing w:line="360" w:lineRule="auto"/>
              <w:jc w:val="center"/>
              <w:rPr>
                <w:rFonts w:hint="eastAsia" w:ascii="宋体" w:hAnsi="宋体" w:eastAsia="宋体" w:cs="宋体"/>
                <w:b w:val="0"/>
                <w:bCs/>
                <w:color w:val="auto"/>
                <w:sz w:val="24"/>
                <w:szCs w:val="24"/>
                <w:highlight w:val="none"/>
                <w:vertAlign w:val="baseline"/>
                <w:lang w:val="en-US" w:eastAsia="zh-CN"/>
              </w:rPr>
            </w:pPr>
            <w:r>
              <w:rPr>
                <w:rFonts w:hint="eastAsia" w:ascii="宋体" w:hAnsi="宋体" w:eastAsia="宋体" w:cs="宋体"/>
                <w:color w:val="auto"/>
                <w:sz w:val="24"/>
                <w:szCs w:val="24"/>
                <w:lang w:val="en-US" w:eastAsia="zh-CN"/>
              </w:rPr>
              <w:t>137.00</w:t>
            </w:r>
            <w:r>
              <w:rPr>
                <w:rFonts w:hint="eastAsia" w:ascii="宋体" w:hAnsi="宋体" w:eastAsia="宋体" w:cs="宋体"/>
                <w:color w:val="auto"/>
                <w:kern w:val="0"/>
                <w:sz w:val="24"/>
                <w:szCs w:val="24"/>
                <w:lang w:val="en-US" w:eastAsia="zh-CN"/>
              </w:rPr>
              <w:t>万元</w:t>
            </w:r>
          </w:p>
        </w:tc>
        <w:tc>
          <w:tcPr>
            <w:tcW w:w="920" w:type="dxa"/>
            <w:vMerge w:val="restart"/>
            <w:noWrap w:val="0"/>
            <w:vAlign w:val="center"/>
          </w:tcPr>
          <w:p w14:paraId="7A9763B2">
            <w:pPr>
              <w:keepNext w:val="0"/>
              <w:keepLines w:val="0"/>
              <w:pageBreakBefore w:val="0"/>
              <w:widowControl w:val="0"/>
              <w:numPr>
                <w:ilvl w:val="0"/>
                <w:numId w:val="0"/>
              </w:numPr>
              <w:kinsoku/>
              <w:wordWrap/>
              <w:overflowPunct/>
              <w:topLinePunct w:val="0"/>
              <w:autoSpaceDE/>
              <w:autoSpaceDN/>
              <w:bidi w:val="0"/>
              <w:adjustRightInd/>
              <w:snapToGrid/>
              <w:spacing w:line="500" w:lineRule="exact"/>
              <w:jc w:val="center"/>
              <w:textAlignment w:val="auto"/>
              <w:rPr>
                <w:rFonts w:hint="eastAsia" w:ascii="宋体" w:hAnsi="宋体" w:eastAsia="宋体" w:cs="宋体"/>
                <w:b w:val="0"/>
                <w:bCs/>
                <w:color w:val="auto"/>
                <w:sz w:val="24"/>
                <w:szCs w:val="24"/>
                <w:highlight w:val="none"/>
                <w:vertAlign w:val="baseline"/>
                <w:lang w:val="en-US" w:eastAsia="zh-CN"/>
              </w:rPr>
            </w:pPr>
            <w:r>
              <w:rPr>
                <w:rFonts w:hint="eastAsia" w:ascii="宋体" w:hAnsi="宋体" w:eastAsia="宋体" w:cs="宋体"/>
                <w:b w:val="0"/>
                <w:bCs/>
                <w:color w:val="auto"/>
                <w:sz w:val="24"/>
                <w:szCs w:val="24"/>
                <w:highlight w:val="none"/>
                <w:vertAlign w:val="baseline"/>
                <w:lang w:val="en-US" w:eastAsia="zh-CN"/>
              </w:rPr>
              <w:t>否</w:t>
            </w:r>
          </w:p>
        </w:tc>
        <w:tc>
          <w:tcPr>
            <w:tcW w:w="608" w:type="dxa"/>
            <w:vMerge w:val="restart"/>
            <w:noWrap w:val="0"/>
            <w:vAlign w:val="center"/>
          </w:tcPr>
          <w:p w14:paraId="01FC6AE2">
            <w:pPr>
              <w:keepNext w:val="0"/>
              <w:keepLines w:val="0"/>
              <w:pageBreakBefore w:val="0"/>
              <w:widowControl w:val="0"/>
              <w:numPr>
                <w:ilvl w:val="0"/>
                <w:numId w:val="0"/>
              </w:numPr>
              <w:kinsoku/>
              <w:wordWrap/>
              <w:overflowPunct/>
              <w:topLinePunct w:val="0"/>
              <w:autoSpaceDE/>
              <w:autoSpaceDN/>
              <w:bidi w:val="0"/>
              <w:adjustRightInd/>
              <w:snapToGrid/>
              <w:spacing w:line="500" w:lineRule="exact"/>
              <w:jc w:val="center"/>
              <w:textAlignment w:val="auto"/>
              <w:rPr>
                <w:rFonts w:hint="eastAsia" w:ascii="宋体" w:hAnsi="宋体" w:eastAsia="宋体" w:cs="宋体"/>
                <w:b w:val="0"/>
                <w:bCs/>
                <w:color w:val="auto"/>
                <w:sz w:val="24"/>
                <w:szCs w:val="24"/>
                <w:highlight w:val="none"/>
                <w:vertAlign w:val="baseline"/>
                <w:lang w:val="en-US" w:eastAsia="zh-CN"/>
              </w:rPr>
            </w:pPr>
            <w:r>
              <w:rPr>
                <w:rFonts w:hint="eastAsia" w:ascii="宋体" w:hAnsi="宋体" w:eastAsia="宋体" w:cs="宋体"/>
                <w:b w:val="0"/>
                <w:bCs/>
                <w:color w:val="auto"/>
                <w:sz w:val="24"/>
                <w:szCs w:val="24"/>
                <w:highlight w:val="none"/>
                <w:vertAlign w:val="baseline"/>
                <w:lang w:val="en-US" w:eastAsia="zh-CN"/>
              </w:rPr>
              <w:t>工业</w:t>
            </w:r>
          </w:p>
        </w:tc>
        <w:tc>
          <w:tcPr>
            <w:tcW w:w="609" w:type="dxa"/>
            <w:noWrap w:val="0"/>
            <w:vAlign w:val="center"/>
          </w:tcPr>
          <w:p w14:paraId="1C1FD821">
            <w:pPr>
              <w:keepNext w:val="0"/>
              <w:keepLines w:val="0"/>
              <w:pageBreakBefore w:val="0"/>
              <w:widowControl w:val="0"/>
              <w:numPr>
                <w:ilvl w:val="0"/>
                <w:numId w:val="0"/>
              </w:numPr>
              <w:kinsoku/>
              <w:wordWrap/>
              <w:overflowPunct/>
              <w:topLinePunct w:val="0"/>
              <w:autoSpaceDE/>
              <w:autoSpaceDN/>
              <w:bidi w:val="0"/>
              <w:adjustRightInd/>
              <w:snapToGrid/>
              <w:spacing w:line="500" w:lineRule="exact"/>
              <w:jc w:val="center"/>
              <w:textAlignment w:val="auto"/>
              <w:rPr>
                <w:rFonts w:hint="eastAsia" w:ascii="宋体" w:hAnsi="宋体" w:eastAsia="宋体" w:cs="宋体"/>
                <w:b w:val="0"/>
                <w:bCs/>
                <w:color w:val="auto"/>
                <w:sz w:val="24"/>
                <w:szCs w:val="24"/>
                <w:highlight w:val="none"/>
                <w:vertAlign w:val="baseline"/>
                <w:lang w:val="en-US" w:eastAsia="zh-CN"/>
              </w:rPr>
            </w:pPr>
          </w:p>
        </w:tc>
      </w:tr>
      <w:tr w14:paraId="7C9795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2" w:type="dxa"/>
            <w:noWrap w:val="0"/>
            <w:vAlign w:val="center"/>
          </w:tcPr>
          <w:p w14:paraId="3A7B263A">
            <w:pPr>
              <w:autoSpaceDE w:val="0"/>
              <w:autoSpaceDN w:val="0"/>
              <w:adjustRightInd w:val="0"/>
              <w:spacing w:line="360" w:lineRule="auto"/>
              <w:jc w:val="center"/>
              <w:rPr>
                <w:rFonts w:hint="eastAsia" w:ascii="宋体" w:hAnsi="宋体" w:eastAsia="宋体" w:cs="宋体"/>
                <w:b w:val="0"/>
                <w:bCs/>
                <w:color w:val="auto"/>
                <w:sz w:val="24"/>
                <w:szCs w:val="24"/>
                <w:highlight w:val="none"/>
                <w:vertAlign w:val="baseline"/>
                <w:lang w:val="en-US" w:eastAsia="zh-CN"/>
              </w:rPr>
            </w:pPr>
            <w:r>
              <w:rPr>
                <w:rFonts w:hint="eastAsia" w:ascii="宋体" w:hAnsi="宋体" w:eastAsia="宋体" w:cs="宋体"/>
                <w:color w:val="auto"/>
                <w:kern w:val="0"/>
                <w:sz w:val="24"/>
                <w:szCs w:val="24"/>
                <w:lang w:val="en-US" w:eastAsia="zh-CN"/>
              </w:rPr>
              <w:t>2</w:t>
            </w:r>
          </w:p>
        </w:tc>
        <w:tc>
          <w:tcPr>
            <w:tcW w:w="1320" w:type="dxa"/>
            <w:noWrap w:val="0"/>
            <w:vAlign w:val="center"/>
          </w:tcPr>
          <w:p w14:paraId="30874EC6">
            <w:pPr>
              <w:autoSpaceDE w:val="0"/>
              <w:autoSpaceDN w:val="0"/>
              <w:adjustRightInd w:val="0"/>
              <w:spacing w:line="360" w:lineRule="auto"/>
              <w:jc w:val="center"/>
              <w:rPr>
                <w:rFonts w:hint="eastAsia" w:ascii="宋体" w:hAnsi="宋体" w:eastAsia="宋体" w:cs="宋体"/>
                <w:b w:val="0"/>
                <w:bCs/>
                <w:color w:val="auto"/>
                <w:sz w:val="24"/>
                <w:szCs w:val="24"/>
                <w:highlight w:val="none"/>
                <w:vertAlign w:val="baseline"/>
                <w:lang w:val="en-US" w:eastAsia="zh-CN"/>
              </w:rPr>
            </w:pPr>
            <w:r>
              <w:rPr>
                <w:rFonts w:hint="eastAsia" w:ascii="宋体" w:hAnsi="宋体" w:eastAsia="宋体" w:cs="宋体"/>
                <w:color w:val="auto"/>
                <w:kern w:val="0"/>
                <w:sz w:val="24"/>
                <w:szCs w:val="24"/>
                <w:lang w:val="en-US" w:eastAsia="zh-CN"/>
              </w:rPr>
              <w:t>机房电脑（学生用机）</w:t>
            </w:r>
          </w:p>
        </w:tc>
        <w:tc>
          <w:tcPr>
            <w:tcW w:w="1396" w:type="dxa"/>
            <w:noWrap w:val="0"/>
            <w:vAlign w:val="center"/>
          </w:tcPr>
          <w:p w14:paraId="0BC82E8E">
            <w:pPr>
              <w:autoSpaceDE w:val="0"/>
              <w:autoSpaceDN w:val="0"/>
              <w:adjustRightInd w:val="0"/>
              <w:spacing w:line="360" w:lineRule="auto"/>
              <w:jc w:val="center"/>
              <w:rPr>
                <w:rFonts w:hint="eastAsia" w:ascii="宋体" w:hAnsi="宋体" w:eastAsia="宋体" w:cs="宋体"/>
                <w:b w:val="0"/>
                <w:bCs/>
                <w:color w:val="auto"/>
                <w:sz w:val="24"/>
                <w:szCs w:val="24"/>
                <w:highlight w:val="none"/>
                <w:vertAlign w:val="baseline"/>
                <w:lang w:val="en-US" w:eastAsia="zh-CN"/>
              </w:rPr>
            </w:pPr>
            <w:r>
              <w:rPr>
                <w:rFonts w:hint="eastAsia" w:ascii="宋体" w:hAnsi="宋体" w:eastAsia="宋体" w:cs="宋体"/>
                <w:color w:val="auto"/>
                <w:kern w:val="0"/>
                <w:sz w:val="24"/>
                <w:szCs w:val="24"/>
                <w:lang w:val="en-US" w:eastAsia="zh-CN"/>
              </w:rPr>
              <w:t>A02010105</w:t>
            </w:r>
          </w:p>
        </w:tc>
        <w:tc>
          <w:tcPr>
            <w:tcW w:w="921" w:type="dxa"/>
            <w:noWrap w:val="0"/>
            <w:vAlign w:val="center"/>
          </w:tcPr>
          <w:p w14:paraId="3D9A9ADA">
            <w:pPr>
              <w:autoSpaceDE w:val="0"/>
              <w:autoSpaceDN w:val="0"/>
              <w:adjustRightInd w:val="0"/>
              <w:spacing w:line="360" w:lineRule="auto"/>
              <w:jc w:val="center"/>
              <w:rPr>
                <w:rFonts w:hint="eastAsia" w:ascii="宋体" w:hAnsi="宋体" w:eastAsia="宋体" w:cs="宋体"/>
                <w:b w:val="0"/>
                <w:bCs/>
                <w:color w:val="auto"/>
                <w:sz w:val="24"/>
                <w:szCs w:val="24"/>
                <w:highlight w:val="none"/>
                <w:vertAlign w:val="baseline"/>
                <w:lang w:val="en-US" w:eastAsia="zh-CN"/>
              </w:rPr>
            </w:pPr>
            <w:r>
              <w:rPr>
                <w:rFonts w:hint="eastAsia" w:ascii="宋体" w:hAnsi="宋体" w:eastAsia="宋体" w:cs="宋体"/>
                <w:color w:val="auto"/>
                <w:kern w:val="0"/>
                <w:sz w:val="24"/>
                <w:szCs w:val="24"/>
                <w:lang w:val="en-US" w:eastAsia="zh-CN"/>
              </w:rPr>
              <w:t>台</w:t>
            </w:r>
          </w:p>
        </w:tc>
        <w:tc>
          <w:tcPr>
            <w:tcW w:w="978" w:type="dxa"/>
            <w:noWrap w:val="0"/>
            <w:vAlign w:val="center"/>
          </w:tcPr>
          <w:p w14:paraId="1CA7B482">
            <w:pPr>
              <w:autoSpaceDE w:val="0"/>
              <w:autoSpaceDN w:val="0"/>
              <w:adjustRightInd w:val="0"/>
              <w:spacing w:line="360" w:lineRule="auto"/>
              <w:jc w:val="center"/>
              <w:rPr>
                <w:rFonts w:hint="eastAsia" w:ascii="宋体" w:hAnsi="宋体" w:eastAsia="宋体" w:cs="宋体"/>
                <w:b w:val="0"/>
                <w:bCs/>
                <w:color w:val="auto"/>
                <w:sz w:val="24"/>
                <w:szCs w:val="24"/>
                <w:highlight w:val="none"/>
                <w:vertAlign w:val="baseline"/>
                <w:lang w:val="en-US" w:eastAsia="zh-CN"/>
              </w:rPr>
            </w:pPr>
            <w:r>
              <w:rPr>
                <w:rFonts w:hint="eastAsia" w:ascii="宋体" w:hAnsi="宋体" w:eastAsia="宋体" w:cs="宋体"/>
                <w:color w:val="auto"/>
                <w:kern w:val="0"/>
                <w:sz w:val="24"/>
                <w:szCs w:val="24"/>
                <w:lang w:val="en-US" w:eastAsia="zh-CN"/>
              </w:rPr>
              <w:t>120</w:t>
            </w:r>
          </w:p>
        </w:tc>
        <w:tc>
          <w:tcPr>
            <w:tcW w:w="1132" w:type="dxa"/>
            <w:vMerge w:val="continue"/>
            <w:noWrap w:val="0"/>
            <w:vAlign w:val="center"/>
          </w:tcPr>
          <w:p w14:paraId="69AC8CEC">
            <w:pPr>
              <w:autoSpaceDE w:val="0"/>
              <w:autoSpaceDN w:val="0"/>
              <w:adjustRightInd w:val="0"/>
              <w:spacing w:line="360" w:lineRule="auto"/>
              <w:jc w:val="center"/>
              <w:rPr>
                <w:rFonts w:hint="eastAsia" w:ascii="宋体" w:hAnsi="宋体" w:eastAsia="宋体" w:cs="宋体"/>
                <w:b w:val="0"/>
                <w:bCs/>
                <w:color w:val="auto"/>
                <w:sz w:val="24"/>
                <w:szCs w:val="24"/>
                <w:highlight w:val="none"/>
                <w:vertAlign w:val="baseline"/>
                <w:lang w:val="en-US" w:eastAsia="zh-CN"/>
              </w:rPr>
            </w:pPr>
          </w:p>
        </w:tc>
        <w:tc>
          <w:tcPr>
            <w:tcW w:w="920" w:type="dxa"/>
            <w:vMerge w:val="continue"/>
            <w:noWrap w:val="0"/>
            <w:vAlign w:val="center"/>
          </w:tcPr>
          <w:p w14:paraId="5D3F6005">
            <w:pPr>
              <w:keepNext w:val="0"/>
              <w:keepLines w:val="0"/>
              <w:pageBreakBefore w:val="0"/>
              <w:widowControl w:val="0"/>
              <w:numPr>
                <w:ilvl w:val="0"/>
                <w:numId w:val="0"/>
              </w:numPr>
              <w:kinsoku/>
              <w:wordWrap/>
              <w:overflowPunct/>
              <w:topLinePunct w:val="0"/>
              <w:autoSpaceDE/>
              <w:autoSpaceDN/>
              <w:bidi w:val="0"/>
              <w:adjustRightInd/>
              <w:snapToGrid/>
              <w:spacing w:line="500" w:lineRule="exact"/>
              <w:jc w:val="center"/>
              <w:textAlignment w:val="auto"/>
              <w:rPr>
                <w:rFonts w:hint="eastAsia" w:ascii="宋体" w:hAnsi="宋体" w:eastAsia="宋体" w:cs="宋体"/>
                <w:b w:val="0"/>
                <w:bCs/>
                <w:color w:val="auto"/>
                <w:sz w:val="24"/>
                <w:szCs w:val="24"/>
                <w:highlight w:val="none"/>
                <w:vertAlign w:val="baseline"/>
                <w:lang w:val="en-US" w:eastAsia="zh-CN"/>
              </w:rPr>
            </w:pPr>
          </w:p>
        </w:tc>
        <w:tc>
          <w:tcPr>
            <w:tcW w:w="608" w:type="dxa"/>
            <w:vMerge w:val="continue"/>
            <w:noWrap w:val="0"/>
            <w:vAlign w:val="center"/>
          </w:tcPr>
          <w:p w14:paraId="4B781BFD">
            <w:pPr>
              <w:keepNext w:val="0"/>
              <w:keepLines w:val="0"/>
              <w:pageBreakBefore w:val="0"/>
              <w:widowControl w:val="0"/>
              <w:numPr>
                <w:ilvl w:val="0"/>
                <w:numId w:val="0"/>
              </w:numPr>
              <w:kinsoku/>
              <w:wordWrap/>
              <w:overflowPunct/>
              <w:topLinePunct w:val="0"/>
              <w:autoSpaceDE/>
              <w:autoSpaceDN/>
              <w:bidi w:val="0"/>
              <w:adjustRightInd/>
              <w:snapToGrid/>
              <w:spacing w:line="500" w:lineRule="exact"/>
              <w:jc w:val="center"/>
              <w:textAlignment w:val="auto"/>
              <w:rPr>
                <w:rFonts w:hint="eastAsia" w:ascii="宋体" w:hAnsi="宋体" w:eastAsia="宋体" w:cs="宋体"/>
                <w:b w:val="0"/>
                <w:bCs/>
                <w:color w:val="auto"/>
                <w:sz w:val="24"/>
                <w:szCs w:val="24"/>
                <w:highlight w:val="none"/>
                <w:vertAlign w:val="baseline"/>
                <w:lang w:val="en-US" w:eastAsia="zh-CN"/>
              </w:rPr>
            </w:pPr>
          </w:p>
        </w:tc>
        <w:tc>
          <w:tcPr>
            <w:tcW w:w="609" w:type="dxa"/>
            <w:noWrap w:val="0"/>
            <w:vAlign w:val="center"/>
          </w:tcPr>
          <w:p w14:paraId="2BCA9338">
            <w:pPr>
              <w:keepNext w:val="0"/>
              <w:keepLines w:val="0"/>
              <w:pageBreakBefore w:val="0"/>
              <w:widowControl w:val="0"/>
              <w:numPr>
                <w:ilvl w:val="0"/>
                <w:numId w:val="0"/>
              </w:numPr>
              <w:kinsoku/>
              <w:wordWrap/>
              <w:overflowPunct/>
              <w:topLinePunct w:val="0"/>
              <w:autoSpaceDE/>
              <w:autoSpaceDN/>
              <w:bidi w:val="0"/>
              <w:adjustRightInd/>
              <w:snapToGrid/>
              <w:spacing w:line="500" w:lineRule="exact"/>
              <w:jc w:val="center"/>
              <w:textAlignment w:val="auto"/>
              <w:rPr>
                <w:rFonts w:hint="eastAsia" w:ascii="宋体" w:hAnsi="宋体" w:eastAsia="宋体" w:cs="宋体"/>
                <w:b w:val="0"/>
                <w:bCs/>
                <w:color w:val="auto"/>
                <w:sz w:val="24"/>
                <w:szCs w:val="24"/>
                <w:highlight w:val="none"/>
                <w:vertAlign w:val="baseline"/>
                <w:lang w:val="en-US" w:eastAsia="zh-CN"/>
              </w:rPr>
            </w:pPr>
          </w:p>
        </w:tc>
      </w:tr>
      <w:tr w14:paraId="672BFE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2" w:type="dxa"/>
            <w:noWrap w:val="0"/>
            <w:vAlign w:val="center"/>
          </w:tcPr>
          <w:p w14:paraId="4C607FF7">
            <w:pPr>
              <w:autoSpaceDE w:val="0"/>
              <w:autoSpaceDN w:val="0"/>
              <w:adjustRightInd w:val="0"/>
              <w:spacing w:line="360" w:lineRule="auto"/>
              <w:jc w:val="center"/>
              <w:rPr>
                <w:rFonts w:hint="eastAsia" w:ascii="宋体" w:hAnsi="宋体" w:eastAsia="宋体" w:cs="宋体"/>
                <w:b w:val="0"/>
                <w:bCs/>
                <w:color w:val="auto"/>
                <w:sz w:val="24"/>
                <w:szCs w:val="24"/>
                <w:highlight w:val="none"/>
                <w:vertAlign w:val="baseline"/>
                <w:lang w:val="en-US" w:eastAsia="zh-CN"/>
              </w:rPr>
            </w:pPr>
            <w:r>
              <w:rPr>
                <w:rFonts w:hint="eastAsia" w:ascii="宋体" w:hAnsi="宋体" w:eastAsia="宋体" w:cs="宋体"/>
                <w:color w:val="auto"/>
                <w:kern w:val="0"/>
                <w:sz w:val="24"/>
                <w:szCs w:val="24"/>
                <w:lang w:val="en-US" w:eastAsia="zh-CN"/>
              </w:rPr>
              <w:t>3</w:t>
            </w:r>
          </w:p>
        </w:tc>
        <w:tc>
          <w:tcPr>
            <w:tcW w:w="1320" w:type="dxa"/>
            <w:noWrap w:val="0"/>
            <w:vAlign w:val="center"/>
          </w:tcPr>
          <w:p w14:paraId="75E455CB">
            <w:pPr>
              <w:autoSpaceDE w:val="0"/>
              <w:autoSpaceDN w:val="0"/>
              <w:adjustRightInd w:val="0"/>
              <w:spacing w:line="360" w:lineRule="auto"/>
              <w:jc w:val="center"/>
              <w:rPr>
                <w:rFonts w:hint="eastAsia" w:ascii="宋体" w:hAnsi="宋体" w:eastAsia="宋体" w:cs="宋体"/>
                <w:b w:val="0"/>
                <w:bCs/>
                <w:color w:val="auto"/>
                <w:sz w:val="24"/>
                <w:szCs w:val="24"/>
                <w:highlight w:val="none"/>
                <w:vertAlign w:val="baseline"/>
                <w:lang w:val="en-US" w:eastAsia="zh-CN"/>
              </w:rPr>
            </w:pPr>
            <w:r>
              <w:rPr>
                <w:rFonts w:hint="eastAsia" w:ascii="宋体" w:hAnsi="宋体" w:eastAsia="宋体" w:cs="宋体"/>
                <w:color w:val="auto"/>
                <w:kern w:val="0"/>
                <w:sz w:val="24"/>
                <w:szCs w:val="24"/>
                <w:lang w:val="en-US" w:eastAsia="zh-CN"/>
              </w:rPr>
              <w:t>机房电脑（教师用机）</w:t>
            </w:r>
          </w:p>
        </w:tc>
        <w:tc>
          <w:tcPr>
            <w:tcW w:w="1396" w:type="dxa"/>
            <w:noWrap w:val="0"/>
            <w:vAlign w:val="center"/>
          </w:tcPr>
          <w:p w14:paraId="5586F0BE">
            <w:pPr>
              <w:autoSpaceDE w:val="0"/>
              <w:autoSpaceDN w:val="0"/>
              <w:adjustRightInd w:val="0"/>
              <w:spacing w:line="360" w:lineRule="auto"/>
              <w:jc w:val="center"/>
              <w:rPr>
                <w:rFonts w:hint="eastAsia" w:ascii="宋体" w:hAnsi="宋体" w:eastAsia="宋体" w:cs="宋体"/>
                <w:b w:val="0"/>
                <w:bCs/>
                <w:color w:val="auto"/>
                <w:sz w:val="24"/>
                <w:szCs w:val="24"/>
                <w:highlight w:val="none"/>
                <w:vertAlign w:val="baseline"/>
                <w:lang w:val="en-US" w:eastAsia="zh-CN"/>
              </w:rPr>
            </w:pPr>
            <w:r>
              <w:rPr>
                <w:rFonts w:hint="eastAsia" w:ascii="宋体" w:hAnsi="宋体" w:eastAsia="宋体" w:cs="宋体"/>
                <w:color w:val="auto"/>
                <w:kern w:val="0"/>
                <w:sz w:val="24"/>
                <w:szCs w:val="24"/>
                <w:lang w:val="en-US" w:eastAsia="zh-CN"/>
              </w:rPr>
              <w:t>A02010105</w:t>
            </w:r>
          </w:p>
        </w:tc>
        <w:tc>
          <w:tcPr>
            <w:tcW w:w="921" w:type="dxa"/>
            <w:noWrap w:val="0"/>
            <w:vAlign w:val="center"/>
          </w:tcPr>
          <w:p w14:paraId="7A27128B">
            <w:pPr>
              <w:autoSpaceDE w:val="0"/>
              <w:autoSpaceDN w:val="0"/>
              <w:adjustRightInd w:val="0"/>
              <w:spacing w:line="360" w:lineRule="auto"/>
              <w:jc w:val="center"/>
              <w:rPr>
                <w:rFonts w:hint="eastAsia" w:ascii="宋体" w:hAnsi="宋体" w:eastAsia="宋体" w:cs="宋体"/>
                <w:b w:val="0"/>
                <w:bCs/>
                <w:color w:val="auto"/>
                <w:sz w:val="24"/>
                <w:szCs w:val="24"/>
                <w:highlight w:val="none"/>
                <w:vertAlign w:val="baseline"/>
                <w:lang w:val="en-US" w:eastAsia="zh-CN"/>
              </w:rPr>
            </w:pPr>
            <w:r>
              <w:rPr>
                <w:rFonts w:hint="eastAsia" w:ascii="宋体" w:hAnsi="宋体" w:eastAsia="宋体" w:cs="宋体"/>
                <w:color w:val="auto"/>
                <w:kern w:val="0"/>
                <w:sz w:val="24"/>
                <w:szCs w:val="24"/>
                <w:lang w:val="en-US" w:eastAsia="zh-CN"/>
              </w:rPr>
              <w:t>台</w:t>
            </w:r>
          </w:p>
        </w:tc>
        <w:tc>
          <w:tcPr>
            <w:tcW w:w="978" w:type="dxa"/>
            <w:noWrap w:val="0"/>
            <w:vAlign w:val="center"/>
          </w:tcPr>
          <w:p w14:paraId="306023AD">
            <w:pPr>
              <w:autoSpaceDE w:val="0"/>
              <w:autoSpaceDN w:val="0"/>
              <w:adjustRightInd w:val="0"/>
              <w:spacing w:line="360" w:lineRule="auto"/>
              <w:jc w:val="center"/>
              <w:rPr>
                <w:rFonts w:hint="eastAsia" w:ascii="宋体" w:hAnsi="宋体" w:eastAsia="宋体" w:cs="宋体"/>
                <w:b w:val="0"/>
                <w:bCs/>
                <w:color w:val="auto"/>
                <w:sz w:val="24"/>
                <w:szCs w:val="24"/>
                <w:highlight w:val="none"/>
                <w:vertAlign w:val="baseline"/>
                <w:lang w:val="en-US" w:eastAsia="zh-CN"/>
              </w:rPr>
            </w:pPr>
            <w:r>
              <w:rPr>
                <w:rFonts w:hint="eastAsia" w:ascii="宋体" w:hAnsi="宋体" w:eastAsia="宋体" w:cs="宋体"/>
                <w:color w:val="auto"/>
                <w:kern w:val="0"/>
                <w:sz w:val="24"/>
                <w:szCs w:val="24"/>
                <w:lang w:val="en-US" w:eastAsia="zh-CN"/>
              </w:rPr>
              <w:t>2</w:t>
            </w:r>
          </w:p>
        </w:tc>
        <w:tc>
          <w:tcPr>
            <w:tcW w:w="1132" w:type="dxa"/>
            <w:vMerge w:val="continue"/>
            <w:noWrap w:val="0"/>
            <w:vAlign w:val="center"/>
          </w:tcPr>
          <w:p w14:paraId="74FCFF15">
            <w:pPr>
              <w:autoSpaceDE w:val="0"/>
              <w:autoSpaceDN w:val="0"/>
              <w:adjustRightInd w:val="0"/>
              <w:spacing w:line="360" w:lineRule="auto"/>
              <w:jc w:val="center"/>
              <w:rPr>
                <w:rFonts w:hint="eastAsia" w:ascii="宋体" w:hAnsi="宋体" w:eastAsia="宋体" w:cs="宋体"/>
                <w:b w:val="0"/>
                <w:bCs/>
                <w:color w:val="auto"/>
                <w:sz w:val="24"/>
                <w:szCs w:val="24"/>
                <w:highlight w:val="none"/>
                <w:vertAlign w:val="baseline"/>
                <w:lang w:val="en-US" w:eastAsia="zh-CN"/>
              </w:rPr>
            </w:pPr>
          </w:p>
        </w:tc>
        <w:tc>
          <w:tcPr>
            <w:tcW w:w="920" w:type="dxa"/>
            <w:vMerge w:val="continue"/>
            <w:noWrap w:val="0"/>
            <w:vAlign w:val="center"/>
          </w:tcPr>
          <w:p w14:paraId="2CC6BE76">
            <w:pPr>
              <w:keepNext w:val="0"/>
              <w:keepLines w:val="0"/>
              <w:pageBreakBefore w:val="0"/>
              <w:widowControl w:val="0"/>
              <w:numPr>
                <w:ilvl w:val="0"/>
                <w:numId w:val="0"/>
              </w:numPr>
              <w:kinsoku/>
              <w:wordWrap/>
              <w:overflowPunct/>
              <w:topLinePunct w:val="0"/>
              <w:autoSpaceDE/>
              <w:autoSpaceDN/>
              <w:bidi w:val="0"/>
              <w:adjustRightInd/>
              <w:snapToGrid/>
              <w:spacing w:line="500" w:lineRule="exact"/>
              <w:jc w:val="center"/>
              <w:textAlignment w:val="auto"/>
              <w:rPr>
                <w:rFonts w:hint="eastAsia" w:ascii="宋体" w:hAnsi="宋体" w:eastAsia="宋体" w:cs="宋体"/>
                <w:b w:val="0"/>
                <w:bCs/>
                <w:color w:val="auto"/>
                <w:sz w:val="24"/>
                <w:szCs w:val="24"/>
                <w:highlight w:val="none"/>
                <w:vertAlign w:val="baseline"/>
                <w:lang w:val="en-US" w:eastAsia="zh-CN"/>
              </w:rPr>
            </w:pPr>
          </w:p>
        </w:tc>
        <w:tc>
          <w:tcPr>
            <w:tcW w:w="608" w:type="dxa"/>
            <w:vMerge w:val="continue"/>
            <w:noWrap w:val="0"/>
            <w:vAlign w:val="center"/>
          </w:tcPr>
          <w:p w14:paraId="6716F925">
            <w:pPr>
              <w:keepNext w:val="0"/>
              <w:keepLines w:val="0"/>
              <w:pageBreakBefore w:val="0"/>
              <w:widowControl w:val="0"/>
              <w:numPr>
                <w:ilvl w:val="0"/>
                <w:numId w:val="0"/>
              </w:numPr>
              <w:kinsoku/>
              <w:wordWrap/>
              <w:overflowPunct/>
              <w:topLinePunct w:val="0"/>
              <w:autoSpaceDE/>
              <w:autoSpaceDN/>
              <w:bidi w:val="0"/>
              <w:adjustRightInd/>
              <w:snapToGrid/>
              <w:spacing w:line="500" w:lineRule="exact"/>
              <w:jc w:val="center"/>
              <w:textAlignment w:val="auto"/>
              <w:rPr>
                <w:rFonts w:hint="eastAsia" w:ascii="宋体" w:hAnsi="宋体" w:eastAsia="宋体" w:cs="宋体"/>
                <w:b w:val="0"/>
                <w:bCs/>
                <w:color w:val="auto"/>
                <w:sz w:val="24"/>
                <w:szCs w:val="24"/>
                <w:highlight w:val="none"/>
                <w:vertAlign w:val="baseline"/>
                <w:lang w:val="en-US" w:eastAsia="zh-CN"/>
              </w:rPr>
            </w:pPr>
          </w:p>
        </w:tc>
        <w:tc>
          <w:tcPr>
            <w:tcW w:w="609" w:type="dxa"/>
            <w:noWrap w:val="0"/>
            <w:vAlign w:val="center"/>
          </w:tcPr>
          <w:p w14:paraId="2A665F1A">
            <w:pPr>
              <w:keepNext w:val="0"/>
              <w:keepLines w:val="0"/>
              <w:pageBreakBefore w:val="0"/>
              <w:widowControl w:val="0"/>
              <w:numPr>
                <w:ilvl w:val="0"/>
                <w:numId w:val="0"/>
              </w:numPr>
              <w:kinsoku/>
              <w:wordWrap/>
              <w:overflowPunct/>
              <w:topLinePunct w:val="0"/>
              <w:autoSpaceDE/>
              <w:autoSpaceDN/>
              <w:bidi w:val="0"/>
              <w:adjustRightInd/>
              <w:snapToGrid/>
              <w:spacing w:line="500" w:lineRule="exact"/>
              <w:jc w:val="center"/>
              <w:textAlignment w:val="auto"/>
              <w:rPr>
                <w:rFonts w:hint="eastAsia" w:ascii="宋体" w:hAnsi="宋体" w:eastAsia="宋体" w:cs="宋体"/>
                <w:b w:val="0"/>
                <w:bCs/>
                <w:color w:val="auto"/>
                <w:sz w:val="24"/>
                <w:szCs w:val="24"/>
                <w:highlight w:val="none"/>
                <w:vertAlign w:val="baseline"/>
                <w:lang w:val="en-US" w:eastAsia="zh-CN"/>
              </w:rPr>
            </w:pPr>
          </w:p>
        </w:tc>
      </w:tr>
      <w:tr w14:paraId="02F4EA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2" w:type="dxa"/>
            <w:noWrap w:val="0"/>
            <w:vAlign w:val="center"/>
          </w:tcPr>
          <w:p w14:paraId="54AA4D0A">
            <w:pPr>
              <w:autoSpaceDE w:val="0"/>
              <w:autoSpaceDN w:val="0"/>
              <w:adjustRightInd w:val="0"/>
              <w:spacing w:line="360" w:lineRule="auto"/>
              <w:jc w:val="center"/>
              <w:rPr>
                <w:rFonts w:hint="eastAsia" w:ascii="宋体" w:hAnsi="宋体" w:eastAsia="宋体" w:cs="宋体"/>
                <w:b w:val="0"/>
                <w:bCs/>
                <w:color w:val="auto"/>
                <w:sz w:val="24"/>
                <w:szCs w:val="24"/>
                <w:highlight w:val="none"/>
                <w:vertAlign w:val="baseline"/>
                <w:lang w:val="en-US" w:eastAsia="zh-CN"/>
              </w:rPr>
            </w:pPr>
            <w:r>
              <w:rPr>
                <w:rFonts w:hint="eastAsia" w:ascii="宋体" w:hAnsi="宋体" w:eastAsia="宋体" w:cs="宋体"/>
                <w:color w:val="auto"/>
                <w:kern w:val="0"/>
                <w:sz w:val="24"/>
                <w:szCs w:val="24"/>
                <w:lang w:val="en-US" w:eastAsia="zh-CN"/>
              </w:rPr>
              <w:t>4</w:t>
            </w:r>
          </w:p>
        </w:tc>
        <w:tc>
          <w:tcPr>
            <w:tcW w:w="1320" w:type="dxa"/>
            <w:noWrap w:val="0"/>
            <w:vAlign w:val="center"/>
          </w:tcPr>
          <w:p w14:paraId="43B94A61">
            <w:pPr>
              <w:autoSpaceDE w:val="0"/>
              <w:autoSpaceDN w:val="0"/>
              <w:adjustRightInd w:val="0"/>
              <w:spacing w:line="360" w:lineRule="auto"/>
              <w:jc w:val="center"/>
              <w:rPr>
                <w:rFonts w:hint="eastAsia" w:ascii="宋体" w:hAnsi="宋体" w:eastAsia="宋体" w:cs="宋体"/>
                <w:b w:val="0"/>
                <w:bCs/>
                <w:color w:val="auto"/>
                <w:sz w:val="24"/>
                <w:szCs w:val="24"/>
                <w:highlight w:val="none"/>
                <w:vertAlign w:val="baseline"/>
                <w:lang w:val="en-US" w:eastAsia="zh-CN"/>
              </w:rPr>
            </w:pPr>
            <w:r>
              <w:rPr>
                <w:rFonts w:hint="eastAsia" w:ascii="宋体" w:hAnsi="宋体" w:eastAsia="宋体" w:cs="宋体"/>
                <w:color w:val="auto"/>
                <w:kern w:val="0"/>
                <w:sz w:val="24"/>
                <w:szCs w:val="24"/>
                <w:lang w:val="en-US" w:eastAsia="zh-CN"/>
              </w:rPr>
              <w:t>教学管理软件</w:t>
            </w:r>
          </w:p>
        </w:tc>
        <w:tc>
          <w:tcPr>
            <w:tcW w:w="1396" w:type="dxa"/>
            <w:noWrap w:val="0"/>
            <w:vAlign w:val="center"/>
          </w:tcPr>
          <w:p w14:paraId="28DCBB88">
            <w:pPr>
              <w:numPr>
                <w:ilvl w:val="0"/>
                <w:numId w:val="0"/>
              </w:numPr>
              <w:spacing w:line="360" w:lineRule="auto"/>
              <w:ind w:left="0" w:leftChars="0" w:firstLine="0" w:firstLineChars="0"/>
              <w:jc w:val="center"/>
              <w:rPr>
                <w:rFonts w:hint="eastAsia" w:ascii="宋体" w:hAnsi="宋体" w:eastAsia="宋体" w:cs="宋体"/>
                <w:b w:val="0"/>
                <w:bCs/>
                <w:color w:val="auto"/>
                <w:sz w:val="24"/>
                <w:szCs w:val="24"/>
                <w:highlight w:val="none"/>
                <w:vertAlign w:val="baseline"/>
                <w:lang w:val="en-US" w:eastAsia="zh-CN"/>
              </w:rPr>
            </w:pPr>
          </w:p>
        </w:tc>
        <w:tc>
          <w:tcPr>
            <w:tcW w:w="921" w:type="dxa"/>
            <w:noWrap w:val="0"/>
            <w:vAlign w:val="center"/>
          </w:tcPr>
          <w:p w14:paraId="1CE63784">
            <w:pPr>
              <w:autoSpaceDE w:val="0"/>
              <w:autoSpaceDN w:val="0"/>
              <w:adjustRightInd w:val="0"/>
              <w:spacing w:line="360" w:lineRule="auto"/>
              <w:jc w:val="center"/>
              <w:rPr>
                <w:rFonts w:hint="eastAsia" w:ascii="宋体" w:hAnsi="宋体" w:eastAsia="宋体" w:cs="宋体"/>
                <w:b w:val="0"/>
                <w:bCs/>
                <w:color w:val="auto"/>
                <w:sz w:val="24"/>
                <w:szCs w:val="24"/>
                <w:highlight w:val="none"/>
                <w:vertAlign w:val="baseline"/>
                <w:lang w:val="en-US" w:eastAsia="zh-CN"/>
              </w:rPr>
            </w:pPr>
            <w:r>
              <w:rPr>
                <w:rFonts w:hint="eastAsia" w:ascii="宋体" w:hAnsi="宋体" w:eastAsia="宋体" w:cs="宋体"/>
                <w:color w:val="auto"/>
                <w:kern w:val="0"/>
                <w:sz w:val="24"/>
                <w:szCs w:val="24"/>
                <w:lang w:val="en-US" w:eastAsia="zh-CN"/>
              </w:rPr>
              <w:t>套</w:t>
            </w:r>
          </w:p>
        </w:tc>
        <w:tc>
          <w:tcPr>
            <w:tcW w:w="978" w:type="dxa"/>
            <w:noWrap w:val="0"/>
            <w:vAlign w:val="center"/>
          </w:tcPr>
          <w:p w14:paraId="0F360A37">
            <w:pPr>
              <w:autoSpaceDE w:val="0"/>
              <w:autoSpaceDN w:val="0"/>
              <w:adjustRightInd w:val="0"/>
              <w:spacing w:line="360" w:lineRule="auto"/>
              <w:jc w:val="center"/>
              <w:rPr>
                <w:rFonts w:hint="eastAsia" w:ascii="宋体" w:hAnsi="宋体" w:eastAsia="宋体" w:cs="宋体"/>
                <w:b w:val="0"/>
                <w:bCs/>
                <w:color w:val="auto"/>
                <w:sz w:val="24"/>
                <w:szCs w:val="24"/>
                <w:highlight w:val="none"/>
                <w:vertAlign w:val="baseline"/>
                <w:lang w:val="en-US" w:eastAsia="zh-CN"/>
              </w:rPr>
            </w:pPr>
            <w:r>
              <w:rPr>
                <w:rFonts w:hint="eastAsia" w:ascii="宋体" w:hAnsi="宋体" w:eastAsia="宋体" w:cs="宋体"/>
                <w:color w:val="auto"/>
                <w:kern w:val="0"/>
                <w:sz w:val="24"/>
                <w:szCs w:val="24"/>
                <w:lang w:val="en-US" w:eastAsia="zh-CN"/>
              </w:rPr>
              <w:t>2</w:t>
            </w:r>
          </w:p>
        </w:tc>
        <w:tc>
          <w:tcPr>
            <w:tcW w:w="1132" w:type="dxa"/>
            <w:vMerge w:val="continue"/>
            <w:noWrap w:val="0"/>
            <w:vAlign w:val="center"/>
          </w:tcPr>
          <w:p w14:paraId="26B5CD34">
            <w:pPr>
              <w:autoSpaceDE w:val="0"/>
              <w:autoSpaceDN w:val="0"/>
              <w:adjustRightInd w:val="0"/>
              <w:spacing w:line="360" w:lineRule="auto"/>
              <w:jc w:val="center"/>
              <w:rPr>
                <w:rFonts w:hint="eastAsia" w:ascii="宋体" w:hAnsi="宋体" w:eastAsia="宋体" w:cs="宋体"/>
                <w:b w:val="0"/>
                <w:bCs/>
                <w:color w:val="auto"/>
                <w:sz w:val="24"/>
                <w:szCs w:val="24"/>
                <w:highlight w:val="none"/>
                <w:vertAlign w:val="baseline"/>
                <w:lang w:val="en-US" w:eastAsia="zh-CN"/>
              </w:rPr>
            </w:pPr>
          </w:p>
        </w:tc>
        <w:tc>
          <w:tcPr>
            <w:tcW w:w="920" w:type="dxa"/>
            <w:vMerge w:val="continue"/>
            <w:noWrap w:val="0"/>
            <w:vAlign w:val="center"/>
          </w:tcPr>
          <w:p w14:paraId="2B530BD6">
            <w:pPr>
              <w:keepNext w:val="0"/>
              <w:keepLines w:val="0"/>
              <w:pageBreakBefore w:val="0"/>
              <w:widowControl w:val="0"/>
              <w:numPr>
                <w:ilvl w:val="0"/>
                <w:numId w:val="0"/>
              </w:numPr>
              <w:kinsoku/>
              <w:wordWrap/>
              <w:overflowPunct/>
              <w:topLinePunct w:val="0"/>
              <w:autoSpaceDE/>
              <w:autoSpaceDN/>
              <w:bidi w:val="0"/>
              <w:adjustRightInd/>
              <w:snapToGrid/>
              <w:spacing w:line="500" w:lineRule="exact"/>
              <w:jc w:val="center"/>
              <w:textAlignment w:val="auto"/>
              <w:rPr>
                <w:rFonts w:hint="eastAsia" w:ascii="宋体" w:hAnsi="宋体" w:eastAsia="宋体" w:cs="宋体"/>
                <w:b w:val="0"/>
                <w:bCs/>
                <w:color w:val="auto"/>
                <w:sz w:val="24"/>
                <w:szCs w:val="24"/>
                <w:highlight w:val="none"/>
                <w:vertAlign w:val="baseline"/>
                <w:lang w:val="en-US" w:eastAsia="zh-CN"/>
              </w:rPr>
            </w:pPr>
          </w:p>
        </w:tc>
        <w:tc>
          <w:tcPr>
            <w:tcW w:w="608" w:type="dxa"/>
            <w:vMerge w:val="continue"/>
            <w:noWrap w:val="0"/>
            <w:vAlign w:val="center"/>
          </w:tcPr>
          <w:p w14:paraId="116F29F2">
            <w:pPr>
              <w:keepNext w:val="0"/>
              <w:keepLines w:val="0"/>
              <w:pageBreakBefore w:val="0"/>
              <w:widowControl w:val="0"/>
              <w:numPr>
                <w:ilvl w:val="0"/>
                <w:numId w:val="0"/>
              </w:numPr>
              <w:kinsoku/>
              <w:wordWrap/>
              <w:overflowPunct/>
              <w:topLinePunct w:val="0"/>
              <w:autoSpaceDE/>
              <w:autoSpaceDN/>
              <w:bidi w:val="0"/>
              <w:adjustRightInd/>
              <w:snapToGrid/>
              <w:spacing w:line="500" w:lineRule="exact"/>
              <w:jc w:val="center"/>
              <w:textAlignment w:val="auto"/>
              <w:rPr>
                <w:rFonts w:hint="eastAsia" w:ascii="宋体" w:hAnsi="宋体" w:eastAsia="宋体" w:cs="宋体"/>
                <w:b w:val="0"/>
                <w:bCs/>
                <w:color w:val="auto"/>
                <w:sz w:val="24"/>
                <w:szCs w:val="24"/>
                <w:highlight w:val="none"/>
                <w:vertAlign w:val="baseline"/>
                <w:lang w:val="en-US" w:eastAsia="zh-CN"/>
              </w:rPr>
            </w:pPr>
          </w:p>
        </w:tc>
        <w:tc>
          <w:tcPr>
            <w:tcW w:w="609" w:type="dxa"/>
            <w:noWrap w:val="0"/>
            <w:vAlign w:val="center"/>
          </w:tcPr>
          <w:p w14:paraId="0375E38A">
            <w:pPr>
              <w:keepNext w:val="0"/>
              <w:keepLines w:val="0"/>
              <w:pageBreakBefore w:val="0"/>
              <w:widowControl w:val="0"/>
              <w:numPr>
                <w:ilvl w:val="0"/>
                <w:numId w:val="0"/>
              </w:numPr>
              <w:kinsoku/>
              <w:wordWrap/>
              <w:overflowPunct/>
              <w:topLinePunct w:val="0"/>
              <w:autoSpaceDE/>
              <w:autoSpaceDN/>
              <w:bidi w:val="0"/>
              <w:adjustRightInd/>
              <w:snapToGrid/>
              <w:spacing w:line="500" w:lineRule="exact"/>
              <w:jc w:val="center"/>
              <w:textAlignment w:val="auto"/>
              <w:rPr>
                <w:rFonts w:hint="eastAsia" w:ascii="宋体" w:hAnsi="宋体" w:eastAsia="宋体" w:cs="宋体"/>
                <w:b w:val="0"/>
                <w:bCs/>
                <w:color w:val="auto"/>
                <w:sz w:val="24"/>
                <w:szCs w:val="24"/>
                <w:highlight w:val="none"/>
                <w:vertAlign w:val="baseline"/>
                <w:lang w:val="en-US" w:eastAsia="zh-CN"/>
              </w:rPr>
            </w:pPr>
          </w:p>
        </w:tc>
      </w:tr>
      <w:tr w14:paraId="108C67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2" w:type="dxa"/>
            <w:noWrap w:val="0"/>
            <w:vAlign w:val="center"/>
          </w:tcPr>
          <w:p w14:paraId="73866BDF">
            <w:pPr>
              <w:autoSpaceDE w:val="0"/>
              <w:autoSpaceDN w:val="0"/>
              <w:adjustRightInd w:val="0"/>
              <w:spacing w:line="360" w:lineRule="auto"/>
              <w:jc w:val="center"/>
              <w:rPr>
                <w:rFonts w:hint="eastAsia" w:ascii="宋体" w:hAnsi="宋体" w:eastAsia="宋体" w:cs="宋体"/>
                <w:b w:val="0"/>
                <w:bCs/>
                <w:color w:val="auto"/>
                <w:sz w:val="24"/>
                <w:szCs w:val="24"/>
                <w:highlight w:val="none"/>
                <w:vertAlign w:val="baseline"/>
                <w:lang w:val="en-US" w:eastAsia="zh-CN"/>
              </w:rPr>
            </w:pPr>
            <w:r>
              <w:rPr>
                <w:rFonts w:hint="eastAsia" w:ascii="宋体" w:hAnsi="宋体" w:eastAsia="宋体" w:cs="宋体"/>
                <w:color w:val="auto"/>
                <w:kern w:val="0"/>
                <w:sz w:val="24"/>
                <w:szCs w:val="24"/>
                <w:lang w:val="en-US" w:eastAsia="zh-CN"/>
              </w:rPr>
              <w:t>5</w:t>
            </w:r>
          </w:p>
        </w:tc>
        <w:tc>
          <w:tcPr>
            <w:tcW w:w="1320" w:type="dxa"/>
            <w:noWrap w:val="0"/>
            <w:vAlign w:val="center"/>
          </w:tcPr>
          <w:p w14:paraId="4F66534A">
            <w:pPr>
              <w:autoSpaceDE w:val="0"/>
              <w:autoSpaceDN w:val="0"/>
              <w:adjustRightInd w:val="0"/>
              <w:spacing w:line="360" w:lineRule="auto"/>
              <w:jc w:val="center"/>
              <w:rPr>
                <w:rFonts w:hint="eastAsia" w:ascii="宋体" w:hAnsi="宋体" w:eastAsia="宋体" w:cs="宋体"/>
                <w:b w:val="0"/>
                <w:bCs/>
                <w:color w:val="auto"/>
                <w:sz w:val="24"/>
                <w:szCs w:val="24"/>
                <w:highlight w:val="none"/>
                <w:vertAlign w:val="baseline"/>
                <w:lang w:val="en-US" w:eastAsia="zh-CN"/>
              </w:rPr>
            </w:pPr>
            <w:r>
              <w:rPr>
                <w:rFonts w:hint="eastAsia" w:ascii="宋体" w:hAnsi="宋体" w:eastAsia="宋体" w:cs="宋体"/>
                <w:color w:val="auto"/>
                <w:kern w:val="0"/>
                <w:sz w:val="24"/>
                <w:szCs w:val="24"/>
                <w:lang w:val="en-US" w:eastAsia="zh-CN"/>
              </w:rPr>
              <w:t>交换机</w:t>
            </w:r>
          </w:p>
        </w:tc>
        <w:tc>
          <w:tcPr>
            <w:tcW w:w="1396" w:type="dxa"/>
            <w:noWrap w:val="0"/>
            <w:vAlign w:val="center"/>
          </w:tcPr>
          <w:p w14:paraId="2B765231">
            <w:pPr>
              <w:autoSpaceDE w:val="0"/>
              <w:autoSpaceDN w:val="0"/>
              <w:adjustRightInd w:val="0"/>
              <w:spacing w:line="360" w:lineRule="auto"/>
              <w:jc w:val="center"/>
              <w:rPr>
                <w:rFonts w:hint="eastAsia" w:ascii="宋体" w:hAnsi="宋体" w:eastAsia="宋体" w:cs="宋体"/>
                <w:b w:val="0"/>
                <w:bCs/>
                <w:color w:val="auto"/>
                <w:sz w:val="24"/>
                <w:szCs w:val="24"/>
                <w:highlight w:val="none"/>
                <w:vertAlign w:val="baseline"/>
                <w:lang w:val="en-US" w:eastAsia="zh-CN"/>
              </w:rPr>
            </w:pPr>
            <w:r>
              <w:rPr>
                <w:rFonts w:hint="eastAsia" w:ascii="宋体" w:hAnsi="宋体" w:eastAsia="宋体" w:cs="宋体"/>
                <w:color w:val="auto"/>
                <w:kern w:val="0"/>
                <w:sz w:val="24"/>
                <w:szCs w:val="24"/>
                <w:lang w:val="en-US" w:eastAsia="zh-CN"/>
              </w:rPr>
              <w:t>A02010201</w:t>
            </w:r>
          </w:p>
        </w:tc>
        <w:tc>
          <w:tcPr>
            <w:tcW w:w="921" w:type="dxa"/>
            <w:noWrap w:val="0"/>
            <w:vAlign w:val="center"/>
          </w:tcPr>
          <w:p w14:paraId="1E68AA7F">
            <w:pPr>
              <w:autoSpaceDE w:val="0"/>
              <w:autoSpaceDN w:val="0"/>
              <w:adjustRightInd w:val="0"/>
              <w:spacing w:line="360" w:lineRule="auto"/>
              <w:jc w:val="center"/>
              <w:rPr>
                <w:rFonts w:hint="eastAsia" w:ascii="宋体" w:hAnsi="宋体" w:eastAsia="宋体" w:cs="宋体"/>
                <w:b w:val="0"/>
                <w:bCs/>
                <w:color w:val="auto"/>
                <w:sz w:val="24"/>
                <w:szCs w:val="24"/>
                <w:highlight w:val="none"/>
                <w:vertAlign w:val="baseline"/>
                <w:lang w:val="en-US" w:eastAsia="zh-CN"/>
              </w:rPr>
            </w:pPr>
            <w:r>
              <w:rPr>
                <w:rFonts w:hint="eastAsia" w:ascii="宋体" w:hAnsi="宋体" w:eastAsia="宋体" w:cs="宋体"/>
                <w:color w:val="auto"/>
                <w:kern w:val="0"/>
                <w:sz w:val="24"/>
                <w:szCs w:val="24"/>
                <w:lang w:val="en-US" w:eastAsia="zh-CN"/>
              </w:rPr>
              <w:t>台</w:t>
            </w:r>
          </w:p>
        </w:tc>
        <w:tc>
          <w:tcPr>
            <w:tcW w:w="978" w:type="dxa"/>
            <w:noWrap w:val="0"/>
            <w:vAlign w:val="center"/>
          </w:tcPr>
          <w:p w14:paraId="26644EB1">
            <w:pPr>
              <w:autoSpaceDE w:val="0"/>
              <w:autoSpaceDN w:val="0"/>
              <w:adjustRightInd w:val="0"/>
              <w:spacing w:line="360" w:lineRule="auto"/>
              <w:jc w:val="center"/>
              <w:rPr>
                <w:rFonts w:hint="eastAsia" w:ascii="宋体" w:hAnsi="宋体" w:eastAsia="宋体" w:cs="宋体"/>
                <w:b w:val="0"/>
                <w:bCs/>
                <w:color w:val="auto"/>
                <w:sz w:val="24"/>
                <w:szCs w:val="24"/>
                <w:highlight w:val="none"/>
                <w:vertAlign w:val="baseline"/>
                <w:lang w:val="en-US" w:eastAsia="zh-CN"/>
              </w:rPr>
            </w:pPr>
            <w:r>
              <w:rPr>
                <w:rFonts w:hint="eastAsia" w:ascii="宋体" w:hAnsi="宋体" w:eastAsia="宋体" w:cs="宋体"/>
                <w:color w:val="auto"/>
                <w:kern w:val="0"/>
                <w:sz w:val="24"/>
                <w:szCs w:val="24"/>
                <w:lang w:val="en-US" w:eastAsia="zh-CN"/>
              </w:rPr>
              <w:t>2</w:t>
            </w:r>
          </w:p>
        </w:tc>
        <w:tc>
          <w:tcPr>
            <w:tcW w:w="1132" w:type="dxa"/>
            <w:vMerge w:val="continue"/>
            <w:noWrap w:val="0"/>
            <w:vAlign w:val="center"/>
          </w:tcPr>
          <w:p w14:paraId="179ECBDB">
            <w:pPr>
              <w:autoSpaceDE w:val="0"/>
              <w:autoSpaceDN w:val="0"/>
              <w:adjustRightInd w:val="0"/>
              <w:spacing w:line="360" w:lineRule="auto"/>
              <w:jc w:val="center"/>
              <w:rPr>
                <w:rFonts w:hint="eastAsia" w:ascii="宋体" w:hAnsi="宋体" w:eastAsia="宋体" w:cs="宋体"/>
                <w:b w:val="0"/>
                <w:bCs/>
                <w:color w:val="auto"/>
                <w:sz w:val="24"/>
                <w:szCs w:val="24"/>
                <w:highlight w:val="none"/>
                <w:vertAlign w:val="baseline"/>
                <w:lang w:val="en-US" w:eastAsia="zh-CN"/>
              </w:rPr>
            </w:pPr>
          </w:p>
        </w:tc>
        <w:tc>
          <w:tcPr>
            <w:tcW w:w="920" w:type="dxa"/>
            <w:vMerge w:val="continue"/>
            <w:noWrap w:val="0"/>
            <w:vAlign w:val="center"/>
          </w:tcPr>
          <w:p w14:paraId="36449480">
            <w:pPr>
              <w:keepNext w:val="0"/>
              <w:keepLines w:val="0"/>
              <w:pageBreakBefore w:val="0"/>
              <w:widowControl w:val="0"/>
              <w:numPr>
                <w:ilvl w:val="0"/>
                <w:numId w:val="0"/>
              </w:numPr>
              <w:kinsoku/>
              <w:wordWrap/>
              <w:overflowPunct/>
              <w:topLinePunct w:val="0"/>
              <w:autoSpaceDE/>
              <w:autoSpaceDN/>
              <w:bidi w:val="0"/>
              <w:adjustRightInd/>
              <w:snapToGrid/>
              <w:spacing w:line="500" w:lineRule="exact"/>
              <w:jc w:val="center"/>
              <w:textAlignment w:val="auto"/>
              <w:rPr>
                <w:rFonts w:hint="eastAsia" w:ascii="宋体" w:hAnsi="宋体" w:eastAsia="宋体" w:cs="宋体"/>
                <w:b w:val="0"/>
                <w:bCs/>
                <w:color w:val="auto"/>
                <w:sz w:val="24"/>
                <w:szCs w:val="24"/>
                <w:highlight w:val="none"/>
                <w:vertAlign w:val="baseline"/>
                <w:lang w:val="en-US" w:eastAsia="zh-CN"/>
              </w:rPr>
            </w:pPr>
          </w:p>
        </w:tc>
        <w:tc>
          <w:tcPr>
            <w:tcW w:w="608" w:type="dxa"/>
            <w:vMerge w:val="continue"/>
            <w:noWrap w:val="0"/>
            <w:vAlign w:val="center"/>
          </w:tcPr>
          <w:p w14:paraId="4B28FD89">
            <w:pPr>
              <w:keepNext w:val="0"/>
              <w:keepLines w:val="0"/>
              <w:pageBreakBefore w:val="0"/>
              <w:widowControl w:val="0"/>
              <w:numPr>
                <w:ilvl w:val="0"/>
                <w:numId w:val="0"/>
              </w:numPr>
              <w:kinsoku/>
              <w:wordWrap/>
              <w:overflowPunct/>
              <w:topLinePunct w:val="0"/>
              <w:autoSpaceDE/>
              <w:autoSpaceDN/>
              <w:bidi w:val="0"/>
              <w:adjustRightInd/>
              <w:snapToGrid/>
              <w:spacing w:line="500" w:lineRule="exact"/>
              <w:jc w:val="center"/>
              <w:textAlignment w:val="auto"/>
              <w:rPr>
                <w:rFonts w:hint="eastAsia" w:ascii="宋体" w:hAnsi="宋体" w:eastAsia="宋体" w:cs="宋体"/>
                <w:b w:val="0"/>
                <w:bCs/>
                <w:color w:val="auto"/>
                <w:sz w:val="24"/>
                <w:szCs w:val="24"/>
                <w:highlight w:val="none"/>
                <w:vertAlign w:val="baseline"/>
                <w:lang w:val="en-US" w:eastAsia="zh-CN"/>
              </w:rPr>
            </w:pPr>
          </w:p>
        </w:tc>
        <w:tc>
          <w:tcPr>
            <w:tcW w:w="609" w:type="dxa"/>
            <w:noWrap w:val="0"/>
            <w:vAlign w:val="center"/>
          </w:tcPr>
          <w:p w14:paraId="1C3C4FF5">
            <w:pPr>
              <w:keepNext w:val="0"/>
              <w:keepLines w:val="0"/>
              <w:pageBreakBefore w:val="0"/>
              <w:widowControl w:val="0"/>
              <w:numPr>
                <w:ilvl w:val="0"/>
                <w:numId w:val="0"/>
              </w:numPr>
              <w:kinsoku/>
              <w:wordWrap/>
              <w:overflowPunct/>
              <w:topLinePunct w:val="0"/>
              <w:autoSpaceDE/>
              <w:autoSpaceDN/>
              <w:bidi w:val="0"/>
              <w:adjustRightInd/>
              <w:snapToGrid/>
              <w:spacing w:line="500" w:lineRule="exact"/>
              <w:jc w:val="center"/>
              <w:textAlignment w:val="auto"/>
              <w:rPr>
                <w:rFonts w:hint="eastAsia" w:ascii="宋体" w:hAnsi="宋体" w:eastAsia="宋体" w:cs="宋体"/>
                <w:b w:val="0"/>
                <w:bCs/>
                <w:color w:val="auto"/>
                <w:sz w:val="24"/>
                <w:szCs w:val="24"/>
                <w:highlight w:val="none"/>
                <w:vertAlign w:val="baseline"/>
                <w:lang w:val="en-US" w:eastAsia="zh-CN"/>
              </w:rPr>
            </w:pPr>
          </w:p>
        </w:tc>
      </w:tr>
      <w:tr w14:paraId="0FF950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2" w:type="dxa"/>
            <w:noWrap w:val="0"/>
            <w:vAlign w:val="center"/>
          </w:tcPr>
          <w:p w14:paraId="7A7B71A6">
            <w:pPr>
              <w:autoSpaceDE w:val="0"/>
              <w:autoSpaceDN w:val="0"/>
              <w:adjustRightInd w:val="0"/>
              <w:spacing w:line="360" w:lineRule="auto"/>
              <w:jc w:val="center"/>
              <w:rPr>
                <w:rFonts w:hint="eastAsia" w:ascii="宋体" w:hAnsi="宋体" w:eastAsia="宋体" w:cs="宋体"/>
                <w:b w:val="0"/>
                <w:bCs/>
                <w:color w:val="auto"/>
                <w:sz w:val="24"/>
                <w:szCs w:val="24"/>
                <w:highlight w:val="none"/>
                <w:vertAlign w:val="baseline"/>
                <w:lang w:val="en-US" w:eastAsia="zh-CN"/>
              </w:rPr>
            </w:pPr>
            <w:r>
              <w:rPr>
                <w:rFonts w:hint="eastAsia" w:ascii="宋体" w:hAnsi="宋体" w:eastAsia="宋体" w:cs="宋体"/>
                <w:color w:val="auto"/>
                <w:kern w:val="0"/>
                <w:sz w:val="24"/>
                <w:szCs w:val="24"/>
                <w:lang w:val="en-US" w:eastAsia="zh-CN"/>
              </w:rPr>
              <w:t>6</w:t>
            </w:r>
          </w:p>
        </w:tc>
        <w:tc>
          <w:tcPr>
            <w:tcW w:w="1320" w:type="dxa"/>
            <w:noWrap w:val="0"/>
            <w:vAlign w:val="center"/>
          </w:tcPr>
          <w:p w14:paraId="1590C5B7">
            <w:pPr>
              <w:autoSpaceDE w:val="0"/>
              <w:autoSpaceDN w:val="0"/>
              <w:adjustRightInd w:val="0"/>
              <w:spacing w:line="360" w:lineRule="auto"/>
              <w:jc w:val="center"/>
              <w:rPr>
                <w:rFonts w:hint="eastAsia" w:ascii="宋体" w:hAnsi="宋体" w:eastAsia="宋体" w:cs="宋体"/>
                <w:b w:val="0"/>
                <w:bCs/>
                <w:color w:val="auto"/>
                <w:sz w:val="24"/>
                <w:szCs w:val="24"/>
                <w:highlight w:val="none"/>
                <w:vertAlign w:val="baseline"/>
                <w:lang w:val="en-US" w:eastAsia="zh-CN"/>
              </w:rPr>
            </w:pPr>
            <w:r>
              <w:rPr>
                <w:rFonts w:hint="eastAsia" w:ascii="宋体" w:hAnsi="宋体" w:eastAsia="宋体" w:cs="宋体"/>
                <w:color w:val="auto"/>
                <w:kern w:val="0"/>
                <w:sz w:val="24"/>
                <w:szCs w:val="24"/>
                <w:lang w:val="en-US" w:eastAsia="zh-CN"/>
              </w:rPr>
              <w:t>路由器</w:t>
            </w:r>
          </w:p>
        </w:tc>
        <w:tc>
          <w:tcPr>
            <w:tcW w:w="1396" w:type="dxa"/>
            <w:noWrap w:val="0"/>
            <w:vAlign w:val="center"/>
          </w:tcPr>
          <w:p w14:paraId="3DD6955C">
            <w:pPr>
              <w:autoSpaceDE w:val="0"/>
              <w:autoSpaceDN w:val="0"/>
              <w:adjustRightInd w:val="0"/>
              <w:spacing w:line="360" w:lineRule="auto"/>
              <w:jc w:val="center"/>
              <w:rPr>
                <w:rFonts w:hint="eastAsia" w:ascii="宋体" w:hAnsi="宋体" w:eastAsia="宋体" w:cs="宋体"/>
                <w:b w:val="0"/>
                <w:bCs/>
                <w:color w:val="auto"/>
                <w:sz w:val="24"/>
                <w:szCs w:val="24"/>
                <w:highlight w:val="none"/>
                <w:vertAlign w:val="baseline"/>
                <w:lang w:val="en-US" w:eastAsia="zh-CN"/>
              </w:rPr>
            </w:pPr>
            <w:r>
              <w:rPr>
                <w:rFonts w:hint="eastAsia" w:ascii="宋体" w:hAnsi="宋体" w:eastAsia="宋体" w:cs="宋体"/>
                <w:color w:val="auto"/>
                <w:kern w:val="0"/>
                <w:sz w:val="24"/>
                <w:szCs w:val="24"/>
                <w:lang w:val="en-US" w:eastAsia="zh-CN"/>
              </w:rPr>
              <w:t>A02010202</w:t>
            </w:r>
          </w:p>
        </w:tc>
        <w:tc>
          <w:tcPr>
            <w:tcW w:w="921" w:type="dxa"/>
            <w:noWrap w:val="0"/>
            <w:vAlign w:val="center"/>
          </w:tcPr>
          <w:p w14:paraId="396FBDF0">
            <w:pPr>
              <w:autoSpaceDE w:val="0"/>
              <w:autoSpaceDN w:val="0"/>
              <w:adjustRightInd w:val="0"/>
              <w:spacing w:line="360" w:lineRule="auto"/>
              <w:jc w:val="center"/>
              <w:rPr>
                <w:rFonts w:hint="eastAsia" w:ascii="宋体" w:hAnsi="宋体" w:eastAsia="宋体" w:cs="宋体"/>
                <w:b w:val="0"/>
                <w:bCs/>
                <w:color w:val="auto"/>
                <w:sz w:val="24"/>
                <w:szCs w:val="24"/>
                <w:highlight w:val="none"/>
                <w:vertAlign w:val="baseline"/>
                <w:lang w:val="en-US" w:eastAsia="zh-CN"/>
              </w:rPr>
            </w:pPr>
            <w:r>
              <w:rPr>
                <w:rFonts w:hint="eastAsia" w:ascii="宋体" w:hAnsi="宋体" w:eastAsia="宋体" w:cs="宋体"/>
                <w:color w:val="auto"/>
                <w:kern w:val="0"/>
                <w:sz w:val="24"/>
                <w:szCs w:val="24"/>
                <w:lang w:val="en-US" w:eastAsia="zh-CN"/>
              </w:rPr>
              <w:t>个</w:t>
            </w:r>
          </w:p>
        </w:tc>
        <w:tc>
          <w:tcPr>
            <w:tcW w:w="978" w:type="dxa"/>
            <w:noWrap w:val="0"/>
            <w:vAlign w:val="center"/>
          </w:tcPr>
          <w:p w14:paraId="78A64CF0">
            <w:pPr>
              <w:autoSpaceDE w:val="0"/>
              <w:autoSpaceDN w:val="0"/>
              <w:adjustRightInd w:val="0"/>
              <w:spacing w:line="360" w:lineRule="auto"/>
              <w:jc w:val="center"/>
              <w:rPr>
                <w:rFonts w:hint="eastAsia" w:ascii="宋体" w:hAnsi="宋体" w:eastAsia="宋体" w:cs="宋体"/>
                <w:b w:val="0"/>
                <w:bCs/>
                <w:color w:val="auto"/>
                <w:sz w:val="24"/>
                <w:szCs w:val="24"/>
                <w:highlight w:val="none"/>
                <w:vertAlign w:val="baseline"/>
                <w:lang w:val="en-US" w:eastAsia="zh-CN"/>
              </w:rPr>
            </w:pPr>
            <w:r>
              <w:rPr>
                <w:rFonts w:hint="eastAsia" w:ascii="宋体" w:hAnsi="宋体" w:eastAsia="宋体" w:cs="宋体"/>
                <w:color w:val="auto"/>
                <w:kern w:val="0"/>
                <w:sz w:val="24"/>
                <w:szCs w:val="24"/>
                <w:lang w:val="en-US" w:eastAsia="zh-CN"/>
              </w:rPr>
              <w:t>2</w:t>
            </w:r>
          </w:p>
        </w:tc>
        <w:tc>
          <w:tcPr>
            <w:tcW w:w="1132" w:type="dxa"/>
            <w:vMerge w:val="continue"/>
            <w:noWrap w:val="0"/>
            <w:vAlign w:val="center"/>
          </w:tcPr>
          <w:p w14:paraId="7D9EC4AA">
            <w:pPr>
              <w:autoSpaceDE w:val="0"/>
              <w:autoSpaceDN w:val="0"/>
              <w:adjustRightInd w:val="0"/>
              <w:spacing w:line="360" w:lineRule="auto"/>
              <w:jc w:val="center"/>
              <w:rPr>
                <w:rFonts w:hint="eastAsia" w:ascii="宋体" w:hAnsi="宋体" w:eastAsia="宋体" w:cs="宋体"/>
                <w:b w:val="0"/>
                <w:bCs/>
                <w:color w:val="auto"/>
                <w:sz w:val="24"/>
                <w:szCs w:val="24"/>
                <w:highlight w:val="none"/>
                <w:vertAlign w:val="baseline"/>
                <w:lang w:val="en-US" w:eastAsia="zh-CN"/>
              </w:rPr>
            </w:pPr>
          </w:p>
        </w:tc>
        <w:tc>
          <w:tcPr>
            <w:tcW w:w="920" w:type="dxa"/>
            <w:vMerge w:val="continue"/>
            <w:noWrap w:val="0"/>
            <w:vAlign w:val="center"/>
          </w:tcPr>
          <w:p w14:paraId="25CF5D29">
            <w:pPr>
              <w:keepNext w:val="0"/>
              <w:keepLines w:val="0"/>
              <w:pageBreakBefore w:val="0"/>
              <w:widowControl w:val="0"/>
              <w:numPr>
                <w:ilvl w:val="0"/>
                <w:numId w:val="0"/>
              </w:numPr>
              <w:kinsoku/>
              <w:wordWrap/>
              <w:overflowPunct/>
              <w:topLinePunct w:val="0"/>
              <w:autoSpaceDE/>
              <w:autoSpaceDN/>
              <w:bidi w:val="0"/>
              <w:adjustRightInd/>
              <w:snapToGrid/>
              <w:spacing w:line="500" w:lineRule="exact"/>
              <w:jc w:val="center"/>
              <w:textAlignment w:val="auto"/>
              <w:rPr>
                <w:rFonts w:hint="eastAsia" w:ascii="宋体" w:hAnsi="宋体" w:eastAsia="宋体" w:cs="宋体"/>
                <w:b w:val="0"/>
                <w:bCs/>
                <w:color w:val="auto"/>
                <w:sz w:val="24"/>
                <w:szCs w:val="24"/>
                <w:highlight w:val="none"/>
                <w:vertAlign w:val="baseline"/>
                <w:lang w:val="en-US" w:eastAsia="zh-CN"/>
              </w:rPr>
            </w:pPr>
          </w:p>
        </w:tc>
        <w:tc>
          <w:tcPr>
            <w:tcW w:w="608" w:type="dxa"/>
            <w:vMerge w:val="continue"/>
            <w:noWrap w:val="0"/>
            <w:vAlign w:val="center"/>
          </w:tcPr>
          <w:p w14:paraId="7620B926">
            <w:pPr>
              <w:keepNext w:val="0"/>
              <w:keepLines w:val="0"/>
              <w:pageBreakBefore w:val="0"/>
              <w:widowControl w:val="0"/>
              <w:numPr>
                <w:ilvl w:val="0"/>
                <w:numId w:val="0"/>
              </w:numPr>
              <w:kinsoku/>
              <w:wordWrap/>
              <w:overflowPunct/>
              <w:topLinePunct w:val="0"/>
              <w:autoSpaceDE/>
              <w:autoSpaceDN/>
              <w:bidi w:val="0"/>
              <w:adjustRightInd/>
              <w:snapToGrid/>
              <w:spacing w:line="500" w:lineRule="exact"/>
              <w:jc w:val="center"/>
              <w:textAlignment w:val="auto"/>
              <w:rPr>
                <w:rFonts w:hint="eastAsia" w:ascii="宋体" w:hAnsi="宋体" w:eastAsia="宋体" w:cs="宋体"/>
                <w:b w:val="0"/>
                <w:bCs/>
                <w:color w:val="auto"/>
                <w:sz w:val="24"/>
                <w:szCs w:val="24"/>
                <w:highlight w:val="none"/>
                <w:vertAlign w:val="baseline"/>
                <w:lang w:val="en-US" w:eastAsia="zh-CN"/>
              </w:rPr>
            </w:pPr>
          </w:p>
        </w:tc>
        <w:tc>
          <w:tcPr>
            <w:tcW w:w="609" w:type="dxa"/>
            <w:noWrap w:val="0"/>
            <w:vAlign w:val="center"/>
          </w:tcPr>
          <w:p w14:paraId="311047C2">
            <w:pPr>
              <w:keepNext w:val="0"/>
              <w:keepLines w:val="0"/>
              <w:pageBreakBefore w:val="0"/>
              <w:widowControl w:val="0"/>
              <w:numPr>
                <w:ilvl w:val="0"/>
                <w:numId w:val="0"/>
              </w:numPr>
              <w:kinsoku/>
              <w:wordWrap/>
              <w:overflowPunct/>
              <w:topLinePunct w:val="0"/>
              <w:autoSpaceDE/>
              <w:autoSpaceDN/>
              <w:bidi w:val="0"/>
              <w:adjustRightInd/>
              <w:snapToGrid/>
              <w:spacing w:line="500" w:lineRule="exact"/>
              <w:jc w:val="center"/>
              <w:textAlignment w:val="auto"/>
              <w:rPr>
                <w:rFonts w:hint="eastAsia" w:ascii="宋体" w:hAnsi="宋体" w:eastAsia="宋体" w:cs="宋体"/>
                <w:b w:val="0"/>
                <w:bCs/>
                <w:color w:val="auto"/>
                <w:sz w:val="24"/>
                <w:szCs w:val="24"/>
                <w:highlight w:val="none"/>
                <w:vertAlign w:val="baseline"/>
                <w:lang w:val="en-US" w:eastAsia="zh-CN"/>
              </w:rPr>
            </w:pPr>
          </w:p>
        </w:tc>
      </w:tr>
      <w:tr w14:paraId="5816CC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2" w:type="dxa"/>
            <w:noWrap w:val="0"/>
            <w:vAlign w:val="center"/>
          </w:tcPr>
          <w:p w14:paraId="5579BCD9">
            <w:pPr>
              <w:autoSpaceDE w:val="0"/>
              <w:autoSpaceDN w:val="0"/>
              <w:adjustRightInd w:val="0"/>
              <w:spacing w:line="360" w:lineRule="auto"/>
              <w:jc w:val="center"/>
              <w:rPr>
                <w:rFonts w:hint="eastAsia" w:ascii="宋体" w:hAnsi="宋体" w:eastAsia="宋体" w:cs="宋体"/>
                <w:b w:val="0"/>
                <w:bCs/>
                <w:color w:val="auto"/>
                <w:sz w:val="24"/>
                <w:szCs w:val="24"/>
                <w:highlight w:val="none"/>
                <w:vertAlign w:val="baseline"/>
                <w:lang w:val="en-US" w:eastAsia="zh-CN"/>
              </w:rPr>
            </w:pPr>
            <w:r>
              <w:rPr>
                <w:rFonts w:hint="eastAsia" w:ascii="宋体" w:hAnsi="宋体" w:eastAsia="宋体" w:cs="宋体"/>
                <w:color w:val="auto"/>
                <w:kern w:val="0"/>
                <w:sz w:val="24"/>
                <w:szCs w:val="24"/>
                <w:lang w:val="en-US" w:eastAsia="zh-CN"/>
              </w:rPr>
              <w:t>7</w:t>
            </w:r>
          </w:p>
        </w:tc>
        <w:tc>
          <w:tcPr>
            <w:tcW w:w="1320" w:type="dxa"/>
            <w:noWrap w:val="0"/>
            <w:vAlign w:val="center"/>
          </w:tcPr>
          <w:p w14:paraId="5D4E8A1F">
            <w:pPr>
              <w:autoSpaceDE w:val="0"/>
              <w:autoSpaceDN w:val="0"/>
              <w:adjustRightInd w:val="0"/>
              <w:spacing w:line="360" w:lineRule="auto"/>
              <w:jc w:val="center"/>
              <w:rPr>
                <w:rFonts w:hint="eastAsia" w:ascii="宋体" w:hAnsi="宋体" w:eastAsia="宋体" w:cs="宋体"/>
                <w:b w:val="0"/>
                <w:bCs/>
                <w:color w:val="auto"/>
                <w:sz w:val="24"/>
                <w:szCs w:val="24"/>
                <w:highlight w:val="none"/>
                <w:vertAlign w:val="baseline"/>
                <w:lang w:val="en-US" w:eastAsia="zh-CN"/>
              </w:rPr>
            </w:pPr>
            <w:r>
              <w:rPr>
                <w:rFonts w:hint="eastAsia" w:ascii="宋体" w:hAnsi="宋体" w:eastAsia="宋体" w:cs="宋体"/>
                <w:color w:val="auto"/>
                <w:kern w:val="0"/>
                <w:sz w:val="24"/>
                <w:szCs w:val="24"/>
                <w:lang w:val="en-US" w:eastAsia="zh-CN"/>
              </w:rPr>
              <w:t>机柜</w:t>
            </w:r>
          </w:p>
        </w:tc>
        <w:tc>
          <w:tcPr>
            <w:tcW w:w="1396" w:type="dxa"/>
            <w:noWrap w:val="0"/>
            <w:vAlign w:val="center"/>
          </w:tcPr>
          <w:p w14:paraId="7BD72F6B">
            <w:pPr>
              <w:autoSpaceDE w:val="0"/>
              <w:autoSpaceDN w:val="0"/>
              <w:adjustRightInd w:val="0"/>
              <w:spacing w:line="360" w:lineRule="auto"/>
              <w:jc w:val="center"/>
              <w:rPr>
                <w:rFonts w:hint="eastAsia" w:ascii="宋体" w:hAnsi="宋体" w:eastAsia="宋体" w:cs="宋体"/>
                <w:b w:val="0"/>
                <w:bCs/>
                <w:color w:val="auto"/>
                <w:sz w:val="24"/>
                <w:szCs w:val="24"/>
                <w:highlight w:val="none"/>
                <w:vertAlign w:val="baseline"/>
                <w:lang w:val="en-US" w:eastAsia="zh-CN"/>
              </w:rPr>
            </w:pPr>
          </w:p>
        </w:tc>
        <w:tc>
          <w:tcPr>
            <w:tcW w:w="921" w:type="dxa"/>
            <w:noWrap w:val="0"/>
            <w:vAlign w:val="center"/>
          </w:tcPr>
          <w:p w14:paraId="6BCFF63E">
            <w:pPr>
              <w:autoSpaceDE w:val="0"/>
              <w:autoSpaceDN w:val="0"/>
              <w:adjustRightInd w:val="0"/>
              <w:spacing w:line="360" w:lineRule="auto"/>
              <w:jc w:val="center"/>
              <w:rPr>
                <w:rFonts w:hint="eastAsia" w:ascii="宋体" w:hAnsi="宋体" w:eastAsia="宋体" w:cs="宋体"/>
                <w:b w:val="0"/>
                <w:bCs/>
                <w:color w:val="auto"/>
                <w:sz w:val="24"/>
                <w:szCs w:val="24"/>
                <w:highlight w:val="none"/>
                <w:vertAlign w:val="baseline"/>
                <w:lang w:val="en-US" w:eastAsia="zh-CN"/>
              </w:rPr>
            </w:pPr>
            <w:r>
              <w:rPr>
                <w:rFonts w:hint="eastAsia" w:ascii="宋体" w:hAnsi="宋体" w:eastAsia="宋体" w:cs="宋体"/>
                <w:color w:val="auto"/>
                <w:kern w:val="0"/>
                <w:sz w:val="24"/>
                <w:szCs w:val="24"/>
                <w:lang w:val="en-US" w:eastAsia="zh-CN"/>
              </w:rPr>
              <w:t>台</w:t>
            </w:r>
          </w:p>
        </w:tc>
        <w:tc>
          <w:tcPr>
            <w:tcW w:w="978" w:type="dxa"/>
            <w:noWrap w:val="0"/>
            <w:vAlign w:val="center"/>
          </w:tcPr>
          <w:p w14:paraId="6D89609F">
            <w:pPr>
              <w:autoSpaceDE w:val="0"/>
              <w:autoSpaceDN w:val="0"/>
              <w:adjustRightInd w:val="0"/>
              <w:spacing w:line="360" w:lineRule="auto"/>
              <w:jc w:val="center"/>
              <w:rPr>
                <w:rFonts w:hint="eastAsia" w:ascii="宋体" w:hAnsi="宋体" w:eastAsia="宋体" w:cs="宋体"/>
                <w:b w:val="0"/>
                <w:bCs/>
                <w:color w:val="auto"/>
                <w:sz w:val="24"/>
                <w:szCs w:val="24"/>
                <w:highlight w:val="none"/>
                <w:vertAlign w:val="baseline"/>
                <w:lang w:val="en-US" w:eastAsia="zh-CN"/>
              </w:rPr>
            </w:pPr>
            <w:r>
              <w:rPr>
                <w:rFonts w:hint="eastAsia" w:ascii="宋体" w:hAnsi="宋体" w:eastAsia="宋体" w:cs="宋体"/>
                <w:color w:val="auto"/>
                <w:kern w:val="0"/>
                <w:sz w:val="24"/>
                <w:szCs w:val="24"/>
                <w:lang w:val="en-US" w:eastAsia="zh-CN"/>
              </w:rPr>
              <w:t>2</w:t>
            </w:r>
          </w:p>
        </w:tc>
        <w:tc>
          <w:tcPr>
            <w:tcW w:w="1132" w:type="dxa"/>
            <w:vMerge w:val="continue"/>
            <w:noWrap w:val="0"/>
            <w:vAlign w:val="center"/>
          </w:tcPr>
          <w:p w14:paraId="3FA0943A">
            <w:pPr>
              <w:autoSpaceDE w:val="0"/>
              <w:autoSpaceDN w:val="0"/>
              <w:adjustRightInd w:val="0"/>
              <w:spacing w:line="360" w:lineRule="auto"/>
              <w:jc w:val="center"/>
              <w:rPr>
                <w:rFonts w:hint="eastAsia" w:ascii="宋体" w:hAnsi="宋体" w:eastAsia="宋体" w:cs="宋体"/>
                <w:b w:val="0"/>
                <w:bCs/>
                <w:color w:val="auto"/>
                <w:sz w:val="24"/>
                <w:szCs w:val="24"/>
                <w:highlight w:val="none"/>
                <w:vertAlign w:val="baseline"/>
                <w:lang w:val="en-US" w:eastAsia="zh-CN"/>
              </w:rPr>
            </w:pPr>
          </w:p>
        </w:tc>
        <w:tc>
          <w:tcPr>
            <w:tcW w:w="920" w:type="dxa"/>
            <w:vMerge w:val="continue"/>
            <w:noWrap w:val="0"/>
            <w:vAlign w:val="center"/>
          </w:tcPr>
          <w:p w14:paraId="25FBD659">
            <w:pPr>
              <w:keepNext w:val="0"/>
              <w:keepLines w:val="0"/>
              <w:pageBreakBefore w:val="0"/>
              <w:widowControl w:val="0"/>
              <w:numPr>
                <w:ilvl w:val="0"/>
                <w:numId w:val="0"/>
              </w:numPr>
              <w:kinsoku/>
              <w:wordWrap/>
              <w:overflowPunct/>
              <w:topLinePunct w:val="0"/>
              <w:autoSpaceDE/>
              <w:autoSpaceDN/>
              <w:bidi w:val="0"/>
              <w:adjustRightInd/>
              <w:snapToGrid/>
              <w:spacing w:line="500" w:lineRule="exact"/>
              <w:jc w:val="center"/>
              <w:textAlignment w:val="auto"/>
              <w:rPr>
                <w:rFonts w:hint="eastAsia" w:ascii="宋体" w:hAnsi="宋体" w:eastAsia="宋体" w:cs="宋体"/>
                <w:b w:val="0"/>
                <w:bCs/>
                <w:color w:val="auto"/>
                <w:sz w:val="24"/>
                <w:szCs w:val="24"/>
                <w:highlight w:val="none"/>
                <w:vertAlign w:val="baseline"/>
                <w:lang w:val="en-US" w:eastAsia="zh-CN"/>
              </w:rPr>
            </w:pPr>
          </w:p>
        </w:tc>
        <w:tc>
          <w:tcPr>
            <w:tcW w:w="608" w:type="dxa"/>
            <w:vMerge w:val="continue"/>
            <w:noWrap w:val="0"/>
            <w:vAlign w:val="center"/>
          </w:tcPr>
          <w:p w14:paraId="69C762BB">
            <w:pPr>
              <w:keepNext w:val="0"/>
              <w:keepLines w:val="0"/>
              <w:pageBreakBefore w:val="0"/>
              <w:widowControl w:val="0"/>
              <w:numPr>
                <w:ilvl w:val="0"/>
                <w:numId w:val="0"/>
              </w:numPr>
              <w:kinsoku/>
              <w:wordWrap/>
              <w:overflowPunct/>
              <w:topLinePunct w:val="0"/>
              <w:autoSpaceDE/>
              <w:autoSpaceDN/>
              <w:bidi w:val="0"/>
              <w:adjustRightInd/>
              <w:snapToGrid/>
              <w:spacing w:line="500" w:lineRule="exact"/>
              <w:jc w:val="center"/>
              <w:textAlignment w:val="auto"/>
              <w:rPr>
                <w:rFonts w:hint="eastAsia" w:ascii="宋体" w:hAnsi="宋体" w:eastAsia="宋体" w:cs="宋体"/>
                <w:b w:val="0"/>
                <w:bCs/>
                <w:color w:val="auto"/>
                <w:sz w:val="24"/>
                <w:szCs w:val="24"/>
                <w:highlight w:val="none"/>
                <w:vertAlign w:val="baseline"/>
                <w:lang w:val="en-US" w:eastAsia="zh-CN"/>
              </w:rPr>
            </w:pPr>
          </w:p>
        </w:tc>
        <w:tc>
          <w:tcPr>
            <w:tcW w:w="609" w:type="dxa"/>
            <w:noWrap w:val="0"/>
            <w:vAlign w:val="center"/>
          </w:tcPr>
          <w:p w14:paraId="0319254B">
            <w:pPr>
              <w:keepNext w:val="0"/>
              <w:keepLines w:val="0"/>
              <w:pageBreakBefore w:val="0"/>
              <w:widowControl w:val="0"/>
              <w:numPr>
                <w:ilvl w:val="0"/>
                <w:numId w:val="0"/>
              </w:numPr>
              <w:kinsoku/>
              <w:wordWrap/>
              <w:overflowPunct/>
              <w:topLinePunct w:val="0"/>
              <w:autoSpaceDE/>
              <w:autoSpaceDN/>
              <w:bidi w:val="0"/>
              <w:adjustRightInd/>
              <w:snapToGrid/>
              <w:spacing w:line="500" w:lineRule="exact"/>
              <w:jc w:val="center"/>
              <w:textAlignment w:val="auto"/>
              <w:rPr>
                <w:rFonts w:hint="eastAsia" w:ascii="宋体" w:hAnsi="宋体" w:eastAsia="宋体" w:cs="宋体"/>
                <w:b w:val="0"/>
                <w:bCs/>
                <w:color w:val="auto"/>
                <w:sz w:val="24"/>
                <w:szCs w:val="24"/>
                <w:highlight w:val="none"/>
                <w:vertAlign w:val="baseline"/>
                <w:lang w:val="en-US" w:eastAsia="zh-CN"/>
              </w:rPr>
            </w:pPr>
          </w:p>
        </w:tc>
      </w:tr>
      <w:tr w14:paraId="5469E9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2" w:type="dxa"/>
            <w:noWrap w:val="0"/>
            <w:vAlign w:val="center"/>
          </w:tcPr>
          <w:p w14:paraId="76990475">
            <w:pPr>
              <w:autoSpaceDE w:val="0"/>
              <w:autoSpaceDN w:val="0"/>
              <w:adjustRightInd w:val="0"/>
              <w:spacing w:line="360" w:lineRule="auto"/>
              <w:jc w:val="center"/>
              <w:rPr>
                <w:rFonts w:hint="eastAsia" w:ascii="宋体" w:hAnsi="宋体" w:eastAsia="宋体" w:cs="宋体"/>
                <w:b w:val="0"/>
                <w:bCs/>
                <w:color w:val="auto"/>
                <w:sz w:val="24"/>
                <w:szCs w:val="24"/>
                <w:highlight w:val="none"/>
                <w:vertAlign w:val="baseline"/>
                <w:lang w:val="en-US" w:eastAsia="zh-CN"/>
              </w:rPr>
            </w:pPr>
            <w:r>
              <w:rPr>
                <w:rFonts w:hint="eastAsia" w:ascii="宋体" w:hAnsi="宋体" w:eastAsia="宋体" w:cs="宋体"/>
                <w:color w:val="auto"/>
                <w:kern w:val="0"/>
                <w:sz w:val="24"/>
                <w:szCs w:val="24"/>
                <w:lang w:val="en-US" w:eastAsia="zh-CN"/>
              </w:rPr>
              <w:t>8</w:t>
            </w:r>
          </w:p>
        </w:tc>
        <w:tc>
          <w:tcPr>
            <w:tcW w:w="1320" w:type="dxa"/>
            <w:noWrap w:val="0"/>
            <w:vAlign w:val="center"/>
          </w:tcPr>
          <w:p w14:paraId="682A293D">
            <w:pPr>
              <w:autoSpaceDE w:val="0"/>
              <w:autoSpaceDN w:val="0"/>
              <w:adjustRightInd w:val="0"/>
              <w:spacing w:line="360" w:lineRule="auto"/>
              <w:jc w:val="center"/>
              <w:rPr>
                <w:rFonts w:hint="eastAsia" w:ascii="宋体" w:hAnsi="宋体" w:eastAsia="宋体" w:cs="宋体"/>
                <w:b w:val="0"/>
                <w:bCs/>
                <w:color w:val="auto"/>
                <w:sz w:val="24"/>
                <w:szCs w:val="24"/>
                <w:highlight w:val="none"/>
                <w:vertAlign w:val="baseline"/>
                <w:lang w:val="en-US" w:eastAsia="zh-CN"/>
              </w:rPr>
            </w:pPr>
            <w:r>
              <w:rPr>
                <w:rFonts w:hint="eastAsia" w:ascii="宋体" w:hAnsi="宋体" w:eastAsia="宋体" w:cs="宋体"/>
                <w:color w:val="auto"/>
                <w:kern w:val="0"/>
                <w:sz w:val="24"/>
                <w:szCs w:val="24"/>
                <w:lang w:val="en-US" w:eastAsia="zh-CN"/>
              </w:rPr>
              <w:t>辅材</w:t>
            </w:r>
          </w:p>
        </w:tc>
        <w:tc>
          <w:tcPr>
            <w:tcW w:w="1396" w:type="dxa"/>
            <w:noWrap w:val="0"/>
            <w:vAlign w:val="center"/>
          </w:tcPr>
          <w:p w14:paraId="16C8F8C5">
            <w:pPr>
              <w:autoSpaceDE w:val="0"/>
              <w:autoSpaceDN w:val="0"/>
              <w:adjustRightInd w:val="0"/>
              <w:spacing w:line="360" w:lineRule="auto"/>
              <w:jc w:val="center"/>
              <w:rPr>
                <w:rFonts w:hint="eastAsia" w:ascii="宋体" w:hAnsi="宋体" w:eastAsia="宋体" w:cs="宋体"/>
                <w:b w:val="0"/>
                <w:bCs/>
                <w:color w:val="auto"/>
                <w:sz w:val="24"/>
                <w:szCs w:val="24"/>
                <w:highlight w:val="none"/>
                <w:vertAlign w:val="baseline"/>
                <w:lang w:val="en-US" w:eastAsia="zh-CN"/>
              </w:rPr>
            </w:pPr>
          </w:p>
        </w:tc>
        <w:tc>
          <w:tcPr>
            <w:tcW w:w="921" w:type="dxa"/>
            <w:noWrap w:val="0"/>
            <w:vAlign w:val="center"/>
          </w:tcPr>
          <w:p w14:paraId="559CA381">
            <w:pPr>
              <w:autoSpaceDE w:val="0"/>
              <w:autoSpaceDN w:val="0"/>
              <w:adjustRightInd w:val="0"/>
              <w:spacing w:line="360" w:lineRule="auto"/>
              <w:jc w:val="center"/>
              <w:rPr>
                <w:rFonts w:hint="eastAsia" w:ascii="宋体" w:hAnsi="宋体" w:eastAsia="宋体" w:cs="宋体"/>
                <w:b w:val="0"/>
                <w:bCs/>
                <w:color w:val="auto"/>
                <w:sz w:val="24"/>
                <w:szCs w:val="24"/>
                <w:highlight w:val="none"/>
                <w:vertAlign w:val="baseline"/>
                <w:lang w:val="en-US" w:eastAsia="zh-CN"/>
              </w:rPr>
            </w:pPr>
            <w:r>
              <w:rPr>
                <w:rFonts w:hint="eastAsia" w:ascii="宋体" w:hAnsi="宋体" w:eastAsia="宋体" w:cs="宋体"/>
                <w:color w:val="auto"/>
                <w:kern w:val="0"/>
                <w:sz w:val="24"/>
                <w:szCs w:val="24"/>
                <w:lang w:val="en-US" w:eastAsia="zh-CN"/>
              </w:rPr>
              <w:t>批</w:t>
            </w:r>
          </w:p>
        </w:tc>
        <w:tc>
          <w:tcPr>
            <w:tcW w:w="978" w:type="dxa"/>
            <w:noWrap w:val="0"/>
            <w:vAlign w:val="center"/>
          </w:tcPr>
          <w:p w14:paraId="237BE857">
            <w:pPr>
              <w:autoSpaceDE w:val="0"/>
              <w:autoSpaceDN w:val="0"/>
              <w:adjustRightInd w:val="0"/>
              <w:spacing w:line="360" w:lineRule="auto"/>
              <w:jc w:val="center"/>
              <w:rPr>
                <w:rFonts w:hint="eastAsia" w:ascii="宋体" w:hAnsi="宋体" w:eastAsia="宋体" w:cs="宋体"/>
                <w:b w:val="0"/>
                <w:bCs/>
                <w:color w:val="auto"/>
                <w:sz w:val="24"/>
                <w:szCs w:val="24"/>
                <w:highlight w:val="none"/>
                <w:vertAlign w:val="baseline"/>
                <w:lang w:val="en-US" w:eastAsia="zh-CN"/>
              </w:rPr>
            </w:pPr>
            <w:r>
              <w:rPr>
                <w:rFonts w:hint="eastAsia" w:ascii="宋体" w:hAnsi="宋体" w:eastAsia="宋体" w:cs="宋体"/>
                <w:color w:val="auto"/>
                <w:kern w:val="0"/>
                <w:sz w:val="24"/>
                <w:szCs w:val="24"/>
                <w:lang w:val="en-US" w:eastAsia="zh-CN"/>
              </w:rPr>
              <w:t>1</w:t>
            </w:r>
          </w:p>
        </w:tc>
        <w:tc>
          <w:tcPr>
            <w:tcW w:w="1132" w:type="dxa"/>
            <w:vMerge w:val="continue"/>
            <w:noWrap w:val="0"/>
            <w:vAlign w:val="center"/>
          </w:tcPr>
          <w:p w14:paraId="00229DD3">
            <w:pPr>
              <w:autoSpaceDE w:val="0"/>
              <w:autoSpaceDN w:val="0"/>
              <w:adjustRightInd w:val="0"/>
              <w:spacing w:line="360" w:lineRule="auto"/>
              <w:jc w:val="center"/>
              <w:rPr>
                <w:rFonts w:hint="eastAsia" w:ascii="宋体" w:hAnsi="宋体" w:eastAsia="宋体" w:cs="宋体"/>
                <w:b w:val="0"/>
                <w:bCs/>
                <w:color w:val="auto"/>
                <w:sz w:val="24"/>
                <w:szCs w:val="24"/>
                <w:highlight w:val="none"/>
                <w:vertAlign w:val="baseline"/>
                <w:lang w:val="en-US" w:eastAsia="zh-CN"/>
              </w:rPr>
            </w:pPr>
          </w:p>
        </w:tc>
        <w:tc>
          <w:tcPr>
            <w:tcW w:w="920" w:type="dxa"/>
            <w:vMerge w:val="continue"/>
            <w:noWrap w:val="0"/>
            <w:vAlign w:val="center"/>
          </w:tcPr>
          <w:p w14:paraId="16BD8516">
            <w:pPr>
              <w:keepNext w:val="0"/>
              <w:keepLines w:val="0"/>
              <w:pageBreakBefore w:val="0"/>
              <w:widowControl w:val="0"/>
              <w:numPr>
                <w:ilvl w:val="0"/>
                <w:numId w:val="0"/>
              </w:numPr>
              <w:kinsoku/>
              <w:wordWrap/>
              <w:overflowPunct/>
              <w:topLinePunct w:val="0"/>
              <w:autoSpaceDE/>
              <w:autoSpaceDN/>
              <w:bidi w:val="0"/>
              <w:adjustRightInd/>
              <w:snapToGrid/>
              <w:spacing w:line="500" w:lineRule="exact"/>
              <w:jc w:val="center"/>
              <w:textAlignment w:val="auto"/>
              <w:rPr>
                <w:rFonts w:hint="eastAsia" w:ascii="宋体" w:hAnsi="宋体" w:eastAsia="宋体" w:cs="宋体"/>
                <w:b w:val="0"/>
                <w:bCs/>
                <w:color w:val="auto"/>
                <w:sz w:val="24"/>
                <w:szCs w:val="24"/>
                <w:highlight w:val="none"/>
                <w:vertAlign w:val="baseline"/>
                <w:lang w:val="en-US" w:eastAsia="zh-CN"/>
              </w:rPr>
            </w:pPr>
          </w:p>
        </w:tc>
        <w:tc>
          <w:tcPr>
            <w:tcW w:w="608" w:type="dxa"/>
            <w:vMerge w:val="continue"/>
            <w:noWrap w:val="0"/>
            <w:vAlign w:val="center"/>
          </w:tcPr>
          <w:p w14:paraId="2C7B091D">
            <w:pPr>
              <w:keepNext w:val="0"/>
              <w:keepLines w:val="0"/>
              <w:pageBreakBefore w:val="0"/>
              <w:widowControl w:val="0"/>
              <w:numPr>
                <w:ilvl w:val="0"/>
                <w:numId w:val="0"/>
              </w:numPr>
              <w:kinsoku/>
              <w:wordWrap/>
              <w:overflowPunct/>
              <w:topLinePunct w:val="0"/>
              <w:autoSpaceDE/>
              <w:autoSpaceDN/>
              <w:bidi w:val="0"/>
              <w:adjustRightInd/>
              <w:snapToGrid/>
              <w:spacing w:line="500" w:lineRule="exact"/>
              <w:jc w:val="center"/>
              <w:textAlignment w:val="auto"/>
              <w:rPr>
                <w:rFonts w:hint="eastAsia" w:ascii="宋体" w:hAnsi="宋体" w:eastAsia="宋体" w:cs="宋体"/>
                <w:b w:val="0"/>
                <w:bCs/>
                <w:color w:val="auto"/>
                <w:sz w:val="24"/>
                <w:szCs w:val="24"/>
                <w:highlight w:val="none"/>
                <w:vertAlign w:val="baseline"/>
                <w:lang w:val="en-US" w:eastAsia="zh-CN"/>
              </w:rPr>
            </w:pPr>
          </w:p>
        </w:tc>
        <w:tc>
          <w:tcPr>
            <w:tcW w:w="609" w:type="dxa"/>
            <w:noWrap w:val="0"/>
            <w:vAlign w:val="center"/>
          </w:tcPr>
          <w:p w14:paraId="4F9583FE">
            <w:pPr>
              <w:keepNext w:val="0"/>
              <w:keepLines w:val="0"/>
              <w:pageBreakBefore w:val="0"/>
              <w:widowControl w:val="0"/>
              <w:numPr>
                <w:ilvl w:val="0"/>
                <w:numId w:val="0"/>
              </w:numPr>
              <w:kinsoku/>
              <w:wordWrap/>
              <w:overflowPunct/>
              <w:topLinePunct w:val="0"/>
              <w:autoSpaceDE/>
              <w:autoSpaceDN/>
              <w:bidi w:val="0"/>
              <w:adjustRightInd/>
              <w:snapToGrid/>
              <w:spacing w:line="500" w:lineRule="exact"/>
              <w:jc w:val="center"/>
              <w:textAlignment w:val="auto"/>
              <w:rPr>
                <w:rFonts w:hint="eastAsia" w:ascii="宋体" w:hAnsi="宋体" w:eastAsia="宋体" w:cs="宋体"/>
                <w:b w:val="0"/>
                <w:bCs/>
                <w:color w:val="auto"/>
                <w:sz w:val="24"/>
                <w:szCs w:val="24"/>
                <w:highlight w:val="none"/>
                <w:vertAlign w:val="baseline"/>
                <w:lang w:val="en-US" w:eastAsia="zh-CN"/>
              </w:rPr>
            </w:pPr>
          </w:p>
        </w:tc>
      </w:tr>
      <w:tr w14:paraId="195867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516" w:type="dxa"/>
            <w:gridSpan w:val="9"/>
            <w:noWrap w:val="0"/>
            <w:vAlign w:val="top"/>
          </w:tcPr>
          <w:p w14:paraId="1D13E82B">
            <w:pPr>
              <w:keepNext w:val="0"/>
              <w:keepLines w:val="0"/>
              <w:pageBreakBefore w:val="0"/>
              <w:widowControl w:val="0"/>
              <w:numPr>
                <w:ilvl w:val="0"/>
                <w:numId w:val="0"/>
              </w:numPr>
              <w:kinsoku/>
              <w:wordWrap/>
              <w:overflowPunct/>
              <w:topLinePunct w:val="0"/>
              <w:autoSpaceDE/>
              <w:autoSpaceDN/>
              <w:bidi w:val="0"/>
              <w:adjustRightInd/>
              <w:snapToGrid/>
              <w:spacing w:line="500" w:lineRule="exact"/>
              <w:textAlignment w:val="auto"/>
              <w:rPr>
                <w:rFonts w:hint="eastAsia" w:ascii="宋体" w:hAnsi="宋体" w:eastAsia="宋体" w:cs="宋体"/>
                <w:b w:val="0"/>
                <w:bCs/>
                <w:color w:val="auto"/>
                <w:sz w:val="24"/>
                <w:szCs w:val="24"/>
                <w:highlight w:val="none"/>
                <w:vertAlign w:val="baseline"/>
                <w:lang w:val="en-US" w:eastAsia="zh-CN"/>
              </w:rPr>
            </w:pPr>
            <w:r>
              <w:rPr>
                <w:rFonts w:hint="eastAsia" w:ascii="宋体" w:hAnsi="宋体" w:eastAsia="宋体" w:cs="宋体"/>
                <w:b w:val="0"/>
                <w:bCs/>
                <w:color w:val="auto"/>
                <w:sz w:val="24"/>
                <w:szCs w:val="24"/>
                <w:highlight w:val="none"/>
                <w:vertAlign w:val="baseline"/>
                <w:lang w:val="en-US" w:eastAsia="zh-CN"/>
              </w:rPr>
              <w:t>核心产品：电脑</w:t>
            </w:r>
          </w:p>
        </w:tc>
      </w:tr>
    </w:tbl>
    <w:p w14:paraId="59F4547D">
      <w:pPr>
        <w:spacing w:line="360" w:lineRule="auto"/>
        <w:rPr>
          <w:rFonts w:hint="eastAsia" w:ascii="宋体" w:hAnsi="宋体" w:eastAsia="宋体" w:cs="宋体"/>
          <w:b w:val="0"/>
          <w:bCs w:val="0"/>
          <w:color w:val="auto"/>
          <w:sz w:val="24"/>
          <w:szCs w:val="24"/>
        </w:rPr>
      </w:pPr>
      <w:r>
        <w:rPr>
          <w:rFonts w:hint="eastAsia" w:ascii="宋体" w:hAnsi="宋体" w:eastAsia="宋体" w:cs="宋体"/>
          <w:b w:val="0"/>
          <w:bCs w:val="0"/>
          <w:color w:val="auto"/>
          <w:sz w:val="24"/>
          <w:szCs w:val="24"/>
          <w:lang w:val="en-US" w:eastAsia="zh-CN"/>
        </w:rPr>
        <w:t>（二）技术总体要求</w:t>
      </w:r>
      <w:r>
        <w:rPr>
          <w:rFonts w:hint="eastAsia" w:ascii="宋体" w:hAnsi="宋体" w:eastAsia="宋体" w:cs="宋体"/>
          <w:b w:val="0"/>
          <w:bCs w:val="0"/>
          <w:color w:val="auto"/>
          <w:sz w:val="24"/>
          <w:szCs w:val="24"/>
        </w:rPr>
        <w:t>：</w:t>
      </w:r>
    </w:p>
    <w:p w14:paraId="321904F8">
      <w:pPr>
        <w:spacing w:line="360" w:lineRule="auto"/>
        <w:rPr>
          <w:rFonts w:hint="eastAsia" w:ascii="宋体" w:hAnsi="宋体" w:eastAsia="宋体" w:cs="宋体"/>
          <w:b w:val="0"/>
          <w:bCs w:val="0"/>
          <w:color w:val="auto"/>
          <w:sz w:val="24"/>
          <w:szCs w:val="24"/>
        </w:rPr>
      </w:pPr>
      <w:r>
        <w:rPr>
          <w:rFonts w:hint="eastAsia" w:ascii="宋体" w:hAnsi="宋体" w:eastAsia="宋体" w:cs="宋体"/>
          <w:b w:val="0"/>
          <w:bCs w:val="0"/>
          <w:color w:val="auto"/>
          <w:sz w:val="24"/>
          <w:szCs w:val="24"/>
        </w:rPr>
        <w:t>1</w:t>
      </w:r>
      <w:r>
        <w:rPr>
          <w:rFonts w:hint="eastAsia" w:ascii="宋体" w:hAnsi="宋体" w:eastAsia="宋体" w:cs="宋体"/>
          <w:b w:val="0"/>
          <w:bCs w:val="0"/>
          <w:color w:val="auto"/>
          <w:sz w:val="24"/>
          <w:szCs w:val="24"/>
          <w:lang w:eastAsia="zh-CN"/>
        </w:rPr>
        <w:t>）</w:t>
      </w:r>
      <w:r>
        <w:rPr>
          <w:rFonts w:hint="eastAsia" w:ascii="宋体" w:hAnsi="宋体" w:eastAsia="宋体" w:cs="宋体"/>
          <w:b w:val="0"/>
          <w:bCs w:val="0"/>
          <w:color w:val="auto"/>
          <w:sz w:val="24"/>
          <w:szCs w:val="24"/>
        </w:rPr>
        <w:t>每台电脑配备一套具有耳麦功能的USB接口的头戴式耳机，机房电脑需满足南昌市高中学业水平考试（机试）的要求。</w:t>
      </w:r>
    </w:p>
    <w:p w14:paraId="55A6EC69">
      <w:pPr>
        <w:spacing w:line="360" w:lineRule="auto"/>
        <w:rPr>
          <w:rFonts w:hint="eastAsia" w:ascii="宋体" w:hAnsi="宋体" w:eastAsia="宋体" w:cs="宋体"/>
          <w:b w:val="0"/>
          <w:bCs w:val="0"/>
          <w:color w:val="auto"/>
          <w:sz w:val="24"/>
          <w:szCs w:val="24"/>
        </w:rPr>
      </w:pPr>
      <w:r>
        <w:rPr>
          <w:rFonts w:hint="eastAsia" w:ascii="宋体" w:hAnsi="宋体" w:eastAsia="宋体" w:cs="宋体"/>
          <w:b w:val="0"/>
          <w:bCs w:val="0"/>
          <w:color w:val="auto"/>
          <w:sz w:val="24"/>
          <w:szCs w:val="24"/>
        </w:rPr>
        <w:t>2</w:t>
      </w:r>
      <w:r>
        <w:rPr>
          <w:rFonts w:hint="eastAsia" w:ascii="宋体" w:hAnsi="宋体" w:eastAsia="宋体" w:cs="宋体"/>
          <w:b w:val="0"/>
          <w:bCs w:val="0"/>
          <w:color w:val="auto"/>
          <w:sz w:val="24"/>
          <w:szCs w:val="24"/>
          <w:lang w:eastAsia="zh-CN"/>
        </w:rPr>
        <w:t>）</w:t>
      </w:r>
      <w:r>
        <w:rPr>
          <w:rFonts w:hint="eastAsia" w:ascii="宋体" w:hAnsi="宋体" w:eastAsia="宋体" w:cs="宋体"/>
          <w:b w:val="0"/>
          <w:bCs w:val="0"/>
          <w:color w:val="auto"/>
          <w:sz w:val="24"/>
          <w:szCs w:val="24"/>
        </w:rPr>
        <w:t>教师办公电脑每台电脑需配备鼠标垫及非手工压制的成品网线，长度至少需满足教师办公需求。</w:t>
      </w:r>
    </w:p>
    <w:p w14:paraId="3B47EAF1">
      <w:pPr>
        <w:spacing w:line="360" w:lineRule="auto"/>
        <w:rPr>
          <w:rFonts w:hint="eastAsia" w:ascii="宋体" w:hAnsi="宋体" w:eastAsia="宋体" w:cs="宋体"/>
          <w:b w:val="0"/>
          <w:bCs w:val="0"/>
          <w:color w:val="auto"/>
          <w:sz w:val="24"/>
          <w:szCs w:val="24"/>
        </w:rPr>
      </w:pPr>
      <w:r>
        <w:rPr>
          <w:rFonts w:hint="eastAsia" w:ascii="宋体" w:hAnsi="宋体" w:eastAsia="宋体" w:cs="宋体"/>
          <w:b w:val="0"/>
          <w:bCs w:val="0"/>
          <w:color w:val="auto"/>
          <w:sz w:val="24"/>
          <w:szCs w:val="24"/>
        </w:rPr>
        <w:t>3</w:t>
      </w:r>
      <w:r>
        <w:rPr>
          <w:rFonts w:hint="eastAsia" w:ascii="宋体" w:hAnsi="宋体" w:eastAsia="宋体" w:cs="宋体"/>
          <w:b w:val="0"/>
          <w:bCs w:val="0"/>
          <w:color w:val="auto"/>
          <w:sz w:val="24"/>
          <w:szCs w:val="24"/>
          <w:lang w:eastAsia="zh-CN"/>
        </w:rPr>
        <w:t>）</w:t>
      </w:r>
      <w:r>
        <w:rPr>
          <w:rFonts w:hint="eastAsia" w:ascii="宋体" w:hAnsi="宋体" w:eastAsia="宋体" w:cs="宋体"/>
          <w:b w:val="0"/>
          <w:bCs w:val="0"/>
          <w:color w:val="auto"/>
          <w:sz w:val="24"/>
          <w:szCs w:val="24"/>
        </w:rPr>
        <w:t>为方便不同教师联网需求和维修需要，教师办公电脑需按10:1的比例配备可插拔式无线网卡，连接无线网络。</w:t>
      </w:r>
    </w:p>
    <w:p w14:paraId="6844429B">
      <w:pPr>
        <w:spacing w:line="360" w:lineRule="auto"/>
        <w:rPr>
          <w:rFonts w:hint="eastAsia" w:ascii="宋体" w:hAnsi="宋体" w:eastAsia="宋体" w:cs="宋体"/>
          <w:b w:val="0"/>
          <w:bCs w:val="0"/>
          <w:color w:val="auto"/>
          <w:sz w:val="24"/>
          <w:szCs w:val="24"/>
        </w:rPr>
      </w:pPr>
      <w:r>
        <w:rPr>
          <w:rFonts w:hint="eastAsia" w:ascii="宋体" w:hAnsi="宋体" w:eastAsia="宋体" w:cs="宋体"/>
          <w:b w:val="0"/>
          <w:bCs w:val="0"/>
          <w:color w:val="auto"/>
          <w:sz w:val="24"/>
          <w:szCs w:val="24"/>
        </w:rPr>
        <w:t>4</w:t>
      </w:r>
      <w:r>
        <w:rPr>
          <w:rFonts w:hint="eastAsia" w:ascii="宋体" w:hAnsi="宋体" w:eastAsia="宋体" w:cs="宋体"/>
          <w:b w:val="0"/>
          <w:bCs w:val="0"/>
          <w:color w:val="auto"/>
          <w:sz w:val="24"/>
          <w:szCs w:val="24"/>
          <w:lang w:eastAsia="zh-CN"/>
        </w:rPr>
        <w:t>）</w:t>
      </w:r>
      <w:r>
        <w:rPr>
          <w:rFonts w:hint="eastAsia" w:ascii="宋体" w:hAnsi="宋体" w:eastAsia="宋体" w:cs="宋体"/>
          <w:b w:val="0"/>
          <w:bCs w:val="0"/>
          <w:color w:val="auto"/>
          <w:sz w:val="24"/>
          <w:szCs w:val="24"/>
        </w:rPr>
        <w:t>为防范供应商、生产商通过恶意拼装、拼凑组件等方式虚假满足技术参数要求，</w:t>
      </w:r>
      <w:r>
        <w:rPr>
          <w:rFonts w:hint="eastAsia" w:ascii="宋体" w:hAnsi="宋体" w:eastAsia="宋体" w:cs="宋体"/>
          <w:b w:val="0"/>
          <w:bCs w:val="0"/>
          <w:color w:val="auto"/>
          <w:sz w:val="24"/>
          <w:szCs w:val="24"/>
          <w:lang w:eastAsia="zh-CN"/>
        </w:rPr>
        <w:t>成交供应商</w:t>
      </w:r>
      <w:r>
        <w:rPr>
          <w:rFonts w:hint="eastAsia" w:ascii="宋体" w:hAnsi="宋体" w:eastAsia="宋体" w:cs="宋体"/>
          <w:b w:val="0"/>
          <w:bCs w:val="0"/>
          <w:color w:val="auto"/>
          <w:sz w:val="24"/>
          <w:szCs w:val="24"/>
        </w:rPr>
        <w:t>须</w:t>
      </w:r>
      <w:r>
        <w:rPr>
          <w:rFonts w:hint="eastAsia" w:ascii="宋体" w:hAnsi="宋体" w:eastAsia="宋体" w:cs="宋体"/>
          <w:b w:val="0"/>
          <w:bCs w:val="0"/>
          <w:color w:val="auto"/>
          <w:sz w:val="24"/>
          <w:szCs w:val="24"/>
          <w:highlight w:val="none"/>
        </w:rPr>
        <w:t>承诺</w:t>
      </w:r>
      <w:r>
        <w:rPr>
          <w:rFonts w:hint="eastAsia" w:ascii="宋体" w:hAnsi="宋体" w:eastAsia="宋体" w:cs="宋体"/>
          <w:b w:val="0"/>
          <w:bCs w:val="0"/>
          <w:color w:val="auto"/>
          <w:sz w:val="24"/>
          <w:szCs w:val="24"/>
        </w:rPr>
        <w:t>提供原厂原装整机电脑，严禁使用组装机、改装机、贴牌机等非原厂整机</w:t>
      </w:r>
      <w:r>
        <w:rPr>
          <w:rFonts w:hint="eastAsia" w:ascii="宋体" w:hAnsi="宋体" w:eastAsia="宋体" w:cs="宋体"/>
          <w:b/>
          <w:bCs/>
          <w:color w:val="FF0000"/>
          <w:sz w:val="24"/>
          <w:szCs w:val="24"/>
          <w:u w:val="single"/>
          <w:lang w:eastAsia="zh-CN"/>
        </w:rPr>
        <w:t>（</w:t>
      </w:r>
      <w:r>
        <w:rPr>
          <w:rFonts w:hint="eastAsia" w:ascii="宋体" w:hAnsi="宋体" w:eastAsia="宋体" w:cs="宋体"/>
          <w:b/>
          <w:bCs/>
          <w:color w:val="FF0000"/>
          <w:sz w:val="24"/>
          <w:szCs w:val="24"/>
          <w:u w:val="single"/>
          <w:lang w:val="en-US" w:eastAsia="zh-CN"/>
        </w:rPr>
        <w:t>供应商须在响应文件中提供承诺函，格式自拟。承诺函需包含以上内容并明确所供产品的具体品牌型号，否则视为无效响应</w:t>
      </w:r>
      <w:r>
        <w:rPr>
          <w:rFonts w:hint="eastAsia" w:ascii="宋体" w:hAnsi="宋体" w:eastAsia="宋体" w:cs="宋体"/>
          <w:b/>
          <w:bCs/>
          <w:color w:val="FF0000"/>
          <w:sz w:val="24"/>
          <w:szCs w:val="24"/>
          <w:u w:val="single"/>
          <w:lang w:eastAsia="zh-CN"/>
        </w:rPr>
        <w:t>）</w:t>
      </w:r>
      <w:r>
        <w:rPr>
          <w:rFonts w:hint="eastAsia" w:ascii="宋体" w:hAnsi="宋体" w:eastAsia="宋体" w:cs="宋体"/>
          <w:b w:val="0"/>
          <w:bCs w:val="0"/>
          <w:color w:val="auto"/>
          <w:sz w:val="24"/>
          <w:szCs w:val="24"/>
        </w:rPr>
        <w:t>。严禁</w:t>
      </w:r>
      <w:r>
        <w:rPr>
          <w:rFonts w:hint="eastAsia" w:ascii="宋体" w:hAnsi="宋体" w:eastAsia="宋体" w:cs="宋体"/>
          <w:b w:val="0"/>
          <w:bCs w:val="0"/>
          <w:color w:val="auto"/>
          <w:sz w:val="24"/>
          <w:szCs w:val="24"/>
          <w:lang w:val="en-US" w:eastAsia="zh-CN"/>
        </w:rPr>
        <w:t>成交</w:t>
      </w:r>
      <w:r>
        <w:rPr>
          <w:rFonts w:hint="eastAsia" w:ascii="宋体" w:hAnsi="宋体" w:eastAsia="宋体" w:cs="宋体"/>
          <w:b w:val="0"/>
          <w:bCs w:val="0"/>
          <w:color w:val="auto"/>
          <w:sz w:val="24"/>
          <w:szCs w:val="24"/>
        </w:rPr>
        <w:t>后针对本项目另行定制生产、拼装或全新研发未上市机型。</w:t>
      </w:r>
    </w:p>
    <w:p w14:paraId="313F2043">
      <w:pPr>
        <w:spacing w:line="360" w:lineRule="auto"/>
        <w:rPr>
          <w:rFonts w:hint="eastAsia" w:ascii="宋体" w:hAnsi="宋体" w:eastAsia="宋体" w:cs="宋体"/>
          <w:b w:val="0"/>
          <w:bCs w:val="0"/>
          <w:color w:val="auto"/>
          <w:sz w:val="24"/>
          <w:szCs w:val="24"/>
        </w:rPr>
      </w:pPr>
      <w:r>
        <w:rPr>
          <w:rFonts w:hint="eastAsia" w:ascii="宋体" w:hAnsi="宋体" w:eastAsia="宋体" w:cs="宋体"/>
          <w:b w:val="0"/>
          <w:bCs w:val="0"/>
          <w:color w:val="auto"/>
          <w:sz w:val="24"/>
          <w:szCs w:val="24"/>
        </w:rPr>
        <w:t>5</w:t>
      </w:r>
      <w:r>
        <w:rPr>
          <w:rFonts w:hint="eastAsia" w:ascii="宋体" w:hAnsi="宋体" w:eastAsia="宋体" w:cs="宋体"/>
          <w:b w:val="0"/>
          <w:bCs w:val="0"/>
          <w:color w:val="auto"/>
          <w:sz w:val="24"/>
          <w:szCs w:val="24"/>
          <w:lang w:eastAsia="zh-CN"/>
        </w:rPr>
        <w:t>）</w:t>
      </w:r>
      <w:r>
        <w:rPr>
          <w:rFonts w:hint="eastAsia" w:ascii="宋体" w:hAnsi="宋体" w:eastAsia="宋体" w:cs="宋体"/>
          <w:b w:val="0"/>
          <w:bCs w:val="0"/>
          <w:color w:val="auto"/>
          <w:sz w:val="24"/>
          <w:szCs w:val="24"/>
        </w:rPr>
        <w:t>所参询台式计算机（学生用机、教师用机）必须为同品牌产品。</w:t>
      </w:r>
    </w:p>
    <w:p w14:paraId="4C0440AC">
      <w:pPr>
        <w:spacing w:line="360" w:lineRule="auto"/>
        <w:rPr>
          <w:rFonts w:hint="eastAsia" w:ascii="宋体" w:hAnsi="宋体" w:eastAsia="宋体" w:cs="宋体"/>
          <w:b w:val="0"/>
          <w:bCs w:val="0"/>
          <w:color w:val="auto"/>
          <w:sz w:val="24"/>
          <w:szCs w:val="24"/>
        </w:rPr>
      </w:pPr>
      <w:r>
        <w:rPr>
          <w:rFonts w:hint="eastAsia" w:ascii="宋体" w:hAnsi="宋体" w:eastAsia="宋体" w:cs="宋体"/>
          <w:b w:val="0"/>
          <w:bCs w:val="0"/>
          <w:color w:val="auto"/>
          <w:sz w:val="24"/>
          <w:szCs w:val="24"/>
        </w:rPr>
        <w:t>6</w:t>
      </w:r>
      <w:r>
        <w:rPr>
          <w:rFonts w:hint="eastAsia" w:ascii="宋体" w:hAnsi="宋体" w:eastAsia="宋体" w:cs="宋体"/>
          <w:b w:val="0"/>
          <w:bCs w:val="0"/>
          <w:color w:val="auto"/>
          <w:sz w:val="24"/>
          <w:szCs w:val="24"/>
          <w:lang w:eastAsia="zh-CN"/>
        </w:rPr>
        <w:t>）</w:t>
      </w:r>
      <w:r>
        <w:rPr>
          <w:rFonts w:hint="eastAsia" w:ascii="宋体" w:hAnsi="宋体" w:eastAsia="宋体" w:cs="宋体"/>
          <w:b w:val="0"/>
          <w:bCs w:val="0"/>
          <w:color w:val="auto"/>
          <w:sz w:val="24"/>
          <w:szCs w:val="24"/>
        </w:rPr>
        <w:t xml:space="preserve">根据《财政部发展改革委 生态环境部 市场监管总局关于调整优化节能产品环境标志产品政府采购执行机制的通知》（财库〔2019〕9 号），所参询台式计算机必须符合“节能产品政府采购品目清单”要求。  </w:t>
      </w:r>
    </w:p>
    <w:p w14:paraId="4D902E37">
      <w:pPr>
        <w:numPr>
          <w:ilvl w:val="0"/>
          <w:numId w:val="0"/>
        </w:numPr>
        <w:spacing w:line="360" w:lineRule="auto"/>
        <w:rPr>
          <w:rFonts w:hint="eastAsia" w:ascii="宋体" w:hAnsi="宋体" w:eastAsia="宋体" w:cs="宋体"/>
          <w:b w:val="0"/>
          <w:bCs w:val="0"/>
          <w:color w:val="auto"/>
          <w:sz w:val="24"/>
          <w:szCs w:val="24"/>
        </w:rPr>
      </w:pPr>
      <w:r>
        <w:rPr>
          <w:rFonts w:hint="eastAsia" w:ascii="宋体" w:hAnsi="宋体" w:eastAsia="宋体" w:cs="宋体"/>
          <w:b w:val="0"/>
          <w:bCs w:val="0"/>
          <w:color w:val="auto"/>
          <w:sz w:val="24"/>
          <w:szCs w:val="24"/>
        </w:rPr>
        <w:t>7</w:t>
      </w:r>
      <w:r>
        <w:rPr>
          <w:rFonts w:hint="eastAsia" w:ascii="宋体" w:hAnsi="宋体" w:eastAsia="宋体" w:cs="宋体"/>
          <w:b w:val="0"/>
          <w:bCs w:val="0"/>
          <w:color w:val="auto"/>
          <w:sz w:val="24"/>
          <w:szCs w:val="24"/>
          <w:lang w:eastAsia="zh-CN"/>
        </w:rPr>
        <w:t>）</w:t>
      </w:r>
      <w:r>
        <w:rPr>
          <w:rFonts w:hint="eastAsia" w:ascii="宋体" w:hAnsi="宋体" w:eastAsia="宋体" w:cs="宋体"/>
          <w:b w:val="0"/>
          <w:bCs w:val="0"/>
          <w:color w:val="auto"/>
          <w:sz w:val="24"/>
          <w:szCs w:val="24"/>
        </w:rPr>
        <w:t>所参询产品应为国产产品（国内生产或组装的产品）。</w:t>
      </w:r>
    </w:p>
    <w:p w14:paraId="28F73204">
      <w:pPr>
        <w:numPr>
          <w:ilvl w:val="0"/>
          <w:numId w:val="0"/>
        </w:numPr>
        <w:spacing w:line="360" w:lineRule="auto"/>
        <w:rPr>
          <w:rFonts w:hint="eastAsia" w:ascii="宋体" w:hAnsi="宋体" w:cs="宋体"/>
          <w:b/>
          <w:bCs/>
          <w:color w:val="FF0000"/>
          <w:sz w:val="24"/>
        </w:rPr>
      </w:pPr>
      <w:r>
        <w:rPr>
          <w:rFonts w:hint="eastAsia" w:ascii="宋体" w:hAnsi="宋体" w:cs="宋体"/>
          <w:color w:val="FF0000"/>
          <w:sz w:val="24"/>
          <w:lang w:val="en-US" w:eastAsia="zh-CN"/>
        </w:rPr>
        <w:t>8）</w:t>
      </w:r>
      <w:r>
        <w:rPr>
          <w:rFonts w:hint="eastAsia" w:ascii="宋体" w:hAnsi="宋体" w:eastAsia="宋体" w:cs="宋体"/>
          <w:b/>
          <w:bCs/>
          <w:color w:val="FF0000"/>
          <w:sz w:val="24"/>
          <w:szCs w:val="24"/>
          <w:lang w:val="en-US" w:eastAsia="zh-CN"/>
        </w:rPr>
        <w:t>采购标的中属于国家强制节能认证、强制3C认证的，在响应文件中须提供相应产品认证证书佐证，</w:t>
      </w:r>
      <w:r>
        <w:rPr>
          <w:rFonts w:hint="eastAsia" w:ascii="宋体" w:hAnsi="宋体" w:eastAsia="宋体" w:cs="宋体"/>
          <w:b/>
          <w:bCs/>
          <w:color w:val="FF0000"/>
          <w:sz w:val="24"/>
          <w:szCs w:val="24"/>
          <w:u w:val="single"/>
          <w:lang w:val="en-US" w:eastAsia="zh-CN"/>
        </w:rPr>
        <w:t>否则将视为无效响应</w:t>
      </w:r>
      <w:r>
        <w:rPr>
          <w:rFonts w:hint="eastAsia" w:ascii="宋体" w:hAnsi="宋体" w:eastAsia="宋体" w:cs="宋体"/>
          <w:b/>
          <w:bCs/>
          <w:color w:val="FF0000"/>
          <w:sz w:val="24"/>
          <w:szCs w:val="24"/>
          <w:lang w:val="en-US" w:eastAsia="zh-CN"/>
        </w:rPr>
        <w:t>。</w:t>
      </w:r>
    </w:p>
    <w:p w14:paraId="10EFE776">
      <w:pPr>
        <w:numPr>
          <w:ilvl w:val="0"/>
          <w:numId w:val="0"/>
        </w:numPr>
        <w:spacing w:line="360" w:lineRule="auto"/>
        <w:rPr>
          <w:rFonts w:hint="eastAsia" w:ascii="宋体" w:hAnsi="宋体" w:eastAsia="宋体" w:cs="宋体"/>
          <w:b w:val="0"/>
          <w:bCs w:val="0"/>
          <w:i w:val="0"/>
          <w:iCs w:val="0"/>
          <w:caps w:val="0"/>
          <w:color w:val="auto"/>
          <w:spacing w:val="0"/>
          <w:sz w:val="24"/>
          <w:szCs w:val="24"/>
          <w:shd w:val="clear" w:color="auto" w:fill="FFFFFF"/>
          <w:lang w:val="en-US" w:eastAsia="zh-CN"/>
        </w:rPr>
      </w:pPr>
      <w:r>
        <w:rPr>
          <w:rFonts w:hint="eastAsia" w:ascii="宋体" w:hAnsi="宋体" w:eastAsia="宋体" w:cs="宋体"/>
          <w:b w:val="0"/>
          <w:bCs w:val="0"/>
          <w:i w:val="0"/>
          <w:iCs w:val="0"/>
          <w:caps w:val="0"/>
          <w:color w:val="auto"/>
          <w:spacing w:val="0"/>
          <w:sz w:val="24"/>
          <w:szCs w:val="24"/>
          <w:shd w:val="clear" w:color="auto" w:fill="FFFFFF"/>
          <w:lang w:val="en-US" w:eastAsia="zh-CN"/>
        </w:rPr>
        <w:t>（三）产品详细参数要求</w:t>
      </w:r>
    </w:p>
    <w:tbl>
      <w:tblPr>
        <w:tblStyle w:val="32"/>
        <w:tblW w:w="6317" w:type="pct"/>
        <w:jc w:val="center"/>
        <w:tblLayout w:type="autofit"/>
        <w:tblCellMar>
          <w:top w:w="0" w:type="dxa"/>
          <w:left w:w="0" w:type="dxa"/>
          <w:bottom w:w="0" w:type="dxa"/>
          <w:right w:w="0" w:type="dxa"/>
        </w:tblCellMar>
      </w:tblPr>
      <w:tblGrid>
        <w:gridCol w:w="857"/>
        <w:gridCol w:w="1124"/>
        <w:gridCol w:w="8518"/>
      </w:tblGrid>
      <w:tr w14:paraId="4519D8FD">
        <w:tblPrEx>
          <w:tblCellMar>
            <w:top w:w="0" w:type="dxa"/>
            <w:left w:w="0" w:type="dxa"/>
            <w:bottom w:w="0" w:type="dxa"/>
            <w:right w:w="0" w:type="dxa"/>
          </w:tblCellMar>
        </w:tblPrEx>
        <w:trPr>
          <w:trHeight w:val="831" w:hRule="atLeast"/>
          <w:jc w:val="center"/>
        </w:trPr>
        <w:tc>
          <w:tcPr>
            <w:tcW w:w="408" w:type="pct"/>
            <w:tcBorders>
              <w:top w:val="single" w:color="000000" w:sz="4" w:space="0"/>
              <w:left w:val="single" w:color="000000" w:sz="4" w:space="0"/>
              <w:bottom w:val="single" w:color="000000" w:sz="4" w:space="0"/>
              <w:right w:val="single" w:color="000000" w:sz="4" w:space="0"/>
            </w:tcBorders>
            <w:noWrap w:val="0"/>
            <w:vAlign w:val="center"/>
          </w:tcPr>
          <w:p w14:paraId="334323E2">
            <w:pPr>
              <w:widowControl/>
              <w:jc w:val="both"/>
              <w:textAlignment w:val="center"/>
              <w:rPr>
                <w:rFonts w:hint="eastAsia" w:ascii="宋体" w:hAnsi="宋体" w:eastAsia="宋体" w:cs="宋体"/>
                <w:color w:val="auto"/>
                <w:sz w:val="24"/>
                <w:szCs w:val="24"/>
              </w:rPr>
            </w:pPr>
            <w:r>
              <w:rPr>
                <w:rFonts w:hint="eastAsia" w:ascii="宋体" w:hAnsi="宋体" w:eastAsia="宋体" w:cs="宋体"/>
                <w:b/>
                <w:bCs/>
                <w:color w:val="auto"/>
                <w:kern w:val="0"/>
                <w:sz w:val="24"/>
                <w:szCs w:val="24"/>
              </w:rPr>
              <w:t>序号</w:t>
            </w:r>
          </w:p>
        </w:tc>
        <w:tc>
          <w:tcPr>
            <w:tcW w:w="535" w:type="pct"/>
            <w:tcBorders>
              <w:top w:val="single" w:color="000000" w:sz="4" w:space="0"/>
              <w:left w:val="single" w:color="000000" w:sz="4" w:space="0"/>
              <w:bottom w:val="single" w:color="000000" w:sz="4" w:space="0"/>
              <w:right w:val="single" w:color="000000" w:sz="4" w:space="0"/>
            </w:tcBorders>
            <w:noWrap w:val="0"/>
            <w:vAlign w:val="center"/>
          </w:tcPr>
          <w:p w14:paraId="755ADC15">
            <w:pPr>
              <w:widowControl/>
              <w:jc w:val="both"/>
              <w:textAlignment w:val="center"/>
              <w:rPr>
                <w:rFonts w:hint="eastAsia" w:ascii="宋体" w:hAnsi="宋体" w:eastAsia="宋体" w:cs="宋体"/>
                <w:color w:val="auto"/>
                <w:sz w:val="24"/>
                <w:szCs w:val="24"/>
              </w:rPr>
            </w:pPr>
            <w:r>
              <w:rPr>
                <w:rFonts w:hint="eastAsia" w:ascii="宋体" w:hAnsi="宋体" w:eastAsia="宋体" w:cs="宋体"/>
                <w:b/>
                <w:bCs/>
                <w:color w:val="auto"/>
                <w:sz w:val="24"/>
                <w:szCs w:val="24"/>
              </w:rPr>
              <w:t>设备名称</w:t>
            </w:r>
          </w:p>
        </w:tc>
        <w:tc>
          <w:tcPr>
            <w:tcW w:w="4055" w:type="pct"/>
            <w:tcBorders>
              <w:top w:val="single" w:color="000000" w:sz="4" w:space="0"/>
              <w:left w:val="single" w:color="000000" w:sz="4" w:space="0"/>
              <w:bottom w:val="single" w:color="000000" w:sz="4" w:space="0"/>
              <w:right w:val="single" w:color="000000" w:sz="4" w:space="0"/>
            </w:tcBorders>
            <w:noWrap w:val="0"/>
            <w:vAlign w:val="center"/>
          </w:tcPr>
          <w:p w14:paraId="3F021CE7">
            <w:pPr>
              <w:widowControl/>
              <w:jc w:val="both"/>
              <w:textAlignment w:val="center"/>
              <w:rPr>
                <w:rFonts w:hint="eastAsia" w:ascii="宋体" w:hAnsi="宋体" w:eastAsia="宋体" w:cs="宋体"/>
                <w:color w:val="auto"/>
                <w:sz w:val="24"/>
                <w:szCs w:val="24"/>
              </w:rPr>
            </w:pPr>
            <w:r>
              <w:rPr>
                <w:rFonts w:hint="eastAsia" w:ascii="宋体" w:hAnsi="宋体" w:eastAsia="宋体" w:cs="宋体"/>
                <w:b/>
                <w:bCs/>
                <w:color w:val="auto"/>
                <w:kern w:val="0"/>
                <w:sz w:val="24"/>
                <w:szCs w:val="24"/>
              </w:rPr>
              <w:t>核心参数</w:t>
            </w:r>
          </w:p>
        </w:tc>
      </w:tr>
      <w:tr w14:paraId="70CA016E">
        <w:tblPrEx>
          <w:tblCellMar>
            <w:top w:w="0" w:type="dxa"/>
            <w:left w:w="0" w:type="dxa"/>
            <w:bottom w:w="0" w:type="dxa"/>
            <w:right w:w="0" w:type="dxa"/>
          </w:tblCellMar>
        </w:tblPrEx>
        <w:trPr>
          <w:trHeight w:val="831" w:hRule="atLeast"/>
          <w:jc w:val="center"/>
        </w:trPr>
        <w:tc>
          <w:tcPr>
            <w:tcW w:w="408" w:type="pct"/>
            <w:tcBorders>
              <w:top w:val="single" w:color="000000" w:sz="4" w:space="0"/>
              <w:left w:val="single" w:color="000000" w:sz="4" w:space="0"/>
              <w:bottom w:val="single" w:color="000000" w:sz="4" w:space="0"/>
              <w:right w:val="single" w:color="000000" w:sz="4" w:space="0"/>
            </w:tcBorders>
            <w:noWrap w:val="0"/>
            <w:vAlign w:val="center"/>
          </w:tcPr>
          <w:p w14:paraId="79CD3A9A">
            <w:pPr>
              <w:spacing w:line="360" w:lineRule="auto"/>
              <w:jc w:val="center"/>
              <w:rPr>
                <w:rFonts w:hint="eastAsia" w:ascii="宋体" w:hAnsi="宋体" w:eastAsia="宋体" w:cs="宋体"/>
                <w:b/>
                <w:bCs/>
                <w:color w:val="auto"/>
                <w:kern w:val="0"/>
                <w:sz w:val="24"/>
                <w:szCs w:val="24"/>
              </w:rPr>
            </w:pPr>
            <w:r>
              <w:rPr>
                <w:rFonts w:hint="eastAsia" w:ascii="宋体" w:hAnsi="宋体" w:eastAsia="宋体" w:cs="宋体"/>
                <w:color w:val="auto"/>
                <w:sz w:val="24"/>
                <w:szCs w:val="24"/>
              </w:rPr>
              <w:t>1</w:t>
            </w:r>
          </w:p>
        </w:tc>
        <w:tc>
          <w:tcPr>
            <w:tcW w:w="535" w:type="pct"/>
            <w:tcBorders>
              <w:top w:val="single" w:color="000000" w:sz="4" w:space="0"/>
              <w:left w:val="single" w:color="000000" w:sz="4" w:space="0"/>
              <w:bottom w:val="single" w:color="000000" w:sz="4" w:space="0"/>
              <w:right w:val="single" w:color="000000" w:sz="4" w:space="0"/>
            </w:tcBorders>
            <w:noWrap w:val="0"/>
            <w:vAlign w:val="center"/>
          </w:tcPr>
          <w:p w14:paraId="62533B07">
            <w:pPr>
              <w:spacing w:line="360" w:lineRule="auto"/>
              <w:jc w:val="center"/>
              <w:rPr>
                <w:rFonts w:hint="eastAsia" w:ascii="宋体" w:hAnsi="宋体" w:eastAsia="宋体" w:cs="宋体"/>
                <w:b/>
                <w:bCs/>
                <w:color w:val="auto"/>
                <w:sz w:val="24"/>
                <w:szCs w:val="24"/>
              </w:rPr>
            </w:pPr>
            <w:r>
              <w:rPr>
                <w:rFonts w:hint="eastAsia" w:ascii="宋体" w:hAnsi="宋体" w:eastAsia="宋体" w:cs="宋体"/>
                <w:color w:val="auto"/>
                <w:sz w:val="24"/>
                <w:szCs w:val="24"/>
              </w:rPr>
              <w:t>教师办公电脑</w:t>
            </w:r>
          </w:p>
        </w:tc>
        <w:tc>
          <w:tcPr>
            <w:tcW w:w="4055" w:type="pct"/>
            <w:tcBorders>
              <w:top w:val="single" w:color="000000" w:sz="4" w:space="0"/>
              <w:left w:val="single" w:color="000000" w:sz="4" w:space="0"/>
              <w:bottom w:val="single" w:color="000000" w:sz="4" w:space="0"/>
              <w:right w:val="single" w:color="000000" w:sz="4" w:space="0"/>
            </w:tcBorders>
            <w:noWrap w:val="0"/>
            <w:vAlign w:val="center"/>
          </w:tcPr>
          <w:p w14:paraId="33F8C04E">
            <w:pPr>
              <w:spacing w:line="360" w:lineRule="auto"/>
              <w:jc w:val="both"/>
              <w:rPr>
                <w:rFonts w:hint="eastAsia" w:ascii="宋体" w:hAnsi="宋体" w:eastAsia="宋体" w:cs="宋体"/>
                <w:color w:val="auto"/>
                <w:sz w:val="24"/>
                <w:szCs w:val="24"/>
              </w:rPr>
            </w:pPr>
            <w:r>
              <w:rPr>
                <w:rFonts w:hint="eastAsia" w:ascii="宋体" w:hAnsi="宋体" w:eastAsia="宋体" w:cs="宋体"/>
                <w:color w:val="auto"/>
                <w:sz w:val="24"/>
                <w:szCs w:val="24"/>
              </w:rPr>
              <w:t>1、CPU信息：采用x86架构64位多核处理器，≥6核心，12线程，基准主频≥3.5GHz，最大加速频率不低于5.0GHz，三级缓存≥20MB，TDP（热设计功耗）≥65W，制程工艺≤7nm，支持硬件辅助虚拟化技术（兼容Intel VT-x、AMD-V或国产CPU等效虚拟化扩展），完整支持SSE4.2、AVX、AVX2指令集，确保主流商业软件、虚拟化平台及高性能应用深度兼容。</w:t>
            </w:r>
          </w:p>
          <w:p w14:paraId="598D0255">
            <w:pPr>
              <w:spacing w:line="360" w:lineRule="auto"/>
              <w:jc w:val="both"/>
              <w:rPr>
                <w:rFonts w:hint="eastAsia" w:ascii="宋体" w:hAnsi="宋体" w:eastAsia="宋体" w:cs="宋体"/>
                <w:color w:val="auto"/>
                <w:sz w:val="24"/>
                <w:szCs w:val="24"/>
              </w:rPr>
            </w:pPr>
            <w:r>
              <w:rPr>
                <w:rFonts w:hint="eastAsia" w:ascii="宋体" w:hAnsi="宋体" w:eastAsia="宋体" w:cs="宋体"/>
                <w:color w:val="auto"/>
                <w:sz w:val="24"/>
                <w:szCs w:val="24"/>
              </w:rPr>
              <w:t>2、内存配置容量：≥16GB。</w:t>
            </w:r>
          </w:p>
          <w:p w14:paraId="5231AC87">
            <w:pPr>
              <w:spacing w:line="360" w:lineRule="auto"/>
              <w:jc w:val="both"/>
              <w:rPr>
                <w:rFonts w:hint="eastAsia" w:ascii="宋体" w:hAnsi="宋体" w:eastAsia="宋体" w:cs="宋体"/>
                <w:color w:val="auto"/>
                <w:sz w:val="24"/>
                <w:szCs w:val="24"/>
              </w:rPr>
            </w:pPr>
            <w:r>
              <w:rPr>
                <w:rFonts w:hint="eastAsia" w:ascii="宋体" w:hAnsi="宋体" w:eastAsia="宋体" w:cs="宋体"/>
                <w:color w:val="auto"/>
                <w:sz w:val="24"/>
                <w:szCs w:val="24"/>
              </w:rPr>
              <w:t>3、内存类型：DDR5 5600及以上。</w:t>
            </w:r>
          </w:p>
          <w:p w14:paraId="75585604">
            <w:pPr>
              <w:spacing w:line="360" w:lineRule="auto"/>
              <w:jc w:val="both"/>
              <w:rPr>
                <w:rFonts w:hint="eastAsia" w:ascii="宋体" w:hAnsi="宋体" w:eastAsia="宋体" w:cs="宋体"/>
                <w:color w:val="auto"/>
                <w:sz w:val="24"/>
                <w:szCs w:val="24"/>
              </w:rPr>
            </w:pPr>
            <w:r>
              <w:rPr>
                <w:rFonts w:hint="eastAsia" w:ascii="宋体" w:hAnsi="宋体" w:eastAsia="宋体" w:cs="宋体"/>
                <w:color w:val="auto"/>
                <w:sz w:val="24"/>
                <w:szCs w:val="24"/>
              </w:rPr>
              <w:t>4、内存条配置数量（板载内存不涉及）：≥2。</w:t>
            </w:r>
          </w:p>
          <w:p w14:paraId="29273E2B">
            <w:pPr>
              <w:spacing w:line="360" w:lineRule="auto"/>
              <w:jc w:val="both"/>
              <w:rPr>
                <w:rFonts w:hint="eastAsia" w:ascii="宋体" w:hAnsi="宋体" w:eastAsia="宋体" w:cs="宋体"/>
                <w:color w:val="auto"/>
                <w:sz w:val="24"/>
                <w:szCs w:val="24"/>
              </w:rPr>
            </w:pPr>
            <w:r>
              <w:rPr>
                <w:rFonts w:hint="eastAsia" w:ascii="宋体" w:hAnsi="宋体" w:eastAsia="宋体" w:cs="宋体"/>
                <w:color w:val="auto"/>
                <w:sz w:val="24"/>
                <w:szCs w:val="24"/>
              </w:rPr>
              <w:t>5、主板集成模块：主板采用商用标准芯片组，支持UEFI 安全启动；支持标准SATA 3.0/NVMe M.2；平台支持64位原厂驱动；集成显卡支持DirectX 12,支持4K@60Hz 硬件解码输出,支持OpenGL 4.5 及以上；集成资源扩展模块、计算处理模块、音频扩展模块等，主板的互联拓扑可通过处理器或交换电路实现。</w:t>
            </w:r>
          </w:p>
          <w:p w14:paraId="7391DB85">
            <w:pPr>
              <w:spacing w:line="360" w:lineRule="auto"/>
              <w:jc w:val="both"/>
              <w:rPr>
                <w:rFonts w:hint="eastAsia" w:ascii="宋体" w:hAnsi="宋体" w:eastAsia="宋体" w:cs="宋体"/>
                <w:color w:val="auto"/>
                <w:sz w:val="24"/>
                <w:szCs w:val="24"/>
              </w:rPr>
            </w:pPr>
            <w:r>
              <w:rPr>
                <w:rFonts w:hint="eastAsia" w:ascii="宋体" w:hAnsi="宋体" w:eastAsia="宋体" w:cs="宋体"/>
                <w:color w:val="auto"/>
                <w:sz w:val="24"/>
                <w:szCs w:val="24"/>
              </w:rPr>
              <w:t>6、主板支持的CPU和内存情况：支持适配处理器以及DDR5内存，具有2条内存插槽。</w:t>
            </w:r>
          </w:p>
          <w:p w14:paraId="219125CB">
            <w:pPr>
              <w:spacing w:line="360" w:lineRule="auto"/>
              <w:jc w:val="both"/>
              <w:rPr>
                <w:rFonts w:hint="eastAsia" w:ascii="宋体" w:hAnsi="宋体" w:eastAsia="宋体" w:cs="宋体"/>
                <w:color w:val="auto"/>
                <w:sz w:val="24"/>
                <w:szCs w:val="24"/>
              </w:rPr>
            </w:pPr>
            <w:r>
              <w:rPr>
                <w:rFonts w:hint="eastAsia" w:ascii="宋体" w:hAnsi="宋体" w:eastAsia="宋体" w:cs="宋体"/>
                <w:color w:val="auto"/>
                <w:sz w:val="24"/>
                <w:szCs w:val="24"/>
              </w:rPr>
              <w:t>7、主板其他内置接口：≥1个PCIe 16x规格 (x8速）、≥2个PCI-E*1、1*PCI槽位，≥2个M.2 for PCIe SSD。</w:t>
            </w:r>
          </w:p>
          <w:p w14:paraId="72700C70">
            <w:pPr>
              <w:spacing w:line="360" w:lineRule="auto"/>
              <w:jc w:val="both"/>
              <w:rPr>
                <w:rFonts w:hint="eastAsia" w:ascii="宋体" w:hAnsi="宋体" w:eastAsia="宋体" w:cs="宋体"/>
                <w:color w:val="auto"/>
                <w:sz w:val="24"/>
                <w:szCs w:val="24"/>
              </w:rPr>
            </w:pPr>
            <w:r>
              <w:rPr>
                <w:rFonts w:hint="eastAsia" w:ascii="宋体" w:hAnsi="宋体" w:eastAsia="宋体" w:cs="宋体"/>
                <w:color w:val="auto"/>
                <w:sz w:val="24"/>
                <w:szCs w:val="24"/>
              </w:rPr>
              <w:t>8、单内存插槽最大可支持容量（板载内存不涉及）：≥32GB。</w:t>
            </w:r>
          </w:p>
          <w:p w14:paraId="4481A18E">
            <w:pPr>
              <w:spacing w:line="360" w:lineRule="auto"/>
              <w:jc w:val="both"/>
              <w:rPr>
                <w:rFonts w:hint="eastAsia" w:ascii="宋体" w:hAnsi="宋体" w:eastAsia="宋体" w:cs="宋体"/>
                <w:color w:val="auto"/>
                <w:sz w:val="24"/>
                <w:szCs w:val="24"/>
              </w:rPr>
            </w:pPr>
            <w:r>
              <w:rPr>
                <w:rFonts w:hint="eastAsia" w:ascii="宋体" w:hAnsi="宋体" w:eastAsia="宋体" w:cs="宋体"/>
                <w:color w:val="auto"/>
                <w:sz w:val="24"/>
                <w:szCs w:val="24"/>
              </w:rPr>
              <w:t>9、内存插槽满配时提供的最高内存总容量：≥64GB。</w:t>
            </w:r>
          </w:p>
          <w:p w14:paraId="190757A9">
            <w:pPr>
              <w:spacing w:line="360" w:lineRule="auto"/>
              <w:jc w:val="both"/>
              <w:rPr>
                <w:rFonts w:hint="eastAsia" w:ascii="宋体" w:hAnsi="宋体" w:eastAsia="宋体" w:cs="宋体"/>
                <w:color w:val="auto"/>
                <w:sz w:val="24"/>
                <w:szCs w:val="24"/>
              </w:rPr>
            </w:pPr>
            <w:r>
              <w:rPr>
                <w:rFonts w:hint="eastAsia" w:ascii="宋体" w:hAnsi="宋体" w:eastAsia="宋体" w:cs="宋体"/>
                <w:color w:val="auto"/>
                <w:sz w:val="24"/>
                <w:szCs w:val="24"/>
              </w:rPr>
              <w:t>10、固态盘数量：≥1个。</w:t>
            </w:r>
          </w:p>
          <w:p w14:paraId="27CB16D1">
            <w:pPr>
              <w:spacing w:line="360" w:lineRule="auto"/>
              <w:jc w:val="both"/>
              <w:rPr>
                <w:rFonts w:hint="eastAsia" w:ascii="宋体" w:hAnsi="宋体" w:eastAsia="宋体" w:cs="宋体"/>
                <w:color w:val="auto"/>
                <w:sz w:val="24"/>
                <w:szCs w:val="24"/>
              </w:rPr>
            </w:pPr>
            <w:r>
              <w:rPr>
                <w:rFonts w:hint="eastAsia" w:ascii="宋体" w:hAnsi="宋体" w:eastAsia="宋体" w:cs="宋体"/>
                <w:color w:val="auto"/>
                <w:sz w:val="24"/>
                <w:szCs w:val="24"/>
              </w:rPr>
              <w:t>11、固态存储容量：≥1T(或固态硬盘≥512G+机械硬盘≥512G)。</w:t>
            </w:r>
          </w:p>
          <w:p w14:paraId="665E2CEA">
            <w:pPr>
              <w:spacing w:line="360" w:lineRule="auto"/>
              <w:jc w:val="both"/>
              <w:rPr>
                <w:rFonts w:hint="eastAsia" w:ascii="宋体" w:hAnsi="宋体" w:eastAsia="宋体" w:cs="宋体"/>
                <w:color w:val="auto"/>
                <w:sz w:val="24"/>
                <w:szCs w:val="24"/>
              </w:rPr>
            </w:pPr>
            <w:r>
              <w:rPr>
                <w:rFonts w:hint="eastAsia" w:ascii="宋体" w:hAnsi="宋体" w:eastAsia="宋体" w:cs="宋体"/>
                <w:color w:val="auto"/>
                <w:sz w:val="24"/>
                <w:szCs w:val="24"/>
              </w:rPr>
              <w:t>12、固态存储形态： M.2 NVME SSD。</w:t>
            </w:r>
          </w:p>
          <w:p w14:paraId="1EBA6D9C">
            <w:pPr>
              <w:spacing w:line="360" w:lineRule="auto"/>
              <w:jc w:val="both"/>
              <w:rPr>
                <w:rFonts w:hint="eastAsia" w:ascii="宋体" w:hAnsi="宋体" w:eastAsia="宋体" w:cs="宋体"/>
                <w:color w:val="auto"/>
                <w:sz w:val="24"/>
                <w:szCs w:val="24"/>
              </w:rPr>
            </w:pPr>
            <w:r>
              <w:rPr>
                <w:rFonts w:hint="eastAsia" w:ascii="宋体" w:hAnsi="宋体" w:eastAsia="宋体" w:cs="宋体"/>
                <w:color w:val="auto"/>
                <w:sz w:val="24"/>
                <w:szCs w:val="24"/>
              </w:rPr>
              <w:t>15、机械存储形态：≥7200RPM 3.5。</w:t>
            </w:r>
          </w:p>
          <w:p w14:paraId="69A942C3">
            <w:pPr>
              <w:spacing w:line="360" w:lineRule="auto"/>
              <w:jc w:val="both"/>
              <w:rPr>
                <w:rFonts w:hint="eastAsia" w:ascii="宋体" w:hAnsi="宋体" w:eastAsia="宋体" w:cs="宋体"/>
                <w:color w:val="auto"/>
                <w:sz w:val="24"/>
                <w:szCs w:val="24"/>
              </w:rPr>
            </w:pPr>
            <w:r>
              <w:rPr>
                <w:rFonts w:hint="eastAsia" w:ascii="宋体" w:hAnsi="宋体" w:eastAsia="宋体" w:cs="宋体"/>
                <w:color w:val="auto"/>
                <w:sz w:val="24"/>
                <w:szCs w:val="24"/>
              </w:rPr>
              <w:t>16、存储设备其他参数要求：采用插卡或板载等形式，可选用M.2或mSATA等标准的插卡形式。</w:t>
            </w:r>
          </w:p>
          <w:p w14:paraId="45D76D5B">
            <w:pPr>
              <w:spacing w:line="360" w:lineRule="auto"/>
              <w:jc w:val="both"/>
              <w:rPr>
                <w:rFonts w:hint="eastAsia" w:ascii="宋体" w:hAnsi="宋体" w:eastAsia="宋体" w:cs="宋体"/>
                <w:color w:val="auto"/>
                <w:sz w:val="24"/>
                <w:szCs w:val="24"/>
              </w:rPr>
            </w:pPr>
            <w:r>
              <w:rPr>
                <w:rFonts w:hint="eastAsia" w:ascii="宋体" w:hAnsi="宋体" w:eastAsia="宋体" w:cs="宋体"/>
                <w:color w:val="auto"/>
                <w:sz w:val="24"/>
                <w:szCs w:val="24"/>
              </w:rPr>
              <w:t>17、显卡类型：集成显卡，核显频率：≥2800 MHz（非独显）。</w:t>
            </w:r>
          </w:p>
          <w:p w14:paraId="396885EE">
            <w:pPr>
              <w:spacing w:line="360" w:lineRule="auto"/>
              <w:jc w:val="both"/>
              <w:rPr>
                <w:rFonts w:hint="eastAsia" w:ascii="宋体" w:hAnsi="宋体" w:eastAsia="宋体" w:cs="宋体"/>
                <w:color w:val="auto"/>
                <w:sz w:val="24"/>
                <w:szCs w:val="24"/>
              </w:rPr>
            </w:pPr>
            <w:r>
              <w:rPr>
                <w:rFonts w:hint="eastAsia" w:ascii="宋体" w:hAnsi="宋体" w:eastAsia="宋体" w:cs="宋体"/>
                <w:color w:val="auto"/>
                <w:sz w:val="24"/>
                <w:szCs w:val="24"/>
              </w:rPr>
              <w:t>18、显示屏屏占比：≥80% 。</w:t>
            </w:r>
          </w:p>
          <w:p w14:paraId="527DA6F7">
            <w:pPr>
              <w:spacing w:line="360" w:lineRule="auto"/>
              <w:jc w:val="both"/>
              <w:rPr>
                <w:rFonts w:hint="eastAsia" w:ascii="宋体" w:hAnsi="宋体" w:eastAsia="宋体" w:cs="宋体"/>
                <w:color w:val="auto"/>
                <w:sz w:val="24"/>
                <w:szCs w:val="24"/>
              </w:rPr>
            </w:pPr>
            <w:r>
              <w:rPr>
                <w:rFonts w:hint="eastAsia" w:ascii="宋体" w:hAnsi="宋体" w:eastAsia="宋体" w:cs="宋体"/>
                <w:color w:val="auto"/>
                <w:sz w:val="24"/>
                <w:szCs w:val="24"/>
              </w:rPr>
              <w:t>19、显示屏分辨率：2560*1440或1920*1080。</w:t>
            </w:r>
          </w:p>
          <w:p w14:paraId="3FFC74C9">
            <w:pPr>
              <w:spacing w:line="360" w:lineRule="auto"/>
              <w:jc w:val="both"/>
              <w:rPr>
                <w:rFonts w:hint="eastAsia" w:ascii="宋体" w:hAnsi="宋体" w:eastAsia="宋体" w:cs="宋体"/>
                <w:color w:val="auto"/>
                <w:sz w:val="24"/>
                <w:szCs w:val="24"/>
              </w:rPr>
            </w:pPr>
            <w:r>
              <w:rPr>
                <w:rFonts w:hint="eastAsia" w:ascii="宋体" w:hAnsi="宋体" w:eastAsia="宋体" w:cs="宋体"/>
                <w:color w:val="auto"/>
                <w:sz w:val="24"/>
                <w:szCs w:val="24"/>
              </w:rPr>
              <w:t>20、显示屏尺寸：≥27英寸。</w:t>
            </w:r>
          </w:p>
          <w:p w14:paraId="78F198FA">
            <w:pPr>
              <w:spacing w:line="360" w:lineRule="auto"/>
              <w:jc w:val="both"/>
              <w:rPr>
                <w:rFonts w:hint="eastAsia" w:ascii="宋体" w:hAnsi="宋体" w:eastAsia="宋体" w:cs="宋体"/>
                <w:color w:val="auto"/>
                <w:sz w:val="24"/>
                <w:szCs w:val="24"/>
              </w:rPr>
            </w:pPr>
            <w:r>
              <w:rPr>
                <w:rFonts w:hint="eastAsia" w:ascii="宋体" w:hAnsi="宋体" w:eastAsia="宋体" w:cs="宋体"/>
                <w:color w:val="auto"/>
                <w:sz w:val="24"/>
                <w:szCs w:val="24"/>
              </w:rPr>
              <w:t>21、显示器外观颜色：黑色。</w:t>
            </w:r>
          </w:p>
          <w:p w14:paraId="3D37DBA9">
            <w:pPr>
              <w:spacing w:line="360" w:lineRule="auto"/>
              <w:jc w:val="both"/>
              <w:rPr>
                <w:rFonts w:hint="eastAsia" w:ascii="宋体" w:hAnsi="宋体" w:eastAsia="宋体" w:cs="宋体"/>
                <w:color w:val="auto"/>
                <w:sz w:val="24"/>
                <w:szCs w:val="24"/>
              </w:rPr>
            </w:pPr>
            <w:r>
              <w:rPr>
                <w:rFonts w:hint="eastAsia" w:ascii="宋体" w:hAnsi="宋体" w:eastAsia="宋体" w:cs="宋体"/>
                <w:color w:val="auto"/>
                <w:sz w:val="24"/>
                <w:szCs w:val="24"/>
              </w:rPr>
              <w:t>22、显示屏防蓝光：支持防蓝光模式。</w:t>
            </w:r>
          </w:p>
          <w:p w14:paraId="4C5B9D9A">
            <w:pPr>
              <w:spacing w:line="360" w:lineRule="auto"/>
              <w:jc w:val="both"/>
              <w:rPr>
                <w:rFonts w:hint="eastAsia" w:ascii="宋体" w:hAnsi="宋体" w:eastAsia="宋体" w:cs="宋体"/>
                <w:color w:val="auto"/>
                <w:sz w:val="24"/>
                <w:szCs w:val="24"/>
              </w:rPr>
            </w:pPr>
            <w:r>
              <w:rPr>
                <w:rFonts w:hint="eastAsia" w:ascii="宋体" w:hAnsi="宋体" w:eastAsia="宋体" w:cs="宋体"/>
                <w:color w:val="auto"/>
                <w:sz w:val="24"/>
                <w:szCs w:val="24"/>
              </w:rPr>
              <w:t>显示屏刷新率≥60Hz;可视角度≥178°；接口：VGA+HDMI 或 DP+HDMI。</w:t>
            </w:r>
          </w:p>
          <w:p w14:paraId="289FF13B">
            <w:pPr>
              <w:spacing w:line="360" w:lineRule="auto"/>
              <w:jc w:val="both"/>
              <w:rPr>
                <w:rFonts w:hint="eastAsia" w:ascii="宋体" w:hAnsi="宋体" w:eastAsia="宋体" w:cs="宋体"/>
                <w:color w:val="auto"/>
                <w:sz w:val="24"/>
                <w:szCs w:val="24"/>
              </w:rPr>
            </w:pPr>
            <w:r>
              <w:rPr>
                <w:rFonts w:hint="eastAsia" w:ascii="宋体" w:hAnsi="宋体" w:eastAsia="宋体" w:cs="宋体"/>
                <w:color w:val="auto"/>
                <w:sz w:val="24"/>
                <w:szCs w:val="24"/>
              </w:rPr>
              <w:t>显示屏其他参数：其它参数应符合 SJ/T 11292</w:t>
            </w:r>
            <w:r>
              <w:rPr>
                <w:rFonts w:hint="eastAsia" w:ascii="宋体" w:hAnsi="宋体" w:cs="宋体"/>
                <w:color w:val="auto"/>
                <w:sz w:val="24"/>
                <w:szCs w:val="24"/>
                <w:lang w:val="en-US" w:eastAsia="zh-CN"/>
              </w:rPr>
              <w:t>-2016</w:t>
            </w:r>
            <w:r>
              <w:rPr>
                <w:rFonts w:hint="eastAsia" w:ascii="宋体" w:hAnsi="宋体" w:eastAsia="宋体" w:cs="宋体"/>
                <w:color w:val="FF0000"/>
                <w:sz w:val="24"/>
                <w:szCs w:val="24"/>
              </w:rPr>
              <w:t xml:space="preserve"> </w:t>
            </w:r>
            <w:r>
              <w:rPr>
                <w:rFonts w:hint="eastAsia" w:ascii="宋体" w:hAnsi="宋体" w:eastAsia="宋体" w:cs="宋体"/>
                <w:color w:val="auto"/>
                <w:sz w:val="24"/>
                <w:szCs w:val="24"/>
              </w:rPr>
              <w:t>的相关规定。</w:t>
            </w:r>
          </w:p>
          <w:p w14:paraId="63EBB5C8">
            <w:pPr>
              <w:spacing w:line="360" w:lineRule="auto"/>
              <w:jc w:val="both"/>
              <w:rPr>
                <w:rFonts w:hint="eastAsia" w:ascii="宋体" w:hAnsi="宋体" w:eastAsia="宋体" w:cs="宋体"/>
                <w:color w:val="auto"/>
                <w:sz w:val="24"/>
                <w:szCs w:val="24"/>
              </w:rPr>
            </w:pPr>
            <w:r>
              <w:rPr>
                <w:rFonts w:hint="eastAsia" w:ascii="宋体" w:hAnsi="宋体" w:eastAsia="宋体" w:cs="宋体"/>
                <w:color w:val="auto"/>
                <w:sz w:val="24"/>
                <w:szCs w:val="24"/>
              </w:rPr>
              <w:t>有线网卡速率：最高速率应不低于1000Mbps，应支持10Mbps</w:t>
            </w:r>
            <w:r>
              <w:rPr>
                <w:rFonts w:hint="eastAsia" w:ascii="宋体" w:hAnsi="宋体" w:cs="宋体"/>
                <w:color w:val="auto"/>
                <w:sz w:val="24"/>
                <w:szCs w:val="24"/>
                <w:lang w:eastAsia="zh-CN"/>
              </w:rPr>
              <w:t>、</w:t>
            </w:r>
            <w:r>
              <w:rPr>
                <w:rFonts w:hint="eastAsia" w:ascii="宋体" w:hAnsi="宋体" w:eastAsia="宋体" w:cs="宋体"/>
                <w:color w:val="auto"/>
                <w:sz w:val="24"/>
                <w:szCs w:val="24"/>
              </w:rPr>
              <w:t>100Mbps、1000Mbps 速率自适应。</w:t>
            </w:r>
          </w:p>
          <w:p w14:paraId="07A30A5A">
            <w:pPr>
              <w:spacing w:line="360" w:lineRule="auto"/>
              <w:jc w:val="both"/>
              <w:rPr>
                <w:rFonts w:hint="eastAsia" w:ascii="宋体" w:hAnsi="宋体" w:eastAsia="宋体" w:cs="宋体"/>
                <w:color w:val="auto"/>
                <w:sz w:val="24"/>
                <w:szCs w:val="24"/>
              </w:rPr>
            </w:pPr>
            <w:r>
              <w:rPr>
                <w:rFonts w:hint="eastAsia" w:ascii="宋体" w:hAnsi="宋体" w:eastAsia="宋体" w:cs="宋体"/>
                <w:color w:val="auto"/>
                <w:sz w:val="24"/>
                <w:szCs w:val="24"/>
              </w:rPr>
              <w:t>23、鼠标数量：1个</w:t>
            </w:r>
            <w:r>
              <w:rPr>
                <w:rFonts w:hint="eastAsia" w:ascii="宋体" w:hAnsi="宋体" w:eastAsia="宋体" w:cs="宋体"/>
                <w:color w:val="auto"/>
                <w:sz w:val="24"/>
                <w:szCs w:val="24"/>
                <w:lang w:eastAsia="zh-CN"/>
              </w:rPr>
              <w:t>，</w:t>
            </w:r>
            <w:r>
              <w:rPr>
                <w:rFonts w:hint="eastAsia" w:ascii="宋体" w:hAnsi="宋体" w:eastAsia="宋体" w:cs="宋体"/>
                <w:color w:val="auto"/>
                <w:sz w:val="24"/>
                <w:szCs w:val="24"/>
              </w:rPr>
              <w:t>型号：USB有线标准三键光电鼠标</w:t>
            </w:r>
            <w:r>
              <w:rPr>
                <w:rFonts w:hint="eastAsia" w:ascii="宋体" w:hAnsi="宋体" w:eastAsia="宋体" w:cs="宋体"/>
                <w:color w:val="auto"/>
                <w:sz w:val="24"/>
                <w:szCs w:val="24"/>
                <w:lang w:eastAsia="zh-CN"/>
              </w:rPr>
              <w:t>；</w:t>
            </w:r>
            <w:r>
              <w:rPr>
                <w:rFonts w:hint="eastAsia" w:ascii="宋体" w:hAnsi="宋体" w:eastAsia="宋体" w:cs="宋体"/>
                <w:color w:val="auto"/>
                <w:sz w:val="24"/>
                <w:szCs w:val="24"/>
              </w:rPr>
              <w:t>分辨率：≥1000 DPI。</w:t>
            </w:r>
          </w:p>
          <w:p w14:paraId="344E76E9">
            <w:pPr>
              <w:spacing w:line="360" w:lineRule="auto"/>
              <w:jc w:val="both"/>
              <w:rPr>
                <w:rFonts w:hint="eastAsia" w:ascii="宋体" w:hAnsi="宋体" w:eastAsia="宋体" w:cs="宋体"/>
                <w:color w:val="auto"/>
                <w:sz w:val="24"/>
                <w:szCs w:val="24"/>
              </w:rPr>
            </w:pPr>
            <w:r>
              <w:rPr>
                <w:rFonts w:hint="eastAsia" w:ascii="宋体" w:hAnsi="宋体" w:eastAsia="宋体" w:cs="宋体"/>
                <w:color w:val="auto"/>
                <w:sz w:val="24"/>
                <w:szCs w:val="24"/>
              </w:rPr>
              <w:t>24、键盘数量：1个</w:t>
            </w:r>
            <w:r>
              <w:rPr>
                <w:rFonts w:hint="eastAsia" w:ascii="宋体" w:hAnsi="宋体" w:eastAsia="宋体" w:cs="宋体"/>
                <w:color w:val="auto"/>
                <w:sz w:val="24"/>
                <w:szCs w:val="24"/>
                <w:lang w:eastAsia="zh-CN"/>
              </w:rPr>
              <w:t>，</w:t>
            </w:r>
            <w:r>
              <w:rPr>
                <w:rFonts w:hint="eastAsia" w:ascii="宋体" w:hAnsi="宋体" w:eastAsia="宋体" w:cs="宋体"/>
                <w:color w:val="auto"/>
                <w:sz w:val="24"/>
                <w:szCs w:val="24"/>
              </w:rPr>
              <w:t>型号：USB有线全尺寸键盘，带独立数字键区；具备防水防泼溅功能。</w:t>
            </w:r>
          </w:p>
          <w:p w14:paraId="43B74240">
            <w:pPr>
              <w:spacing w:line="360" w:lineRule="auto"/>
              <w:jc w:val="both"/>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rPr>
              <w:t>25、有</w:t>
            </w:r>
            <w:r>
              <w:rPr>
                <w:rFonts w:hint="eastAsia" w:ascii="宋体" w:hAnsi="宋体" w:eastAsia="宋体" w:cs="宋体"/>
                <w:color w:val="auto"/>
                <w:sz w:val="24"/>
                <w:szCs w:val="24"/>
                <w:highlight w:val="none"/>
              </w:rPr>
              <w:t>线网卡数量：≥1</w:t>
            </w:r>
            <w:r>
              <w:rPr>
                <w:rFonts w:hint="eastAsia" w:ascii="宋体" w:hAnsi="宋体" w:eastAsia="宋体" w:cs="宋体"/>
                <w:color w:val="auto"/>
                <w:sz w:val="24"/>
                <w:szCs w:val="24"/>
                <w:highlight w:val="none"/>
                <w:lang w:eastAsia="zh-CN"/>
              </w:rPr>
              <w:t>。</w:t>
            </w:r>
          </w:p>
          <w:p w14:paraId="17C1C06F">
            <w:pPr>
              <w:spacing w:line="360" w:lineRule="auto"/>
              <w:jc w:val="both"/>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rPr>
              <w:t>26、无线网卡数量：≥0</w:t>
            </w:r>
            <w:r>
              <w:rPr>
                <w:rFonts w:hint="eastAsia" w:ascii="宋体" w:hAnsi="宋体" w:eastAsia="宋体" w:cs="宋体"/>
                <w:color w:val="auto"/>
                <w:sz w:val="24"/>
                <w:szCs w:val="24"/>
                <w:highlight w:val="none"/>
                <w:lang w:eastAsia="zh-CN"/>
              </w:rPr>
              <w:t>。</w:t>
            </w:r>
          </w:p>
          <w:p w14:paraId="5F1B8E40">
            <w:pPr>
              <w:spacing w:line="360" w:lineRule="auto"/>
              <w:jc w:val="both"/>
              <w:rPr>
                <w:rFonts w:hint="eastAsia" w:ascii="宋体" w:hAnsi="宋体" w:eastAsia="宋体" w:cs="宋体"/>
                <w:color w:val="auto"/>
                <w:sz w:val="24"/>
                <w:szCs w:val="24"/>
              </w:rPr>
            </w:pPr>
            <w:r>
              <w:rPr>
                <w:rFonts w:hint="eastAsia" w:ascii="宋体" w:hAnsi="宋体" w:eastAsia="宋体" w:cs="宋体"/>
                <w:color w:val="auto"/>
                <w:sz w:val="24"/>
                <w:szCs w:val="24"/>
              </w:rPr>
              <w:t>27、USB 接口数量：≥10个USB接口（其中机箱前置USB3.2 Gen1≥6个）。</w:t>
            </w:r>
          </w:p>
          <w:p w14:paraId="33978C24">
            <w:pPr>
              <w:spacing w:line="360" w:lineRule="auto"/>
              <w:jc w:val="both"/>
              <w:rPr>
                <w:rFonts w:hint="eastAsia" w:ascii="宋体" w:hAnsi="宋体" w:eastAsia="宋体" w:cs="宋体"/>
                <w:color w:val="auto"/>
                <w:sz w:val="24"/>
                <w:szCs w:val="24"/>
              </w:rPr>
            </w:pPr>
            <w:r>
              <w:rPr>
                <w:rFonts w:hint="eastAsia" w:ascii="宋体" w:hAnsi="宋体" w:eastAsia="宋体" w:cs="宋体"/>
                <w:color w:val="auto"/>
                <w:sz w:val="24"/>
                <w:szCs w:val="24"/>
              </w:rPr>
              <w:t>28、视频接口数量：≥2。</w:t>
            </w:r>
          </w:p>
          <w:p w14:paraId="3B922007">
            <w:pPr>
              <w:spacing w:line="360" w:lineRule="auto"/>
              <w:jc w:val="both"/>
              <w:rPr>
                <w:rFonts w:hint="eastAsia" w:ascii="宋体" w:hAnsi="宋体" w:eastAsia="宋体" w:cs="宋体"/>
                <w:color w:val="auto"/>
                <w:sz w:val="24"/>
                <w:szCs w:val="24"/>
              </w:rPr>
            </w:pPr>
            <w:r>
              <w:rPr>
                <w:rFonts w:hint="eastAsia" w:ascii="宋体" w:hAnsi="宋体" w:eastAsia="宋体" w:cs="宋体"/>
                <w:color w:val="auto"/>
                <w:sz w:val="24"/>
                <w:szCs w:val="24"/>
              </w:rPr>
              <w:t>29、音频接口数量：≥5。</w:t>
            </w:r>
          </w:p>
          <w:p w14:paraId="5D2E6F95">
            <w:pPr>
              <w:spacing w:line="360" w:lineRule="auto"/>
              <w:jc w:val="both"/>
              <w:rPr>
                <w:rFonts w:hint="eastAsia" w:ascii="宋体" w:hAnsi="宋体" w:eastAsia="宋体" w:cs="宋体"/>
                <w:color w:val="auto"/>
                <w:sz w:val="24"/>
                <w:szCs w:val="24"/>
              </w:rPr>
            </w:pPr>
            <w:r>
              <w:rPr>
                <w:rFonts w:hint="eastAsia" w:ascii="宋体" w:hAnsi="宋体" w:eastAsia="宋体" w:cs="宋体"/>
                <w:color w:val="auto"/>
                <w:sz w:val="24"/>
                <w:szCs w:val="24"/>
              </w:rPr>
              <w:t>30、整机结构：</w:t>
            </w:r>
          </w:p>
          <w:p w14:paraId="0E785892">
            <w:pPr>
              <w:spacing w:line="360" w:lineRule="auto"/>
              <w:jc w:val="both"/>
              <w:rPr>
                <w:rFonts w:hint="eastAsia" w:ascii="宋体" w:hAnsi="宋体" w:eastAsia="宋体" w:cs="宋体"/>
                <w:color w:val="auto"/>
                <w:sz w:val="24"/>
                <w:szCs w:val="24"/>
              </w:rPr>
            </w:pPr>
            <w:r>
              <w:rPr>
                <w:rFonts w:hint="eastAsia" w:ascii="宋体" w:hAnsi="宋体" w:eastAsia="宋体" w:cs="宋体"/>
                <w:color w:val="auto"/>
                <w:sz w:val="24"/>
                <w:szCs w:val="24"/>
              </w:rPr>
              <w:t>a) 机箱应符合 GB/T 4208、GB/T 26246的相关规定；</w:t>
            </w:r>
          </w:p>
          <w:p w14:paraId="78C2C3AC">
            <w:pPr>
              <w:spacing w:line="360" w:lineRule="auto"/>
              <w:jc w:val="both"/>
              <w:rPr>
                <w:rFonts w:hint="eastAsia" w:ascii="宋体" w:hAnsi="宋体" w:eastAsia="宋体" w:cs="宋体"/>
                <w:color w:val="auto"/>
                <w:sz w:val="24"/>
                <w:szCs w:val="24"/>
              </w:rPr>
            </w:pPr>
            <w:r>
              <w:rPr>
                <w:rFonts w:hint="eastAsia" w:ascii="宋体" w:hAnsi="宋体" w:eastAsia="宋体" w:cs="宋体"/>
                <w:color w:val="auto"/>
                <w:sz w:val="24"/>
                <w:szCs w:val="24"/>
              </w:rPr>
              <w:t>b) 产品内部结构应符合通用部件的安装需求；</w:t>
            </w:r>
          </w:p>
          <w:p w14:paraId="04CFFED9">
            <w:pPr>
              <w:spacing w:line="360" w:lineRule="auto"/>
              <w:jc w:val="both"/>
              <w:rPr>
                <w:rFonts w:hint="eastAsia" w:ascii="宋体" w:hAnsi="宋体" w:eastAsia="宋体" w:cs="宋体"/>
                <w:color w:val="auto"/>
                <w:sz w:val="24"/>
                <w:szCs w:val="24"/>
              </w:rPr>
            </w:pPr>
            <w:r>
              <w:rPr>
                <w:rFonts w:hint="eastAsia" w:ascii="宋体" w:hAnsi="宋体" w:eastAsia="宋体" w:cs="宋体"/>
                <w:color w:val="auto"/>
                <w:sz w:val="24"/>
                <w:szCs w:val="24"/>
              </w:rPr>
              <w:t>c) 所有输入输出接口应符合相关国家或行业标准；</w:t>
            </w:r>
          </w:p>
          <w:p w14:paraId="4E388832">
            <w:pPr>
              <w:spacing w:line="360" w:lineRule="auto"/>
              <w:jc w:val="both"/>
              <w:rPr>
                <w:rFonts w:hint="eastAsia" w:ascii="宋体" w:hAnsi="宋体" w:eastAsia="宋体" w:cs="宋体"/>
                <w:color w:val="auto"/>
                <w:sz w:val="24"/>
                <w:szCs w:val="24"/>
              </w:rPr>
            </w:pPr>
            <w:r>
              <w:rPr>
                <w:rFonts w:hint="eastAsia" w:ascii="宋体" w:hAnsi="宋体" w:eastAsia="宋体" w:cs="宋体"/>
                <w:color w:val="auto"/>
                <w:sz w:val="24"/>
                <w:szCs w:val="24"/>
              </w:rPr>
              <w:t>d) 产品零部件应紧固无松动，可插拔部件应可靠连接，开关、按钮和其它控制部件应灵活可靠，布局应方便使用；</w:t>
            </w:r>
          </w:p>
          <w:p w14:paraId="48F8E330">
            <w:pPr>
              <w:spacing w:line="360" w:lineRule="auto"/>
              <w:jc w:val="both"/>
              <w:rPr>
                <w:rFonts w:hint="eastAsia" w:ascii="宋体" w:hAnsi="宋体" w:eastAsia="宋体" w:cs="宋体"/>
                <w:color w:val="auto"/>
                <w:sz w:val="24"/>
                <w:szCs w:val="24"/>
              </w:rPr>
            </w:pPr>
            <w:r>
              <w:rPr>
                <w:rFonts w:hint="eastAsia" w:ascii="宋体" w:hAnsi="宋体" w:eastAsia="宋体" w:cs="宋体"/>
                <w:color w:val="auto"/>
                <w:sz w:val="24"/>
                <w:szCs w:val="24"/>
              </w:rPr>
              <w:t>e) 所有I/O连接器及需插接线缆的部位应预留采购人操作空间，方便插拔解锁与插拔线缆；</w:t>
            </w:r>
          </w:p>
          <w:p w14:paraId="342BB8E0">
            <w:pPr>
              <w:spacing w:line="360" w:lineRule="auto"/>
              <w:jc w:val="both"/>
              <w:rPr>
                <w:rFonts w:hint="eastAsia" w:ascii="宋体" w:hAnsi="宋体" w:eastAsia="宋体" w:cs="宋体"/>
                <w:color w:val="auto"/>
                <w:sz w:val="24"/>
                <w:szCs w:val="24"/>
              </w:rPr>
            </w:pPr>
            <w:r>
              <w:rPr>
                <w:rFonts w:hint="eastAsia" w:ascii="宋体" w:hAnsi="宋体" w:eastAsia="宋体" w:cs="宋体"/>
                <w:color w:val="auto"/>
                <w:sz w:val="24"/>
                <w:szCs w:val="24"/>
              </w:rPr>
              <w:t>f) 可插拔板卡插槽部位应预留安装、拆卸或更换板卡空间；</w:t>
            </w:r>
          </w:p>
          <w:p w14:paraId="4028F661">
            <w:pPr>
              <w:spacing w:line="360" w:lineRule="auto"/>
              <w:jc w:val="both"/>
              <w:rPr>
                <w:rFonts w:hint="eastAsia" w:ascii="宋体" w:hAnsi="宋体" w:eastAsia="宋体" w:cs="宋体"/>
                <w:color w:val="auto"/>
                <w:sz w:val="24"/>
                <w:szCs w:val="24"/>
              </w:rPr>
            </w:pPr>
            <w:r>
              <w:rPr>
                <w:rFonts w:hint="eastAsia" w:ascii="宋体" w:hAnsi="宋体" w:eastAsia="宋体" w:cs="宋体"/>
                <w:color w:val="auto"/>
                <w:sz w:val="24"/>
                <w:szCs w:val="24"/>
              </w:rPr>
              <w:t>g) 拆装可能接触到的金属剪口或金属尖角部位应做防划伤处理，以保证安全；</w:t>
            </w:r>
          </w:p>
          <w:p w14:paraId="3BFFD448">
            <w:pPr>
              <w:spacing w:line="360" w:lineRule="auto"/>
              <w:jc w:val="both"/>
              <w:rPr>
                <w:rFonts w:hint="eastAsia" w:ascii="宋体" w:hAnsi="宋体" w:eastAsia="宋体" w:cs="宋体"/>
                <w:color w:val="auto"/>
                <w:sz w:val="24"/>
                <w:szCs w:val="24"/>
              </w:rPr>
            </w:pPr>
            <w:r>
              <w:rPr>
                <w:rFonts w:hint="eastAsia" w:ascii="宋体" w:hAnsi="宋体" w:eastAsia="宋体" w:cs="宋体"/>
                <w:color w:val="auto"/>
                <w:sz w:val="24"/>
                <w:szCs w:val="24"/>
              </w:rPr>
              <w:t>h) 整机内部走线应规整，固线结构和位置要合理可靠并做防割线处理，需便于理线和插拔操作，走线应不影响系统各主要部件组装和拆卸；</w:t>
            </w:r>
          </w:p>
          <w:p w14:paraId="7E5DE816">
            <w:pPr>
              <w:spacing w:line="360" w:lineRule="auto"/>
              <w:jc w:val="both"/>
              <w:rPr>
                <w:rFonts w:hint="eastAsia" w:ascii="宋体" w:hAnsi="宋体" w:eastAsia="宋体" w:cs="宋体"/>
                <w:color w:val="auto"/>
                <w:sz w:val="24"/>
                <w:szCs w:val="24"/>
              </w:rPr>
            </w:pPr>
            <w:r>
              <w:rPr>
                <w:rFonts w:hint="eastAsia" w:ascii="宋体" w:hAnsi="宋体" w:eastAsia="宋体" w:cs="宋体"/>
                <w:color w:val="auto"/>
                <w:sz w:val="24"/>
                <w:szCs w:val="24"/>
              </w:rPr>
              <w:t>i) 如需通过孔走线，过线孔应做防割线处理；</w:t>
            </w:r>
          </w:p>
          <w:p w14:paraId="5D631E16">
            <w:pPr>
              <w:spacing w:line="360" w:lineRule="auto"/>
              <w:jc w:val="both"/>
              <w:rPr>
                <w:rFonts w:hint="eastAsia" w:ascii="宋体" w:hAnsi="宋体" w:eastAsia="宋体" w:cs="宋体"/>
                <w:color w:val="auto"/>
                <w:sz w:val="24"/>
                <w:szCs w:val="24"/>
              </w:rPr>
            </w:pPr>
            <w:r>
              <w:rPr>
                <w:rFonts w:hint="eastAsia" w:ascii="宋体" w:hAnsi="宋体" w:eastAsia="宋体" w:cs="宋体"/>
                <w:color w:val="auto"/>
                <w:sz w:val="24"/>
                <w:szCs w:val="24"/>
              </w:rPr>
              <w:t>j) 各插头位置和插拔方向应合理，应做到插拔无障碍设计，具备防呆设计，</w:t>
            </w:r>
            <w:r>
              <w:rPr>
                <w:rFonts w:hint="eastAsia" w:ascii="宋体" w:hAnsi="宋体" w:eastAsia="宋体" w:cs="宋体"/>
                <w:color w:val="auto"/>
                <w:sz w:val="24"/>
                <w:szCs w:val="24"/>
                <w:lang w:val="en-US" w:eastAsia="zh-CN"/>
              </w:rPr>
              <w:t>能</w:t>
            </w:r>
            <w:r>
              <w:rPr>
                <w:rFonts w:hint="eastAsia" w:ascii="宋体" w:hAnsi="宋体" w:eastAsia="宋体" w:cs="宋体"/>
                <w:color w:val="auto"/>
                <w:sz w:val="24"/>
                <w:szCs w:val="24"/>
              </w:rPr>
              <w:t>避免误操作；</w:t>
            </w:r>
          </w:p>
          <w:p w14:paraId="55C1BA80">
            <w:pPr>
              <w:spacing w:line="360" w:lineRule="auto"/>
              <w:jc w:val="both"/>
              <w:rPr>
                <w:rFonts w:hint="eastAsia" w:ascii="宋体" w:hAnsi="宋体" w:eastAsia="宋体" w:cs="宋体"/>
                <w:color w:val="auto"/>
                <w:sz w:val="24"/>
                <w:szCs w:val="24"/>
              </w:rPr>
            </w:pPr>
            <w:r>
              <w:rPr>
                <w:rFonts w:hint="eastAsia" w:ascii="宋体" w:hAnsi="宋体" w:eastAsia="宋体" w:cs="宋体"/>
                <w:color w:val="auto"/>
                <w:sz w:val="24"/>
                <w:szCs w:val="24"/>
              </w:rPr>
              <w:t>k) 各主要部件拆装无障碍，使用常规工具拆装，无特殊拆装工具需求；</w:t>
            </w:r>
          </w:p>
          <w:p w14:paraId="2C6FC39E">
            <w:pPr>
              <w:spacing w:line="360" w:lineRule="auto"/>
              <w:jc w:val="both"/>
              <w:rPr>
                <w:rFonts w:hint="eastAsia" w:ascii="宋体" w:hAnsi="宋体" w:eastAsia="宋体" w:cs="宋体"/>
                <w:color w:val="auto"/>
                <w:sz w:val="24"/>
                <w:szCs w:val="24"/>
              </w:rPr>
            </w:pPr>
            <w:r>
              <w:rPr>
                <w:rFonts w:hint="eastAsia" w:ascii="宋体" w:hAnsi="宋体" w:eastAsia="宋体" w:cs="宋体"/>
                <w:color w:val="auto"/>
                <w:sz w:val="24"/>
                <w:szCs w:val="24"/>
              </w:rPr>
              <w:t>l) 各主要部件拆装步骤要少，各自拆装需避免相互干扰；</w:t>
            </w:r>
          </w:p>
          <w:p w14:paraId="69ECF13A">
            <w:pPr>
              <w:spacing w:line="360" w:lineRule="auto"/>
              <w:jc w:val="both"/>
              <w:rPr>
                <w:rFonts w:hint="eastAsia" w:ascii="宋体" w:hAnsi="宋体" w:eastAsia="宋体" w:cs="宋体"/>
                <w:color w:val="auto"/>
                <w:sz w:val="24"/>
                <w:szCs w:val="24"/>
                <w:lang w:eastAsia="zh-CN"/>
              </w:rPr>
            </w:pPr>
            <w:r>
              <w:rPr>
                <w:rFonts w:hint="eastAsia" w:ascii="宋体" w:hAnsi="宋体" w:eastAsia="宋体" w:cs="宋体"/>
                <w:color w:val="auto"/>
                <w:sz w:val="24"/>
                <w:szCs w:val="24"/>
              </w:rPr>
              <w:t>m) 对于整机或零部件外表面为高亮面的，应粘贴保护膜，保护膜需粘贴牢固，运输、组装等过程不易脱落，撕下无残留</w:t>
            </w:r>
            <w:r>
              <w:rPr>
                <w:rFonts w:hint="eastAsia" w:ascii="宋体" w:hAnsi="宋体" w:cs="宋体"/>
                <w:color w:val="auto"/>
                <w:sz w:val="24"/>
                <w:szCs w:val="24"/>
                <w:lang w:eastAsia="zh-CN"/>
              </w:rPr>
              <w:t>。</w:t>
            </w:r>
          </w:p>
          <w:p w14:paraId="732C58CA">
            <w:pPr>
              <w:numPr>
                <w:ilvl w:val="0"/>
                <w:numId w:val="2"/>
              </w:numPr>
              <w:spacing w:line="360" w:lineRule="auto"/>
              <w:jc w:val="both"/>
              <w:rPr>
                <w:rFonts w:hint="eastAsia" w:ascii="宋体" w:hAnsi="宋体" w:eastAsia="宋体" w:cs="宋体"/>
                <w:b/>
                <w:bCs/>
                <w:color w:val="auto"/>
                <w:sz w:val="24"/>
                <w:szCs w:val="24"/>
                <w:u w:val="single"/>
                <w:lang w:val="en-US" w:eastAsia="zh-CN"/>
              </w:rPr>
            </w:pPr>
            <w:r>
              <w:rPr>
                <w:rFonts w:hint="eastAsia" w:ascii="宋体" w:hAnsi="宋体" w:eastAsia="宋体" w:cs="宋体"/>
                <w:color w:val="auto"/>
                <w:sz w:val="24"/>
                <w:szCs w:val="24"/>
              </w:rPr>
              <w:t>操作系统备份及还原功能：产品具有BIOS级的一键备份和恢复的功能（非操作系统自带功能）</w:t>
            </w:r>
            <w:r>
              <w:rPr>
                <w:rFonts w:hint="eastAsia" w:ascii="宋体" w:hAnsi="宋体" w:eastAsia="宋体" w:cs="宋体"/>
                <w:color w:val="auto"/>
                <w:sz w:val="24"/>
                <w:szCs w:val="24"/>
                <w:lang w:eastAsia="zh-CN"/>
              </w:rPr>
              <w:t>；</w:t>
            </w:r>
            <w:r>
              <w:rPr>
                <w:rFonts w:hint="eastAsia" w:ascii="宋体" w:hAnsi="宋体" w:eastAsia="宋体" w:cs="宋体"/>
                <w:b/>
                <w:bCs/>
                <w:color w:val="auto"/>
                <w:sz w:val="24"/>
                <w:szCs w:val="24"/>
                <w:u w:val="single"/>
                <w:lang w:val="en-US" w:eastAsia="zh-CN"/>
              </w:rPr>
              <w:t>响应文件中</w:t>
            </w:r>
            <w:r>
              <w:rPr>
                <w:rFonts w:hint="eastAsia" w:ascii="宋体" w:hAnsi="宋体" w:eastAsia="宋体" w:cs="宋体"/>
                <w:b/>
                <w:bCs/>
                <w:color w:val="auto"/>
                <w:sz w:val="24"/>
                <w:szCs w:val="24"/>
                <w:u w:val="single"/>
              </w:rPr>
              <w:t>需提供此功能截图</w:t>
            </w:r>
            <w:r>
              <w:rPr>
                <w:rFonts w:hint="eastAsia" w:ascii="宋体" w:hAnsi="宋体" w:eastAsia="宋体" w:cs="宋体"/>
                <w:b/>
                <w:bCs/>
                <w:color w:val="auto"/>
                <w:sz w:val="24"/>
                <w:szCs w:val="24"/>
                <w:u w:val="single"/>
                <w:lang w:val="en-US" w:eastAsia="zh-CN"/>
              </w:rPr>
              <w:t>并加盖供应商公章</w:t>
            </w:r>
            <w:r>
              <w:rPr>
                <w:rFonts w:hint="eastAsia" w:ascii="宋体" w:hAnsi="宋体" w:eastAsia="宋体" w:cs="宋体"/>
                <w:b/>
                <w:bCs/>
                <w:color w:val="auto"/>
                <w:sz w:val="24"/>
                <w:szCs w:val="24"/>
                <w:u w:val="single"/>
              </w:rPr>
              <w:t>证明佐证</w:t>
            </w:r>
            <w:r>
              <w:rPr>
                <w:rFonts w:hint="eastAsia" w:ascii="宋体" w:hAnsi="宋体" w:eastAsia="宋体" w:cs="宋体"/>
                <w:b/>
                <w:bCs/>
                <w:color w:val="auto"/>
                <w:sz w:val="24"/>
                <w:szCs w:val="24"/>
                <w:u w:val="single"/>
                <w:lang w:eastAsia="zh-CN"/>
              </w:rPr>
              <w:t>，</w:t>
            </w:r>
            <w:r>
              <w:rPr>
                <w:rFonts w:hint="eastAsia" w:ascii="宋体" w:hAnsi="宋体" w:eastAsia="宋体" w:cs="宋体"/>
                <w:b/>
                <w:bCs/>
                <w:color w:val="auto"/>
                <w:sz w:val="24"/>
                <w:szCs w:val="24"/>
                <w:u w:val="single"/>
                <w:lang w:val="en-US" w:eastAsia="zh-CN"/>
              </w:rPr>
              <w:t>否则视为无效响应。</w:t>
            </w:r>
          </w:p>
          <w:p w14:paraId="47BB6E15">
            <w:pPr>
              <w:spacing w:line="360" w:lineRule="auto"/>
              <w:jc w:val="both"/>
              <w:rPr>
                <w:rFonts w:hint="eastAsia" w:ascii="宋体" w:hAnsi="宋体" w:eastAsia="宋体" w:cs="宋体"/>
                <w:color w:val="auto"/>
                <w:sz w:val="24"/>
                <w:szCs w:val="24"/>
              </w:rPr>
            </w:pPr>
            <w:r>
              <w:rPr>
                <w:rFonts w:hint="eastAsia" w:ascii="宋体" w:hAnsi="宋体" w:eastAsia="宋体" w:cs="宋体"/>
                <w:color w:val="auto"/>
                <w:sz w:val="24"/>
                <w:szCs w:val="24"/>
              </w:rPr>
              <w:t>32、预装操作系统：出厂预装正版操作系统。</w:t>
            </w:r>
          </w:p>
          <w:p w14:paraId="66CB206D">
            <w:pPr>
              <w:spacing w:line="360" w:lineRule="auto"/>
              <w:jc w:val="both"/>
              <w:rPr>
                <w:rFonts w:hint="eastAsia" w:ascii="宋体" w:hAnsi="宋体" w:eastAsia="宋体" w:cs="宋体"/>
                <w:color w:val="auto"/>
                <w:sz w:val="24"/>
                <w:szCs w:val="24"/>
              </w:rPr>
            </w:pPr>
            <w:r>
              <w:rPr>
                <w:rFonts w:hint="eastAsia" w:ascii="宋体" w:hAnsi="宋体" w:eastAsia="宋体" w:cs="宋体"/>
                <w:color w:val="auto"/>
                <w:sz w:val="24"/>
                <w:szCs w:val="24"/>
              </w:rPr>
              <w:t>33、整机质量服务要求：所投设备原厂原装、非拆改配产品，主机及显示器原厂提供三年及以上免费保修及上门服务（含换件和维修）。</w:t>
            </w:r>
          </w:p>
          <w:p w14:paraId="1E568699">
            <w:pPr>
              <w:spacing w:line="360" w:lineRule="auto"/>
              <w:jc w:val="both"/>
              <w:rPr>
                <w:rFonts w:hint="eastAsia" w:ascii="宋体" w:hAnsi="宋体" w:eastAsia="宋体" w:cs="宋体"/>
                <w:color w:val="auto"/>
                <w:sz w:val="24"/>
                <w:szCs w:val="24"/>
              </w:rPr>
            </w:pPr>
            <w:r>
              <w:rPr>
                <w:rFonts w:hint="eastAsia" w:ascii="宋体" w:hAnsi="宋体" w:eastAsia="宋体" w:cs="宋体"/>
                <w:color w:val="auto"/>
                <w:sz w:val="24"/>
                <w:szCs w:val="24"/>
              </w:rPr>
              <w:t>3</w:t>
            </w:r>
            <w:r>
              <w:rPr>
                <w:rFonts w:hint="eastAsia" w:ascii="宋体" w:hAnsi="宋体" w:eastAsia="宋体" w:cs="宋体"/>
                <w:color w:val="auto"/>
                <w:sz w:val="24"/>
                <w:szCs w:val="24"/>
                <w:lang w:val="en-US" w:eastAsia="zh-CN"/>
              </w:rPr>
              <w:t>4</w:t>
            </w:r>
            <w:r>
              <w:rPr>
                <w:rFonts w:hint="eastAsia" w:ascii="宋体" w:hAnsi="宋体" w:eastAsia="宋体" w:cs="宋体"/>
                <w:color w:val="auto"/>
                <w:sz w:val="24"/>
                <w:szCs w:val="24"/>
              </w:rPr>
              <w:t>、产品部件保障：供应商须保障产品主要部件，提供6年的原厂上门保修服务（自购买之日起），或提供可兼容原设备的升级换代产品。</w:t>
            </w:r>
          </w:p>
          <w:p w14:paraId="7C9854B9">
            <w:pPr>
              <w:numPr>
                <w:ilvl w:val="0"/>
                <w:numId w:val="0"/>
              </w:numPr>
              <w:spacing w:line="360" w:lineRule="auto"/>
              <w:jc w:val="both"/>
              <w:rPr>
                <w:rFonts w:hint="eastAsia" w:ascii="宋体" w:hAnsi="宋体" w:eastAsia="宋体" w:cs="宋体"/>
                <w:color w:val="auto"/>
                <w:sz w:val="24"/>
                <w:szCs w:val="24"/>
              </w:rPr>
            </w:pPr>
            <w:r>
              <w:rPr>
                <w:rFonts w:hint="eastAsia" w:ascii="宋体" w:hAnsi="宋体" w:eastAsia="宋体" w:cs="宋体"/>
                <w:color w:val="auto"/>
                <w:sz w:val="24"/>
                <w:szCs w:val="24"/>
                <w:lang w:val="en-US" w:eastAsia="zh-CN"/>
              </w:rPr>
              <w:t>35、</w:t>
            </w:r>
            <w:r>
              <w:rPr>
                <w:rFonts w:hint="eastAsia" w:ascii="宋体" w:hAnsi="宋体" w:eastAsia="宋体" w:cs="宋体"/>
                <w:color w:val="auto"/>
                <w:sz w:val="24"/>
                <w:szCs w:val="24"/>
              </w:rPr>
              <w:t>静音舒适性：要求设备的空闲状态声功率级≤2.68Bel，工作状态声压级≤15.82dB。</w:t>
            </w:r>
          </w:p>
          <w:p w14:paraId="08B94102">
            <w:pPr>
              <w:spacing w:line="360" w:lineRule="auto"/>
              <w:jc w:val="both"/>
              <w:rPr>
                <w:rFonts w:hint="eastAsia" w:ascii="宋体" w:hAnsi="宋体" w:eastAsia="宋体" w:cs="宋体"/>
                <w:color w:val="auto"/>
                <w:sz w:val="24"/>
                <w:szCs w:val="24"/>
              </w:rPr>
            </w:pPr>
            <w:r>
              <w:rPr>
                <w:rFonts w:hint="eastAsia" w:ascii="宋体" w:hAnsi="宋体" w:eastAsia="宋体" w:cs="宋体"/>
                <w:color w:val="auto"/>
                <w:sz w:val="24"/>
                <w:szCs w:val="24"/>
              </w:rPr>
              <w:t>3</w:t>
            </w:r>
            <w:r>
              <w:rPr>
                <w:rFonts w:hint="eastAsia" w:ascii="宋体" w:hAnsi="宋体" w:eastAsia="宋体" w:cs="宋体"/>
                <w:color w:val="auto"/>
                <w:sz w:val="24"/>
                <w:szCs w:val="24"/>
                <w:lang w:val="en-US" w:eastAsia="zh-CN"/>
              </w:rPr>
              <w:t>6</w:t>
            </w:r>
            <w:r>
              <w:rPr>
                <w:rFonts w:hint="eastAsia" w:ascii="宋体" w:hAnsi="宋体" w:eastAsia="宋体" w:cs="宋体"/>
                <w:color w:val="auto"/>
                <w:sz w:val="24"/>
                <w:szCs w:val="24"/>
              </w:rPr>
              <w:t>、兼容适配软件下载服务要求：供应商提供兼容适配软件下载渠道：提供中文版优化软件可一键将计算机的显卡、网卡、电源等部件设置为高性能状态（光盘或网站）。</w:t>
            </w:r>
          </w:p>
          <w:p w14:paraId="48ACDA44">
            <w:pPr>
              <w:spacing w:line="360" w:lineRule="auto"/>
              <w:jc w:val="both"/>
              <w:rPr>
                <w:rFonts w:hint="eastAsia" w:ascii="宋体" w:hAnsi="宋体" w:eastAsia="宋体" w:cs="宋体"/>
                <w:b/>
                <w:bCs/>
                <w:color w:val="auto"/>
                <w:kern w:val="2"/>
                <w:sz w:val="24"/>
                <w:szCs w:val="24"/>
                <w:u w:val="single"/>
                <w:lang w:val="en-US" w:eastAsia="zh-CN" w:bidi="ar-SA"/>
              </w:rPr>
            </w:pPr>
            <w:r>
              <w:rPr>
                <w:rFonts w:hint="eastAsia" w:ascii="宋体" w:hAnsi="宋体" w:eastAsia="宋体" w:cs="宋体"/>
                <w:color w:val="auto"/>
                <w:sz w:val="24"/>
                <w:szCs w:val="24"/>
              </w:rPr>
              <w:t>37、供应能力证明：</w:t>
            </w:r>
            <w:r>
              <w:rPr>
                <w:rFonts w:hint="eastAsia" w:ascii="宋体" w:hAnsi="宋体" w:eastAsia="宋体" w:cs="宋体"/>
                <w:b/>
                <w:bCs/>
                <w:color w:val="auto"/>
                <w:sz w:val="24"/>
                <w:szCs w:val="24"/>
              </w:rPr>
              <w:t>供应商提供加盖供应商</w:t>
            </w:r>
            <w:r>
              <w:rPr>
                <w:rFonts w:hint="eastAsia" w:ascii="宋体" w:hAnsi="宋体" w:eastAsia="宋体" w:cs="宋体"/>
                <w:b/>
                <w:bCs/>
                <w:color w:val="auto"/>
                <w:sz w:val="24"/>
                <w:szCs w:val="24"/>
                <w:highlight w:val="none"/>
              </w:rPr>
              <w:t>鲜</w:t>
            </w:r>
            <w:r>
              <w:rPr>
                <w:rFonts w:hint="eastAsia" w:ascii="宋体" w:hAnsi="宋体" w:eastAsia="宋体" w:cs="宋体"/>
                <w:b/>
                <w:bCs/>
                <w:color w:val="auto"/>
                <w:sz w:val="24"/>
                <w:szCs w:val="24"/>
              </w:rPr>
              <w:t>章的供应链稳定承诺书，确保产品的部件在产品服务周期内稳定供货。</w:t>
            </w:r>
            <w:r>
              <w:rPr>
                <w:rFonts w:hint="eastAsia" w:ascii="宋体" w:hAnsi="宋体" w:eastAsia="宋体" w:cs="宋体"/>
                <w:b/>
                <w:bCs/>
                <w:color w:val="auto"/>
                <w:kern w:val="2"/>
                <w:sz w:val="24"/>
                <w:szCs w:val="24"/>
                <w:u w:val="single"/>
                <w:lang w:val="en-US" w:eastAsia="zh-CN" w:bidi="ar-SA"/>
              </w:rPr>
              <w:t>响应文件中须提供此承诺函（承诺书格式自拟），否则视为无效响应。</w:t>
            </w:r>
          </w:p>
          <w:p w14:paraId="78A487BB">
            <w:pPr>
              <w:spacing w:line="360" w:lineRule="auto"/>
              <w:jc w:val="both"/>
              <w:rPr>
                <w:rFonts w:hint="eastAsia" w:ascii="宋体" w:hAnsi="宋体" w:eastAsia="宋体" w:cs="宋体"/>
                <w:color w:val="auto"/>
                <w:sz w:val="24"/>
                <w:szCs w:val="24"/>
                <w:lang w:eastAsia="zh-CN"/>
              </w:rPr>
            </w:pPr>
            <w:r>
              <w:rPr>
                <w:rFonts w:hint="eastAsia" w:ascii="宋体" w:hAnsi="宋体" w:eastAsia="宋体" w:cs="宋体"/>
                <w:color w:val="auto"/>
                <w:sz w:val="24"/>
                <w:szCs w:val="24"/>
              </w:rPr>
              <w:t>38、智能操作：</w:t>
            </w:r>
            <w:r>
              <w:rPr>
                <w:rFonts w:hint="eastAsia" w:ascii="宋体" w:hAnsi="宋体" w:eastAsia="宋体" w:cs="宋体"/>
                <w:color w:val="auto"/>
                <w:sz w:val="24"/>
                <w:szCs w:val="24"/>
                <w:lang w:val="en-US" w:eastAsia="zh-CN"/>
              </w:rPr>
              <w:t>预装正版</w:t>
            </w:r>
            <w:r>
              <w:rPr>
                <w:rFonts w:hint="eastAsia" w:ascii="宋体" w:hAnsi="宋体" w:eastAsia="宋体" w:cs="宋体"/>
                <w:color w:val="auto"/>
                <w:sz w:val="24"/>
                <w:szCs w:val="24"/>
              </w:rPr>
              <w:t>中文优化软件，能够提供重置工具，对系统的 IP 地址、DNS 服务器和 Winsock 进行快速重置</w:t>
            </w:r>
            <w:r>
              <w:rPr>
                <w:rFonts w:hint="eastAsia" w:ascii="宋体" w:hAnsi="宋体" w:eastAsia="宋体" w:cs="宋体"/>
                <w:color w:val="auto"/>
                <w:sz w:val="24"/>
                <w:szCs w:val="24"/>
                <w:lang w:eastAsia="zh-CN"/>
              </w:rPr>
              <w:t>；</w:t>
            </w:r>
            <w:r>
              <w:rPr>
                <w:rFonts w:hint="eastAsia" w:ascii="宋体" w:hAnsi="宋体" w:eastAsia="宋体" w:cs="宋体"/>
                <w:b/>
                <w:bCs/>
                <w:color w:val="auto"/>
                <w:sz w:val="24"/>
                <w:szCs w:val="24"/>
                <w:u w:val="single"/>
                <w:lang w:val="en-US" w:eastAsia="zh-CN"/>
              </w:rPr>
              <w:t>响应文件中</w:t>
            </w:r>
            <w:r>
              <w:rPr>
                <w:rFonts w:hint="eastAsia" w:ascii="宋体" w:hAnsi="宋体" w:eastAsia="宋体" w:cs="宋体"/>
                <w:b/>
                <w:bCs/>
                <w:color w:val="auto"/>
                <w:sz w:val="24"/>
                <w:szCs w:val="24"/>
                <w:u w:val="single"/>
              </w:rPr>
              <w:t>需提供此功能截图</w:t>
            </w:r>
            <w:r>
              <w:rPr>
                <w:rFonts w:hint="eastAsia" w:ascii="宋体" w:hAnsi="宋体" w:eastAsia="宋体" w:cs="宋体"/>
                <w:b/>
                <w:bCs/>
                <w:color w:val="auto"/>
                <w:sz w:val="24"/>
                <w:szCs w:val="24"/>
                <w:u w:val="single"/>
                <w:lang w:val="en-US" w:eastAsia="zh-CN"/>
              </w:rPr>
              <w:t>并加盖供应商公章</w:t>
            </w:r>
            <w:r>
              <w:rPr>
                <w:rFonts w:hint="eastAsia" w:ascii="宋体" w:hAnsi="宋体" w:eastAsia="宋体" w:cs="宋体"/>
                <w:b/>
                <w:bCs/>
                <w:color w:val="auto"/>
                <w:sz w:val="24"/>
                <w:szCs w:val="24"/>
                <w:u w:val="single"/>
              </w:rPr>
              <w:t>证明佐证</w:t>
            </w:r>
            <w:r>
              <w:rPr>
                <w:rFonts w:hint="eastAsia" w:ascii="宋体" w:hAnsi="宋体" w:eastAsia="宋体" w:cs="宋体"/>
                <w:b/>
                <w:bCs/>
                <w:color w:val="auto"/>
                <w:sz w:val="24"/>
                <w:szCs w:val="24"/>
                <w:u w:val="single"/>
                <w:lang w:eastAsia="zh-CN"/>
              </w:rPr>
              <w:t>，</w:t>
            </w:r>
            <w:r>
              <w:rPr>
                <w:rFonts w:hint="eastAsia" w:ascii="宋体" w:hAnsi="宋体" w:eastAsia="宋体" w:cs="宋体"/>
                <w:b/>
                <w:bCs/>
                <w:color w:val="auto"/>
                <w:sz w:val="24"/>
                <w:szCs w:val="24"/>
                <w:u w:val="single"/>
                <w:lang w:val="en-US" w:eastAsia="zh-CN"/>
              </w:rPr>
              <w:t>否则视为无效响应。</w:t>
            </w:r>
          </w:p>
          <w:p w14:paraId="307BCDFE">
            <w:pPr>
              <w:spacing w:line="360" w:lineRule="auto"/>
              <w:jc w:val="both"/>
              <w:rPr>
                <w:rFonts w:hint="eastAsia" w:ascii="宋体" w:hAnsi="宋体" w:eastAsia="宋体" w:cs="宋体"/>
                <w:color w:val="auto"/>
                <w:sz w:val="24"/>
                <w:szCs w:val="24"/>
                <w:lang w:eastAsia="zh-CN"/>
              </w:rPr>
            </w:pPr>
            <w:r>
              <w:rPr>
                <w:rFonts w:hint="eastAsia" w:ascii="宋体" w:hAnsi="宋体" w:eastAsia="宋体" w:cs="宋体"/>
                <w:color w:val="auto"/>
                <w:sz w:val="24"/>
                <w:szCs w:val="24"/>
              </w:rPr>
              <w:t>39、</w:t>
            </w:r>
            <w:r>
              <w:rPr>
                <w:rFonts w:hint="eastAsia" w:ascii="宋体" w:hAnsi="宋体" w:eastAsia="宋体" w:cs="宋体"/>
                <w:color w:val="auto"/>
                <w:sz w:val="24"/>
                <w:szCs w:val="24"/>
                <w:lang w:val="en-US" w:eastAsia="zh-CN"/>
              </w:rPr>
              <w:t>预装正版</w:t>
            </w:r>
            <w:r>
              <w:rPr>
                <w:rFonts w:hint="eastAsia" w:ascii="宋体" w:hAnsi="宋体" w:eastAsia="宋体" w:cs="宋体"/>
                <w:color w:val="auto"/>
                <w:sz w:val="24"/>
                <w:szCs w:val="24"/>
              </w:rPr>
              <w:t>管理软件，可通过机器学习的方法对文件系统和文件活动行为进行实时探测勒索软件等病毒软件</w:t>
            </w:r>
            <w:r>
              <w:rPr>
                <w:rFonts w:hint="eastAsia" w:ascii="宋体" w:hAnsi="宋体" w:eastAsia="宋体" w:cs="宋体"/>
                <w:color w:val="auto"/>
                <w:sz w:val="24"/>
                <w:szCs w:val="24"/>
                <w:lang w:eastAsia="zh-CN"/>
              </w:rPr>
              <w:t>；</w:t>
            </w:r>
            <w:r>
              <w:rPr>
                <w:rFonts w:hint="eastAsia" w:ascii="宋体" w:hAnsi="宋体" w:eastAsia="宋体" w:cs="宋体"/>
                <w:b/>
                <w:bCs/>
                <w:color w:val="auto"/>
                <w:sz w:val="24"/>
                <w:szCs w:val="24"/>
                <w:u w:val="single"/>
                <w:lang w:val="en-US" w:eastAsia="zh-CN"/>
              </w:rPr>
              <w:t>响应文件中</w:t>
            </w:r>
            <w:r>
              <w:rPr>
                <w:rFonts w:hint="eastAsia" w:ascii="宋体" w:hAnsi="宋体" w:eastAsia="宋体" w:cs="宋体"/>
                <w:b/>
                <w:bCs/>
                <w:color w:val="auto"/>
                <w:sz w:val="24"/>
                <w:szCs w:val="24"/>
                <w:u w:val="single"/>
              </w:rPr>
              <w:t>需提供此功能截图</w:t>
            </w:r>
            <w:r>
              <w:rPr>
                <w:rFonts w:hint="eastAsia" w:ascii="宋体" w:hAnsi="宋体" w:eastAsia="宋体" w:cs="宋体"/>
                <w:b/>
                <w:bCs/>
                <w:color w:val="auto"/>
                <w:sz w:val="24"/>
                <w:szCs w:val="24"/>
                <w:u w:val="single"/>
                <w:lang w:val="en-US" w:eastAsia="zh-CN"/>
              </w:rPr>
              <w:t>并加盖供应商公章</w:t>
            </w:r>
            <w:r>
              <w:rPr>
                <w:rFonts w:hint="eastAsia" w:ascii="宋体" w:hAnsi="宋体" w:eastAsia="宋体" w:cs="宋体"/>
                <w:b/>
                <w:bCs/>
                <w:color w:val="auto"/>
                <w:sz w:val="24"/>
                <w:szCs w:val="24"/>
                <w:u w:val="single"/>
              </w:rPr>
              <w:t>证明佐证</w:t>
            </w:r>
            <w:r>
              <w:rPr>
                <w:rFonts w:hint="eastAsia" w:ascii="宋体" w:hAnsi="宋体" w:eastAsia="宋体" w:cs="宋体"/>
                <w:b/>
                <w:bCs/>
                <w:color w:val="auto"/>
                <w:sz w:val="24"/>
                <w:szCs w:val="24"/>
                <w:u w:val="single"/>
                <w:lang w:eastAsia="zh-CN"/>
              </w:rPr>
              <w:t>，</w:t>
            </w:r>
            <w:r>
              <w:rPr>
                <w:rFonts w:hint="eastAsia" w:ascii="宋体" w:hAnsi="宋体" w:eastAsia="宋体" w:cs="宋体"/>
                <w:b/>
                <w:bCs/>
                <w:color w:val="auto"/>
                <w:sz w:val="24"/>
                <w:szCs w:val="24"/>
                <w:u w:val="single"/>
                <w:lang w:val="en-US" w:eastAsia="zh-CN"/>
              </w:rPr>
              <w:t>否则视为无效响应。</w:t>
            </w:r>
          </w:p>
          <w:p w14:paraId="73D7B5A5">
            <w:pPr>
              <w:spacing w:line="360" w:lineRule="auto"/>
              <w:jc w:val="both"/>
              <w:rPr>
                <w:rFonts w:hint="eastAsia" w:ascii="宋体" w:hAnsi="宋体" w:eastAsia="宋体" w:cs="宋体"/>
                <w:color w:val="auto"/>
                <w:sz w:val="24"/>
                <w:szCs w:val="24"/>
              </w:rPr>
            </w:pPr>
            <w:r>
              <w:rPr>
                <w:rFonts w:hint="eastAsia" w:ascii="宋体" w:hAnsi="宋体" w:eastAsia="宋体" w:cs="宋体"/>
                <w:color w:val="auto"/>
                <w:sz w:val="24"/>
                <w:szCs w:val="24"/>
              </w:rPr>
              <w:t>40、故障检测：设备具有智能诊断的自检功能，可实现故障检测和故障告警，缩短维修活动中的故障隔离和故障定位时间。</w:t>
            </w:r>
          </w:p>
          <w:p w14:paraId="15206331">
            <w:pPr>
              <w:widowControl/>
              <w:spacing w:line="360" w:lineRule="auto"/>
              <w:jc w:val="both"/>
              <w:textAlignment w:val="center"/>
              <w:rPr>
                <w:rFonts w:hint="eastAsia" w:ascii="宋体" w:hAnsi="宋体" w:eastAsia="宋体" w:cs="宋体"/>
                <w:b/>
                <w:bCs/>
                <w:color w:val="auto"/>
                <w:kern w:val="0"/>
                <w:sz w:val="24"/>
                <w:szCs w:val="24"/>
              </w:rPr>
            </w:pPr>
            <w:r>
              <w:rPr>
                <w:rFonts w:hint="eastAsia" w:ascii="宋体" w:hAnsi="宋体" w:eastAsia="宋体" w:cs="宋体"/>
                <w:color w:val="auto"/>
                <w:sz w:val="24"/>
                <w:szCs w:val="24"/>
              </w:rPr>
              <w:t>41、其他未列明参数必须完全响应或优于“财政部工业和信息化部关于印发《台式计算机政府采购需求标准(2023年版)》的通知（财库〔2023〕29号）”文件要求。</w:t>
            </w:r>
          </w:p>
        </w:tc>
      </w:tr>
      <w:tr w14:paraId="1E65CB05">
        <w:tblPrEx>
          <w:tblCellMar>
            <w:top w:w="0" w:type="dxa"/>
            <w:left w:w="0" w:type="dxa"/>
            <w:bottom w:w="0" w:type="dxa"/>
            <w:right w:w="0" w:type="dxa"/>
          </w:tblCellMar>
        </w:tblPrEx>
        <w:trPr>
          <w:trHeight w:val="957" w:hRule="atLeast"/>
          <w:jc w:val="center"/>
        </w:trPr>
        <w:tc>
          <w:tcPr>
            <w:tcW w:w="408" w:type="pct"/>
            <w:tcBorders>
              <w:top w:val="single" w:color="000000" w:sz="4" w:space="0"/>
              <w:left w:val="single" w:color="000000" w:sz="4" w:space="0"/>
              <w:bottom w:val="single" w:color="000000" w:sz="4" w:space="0"/>
              <w:right w:val="single" w:color="000000" w:sz="4" w:space="0"/>
            </w:tcBorders>
            <w:noWrap w:val="0"/>
            <w:vAlign w:val="center"/>
          </w:tcPr>
          <w:p w14:paraId="0AA06CD7">
            <w:pPr>
              <w:spacing w:line="360" w:lineRule="auto"/>
              <w:jc w:val="both"/>
              <w:rPr>
                <w:rFonts w:hint="eastAsia" w:ascii="宋体" w:hAnsi="宋体" w:eastAsia="宋体" w:cs="宋体"/>
                <w:color w:val="auto"/>
                <w:sz w:val="24"/>
                <w:szCs w:val="24"/>
              </w:rPr>
            </w:pPr>
            <w:r>
              <w:rPr>
                <w:rFonts w:hint="eastAsia" w:ascii="宋体" w:hAnsi="宋体" w:eastAsia="宋体" w:cs="宋体"/>
                <w:color w:val="auto"/>
                <w:sz w:val="24"/>
                <w:szCs w:val="24"/>
              </w:rPr>
              <w:t>2</w:t>
            </w:r>
          </w:p>
        </w:tc>
        <w:tc>
          <w:tcPr>
            <w:tcW w:w="535" w:type="pct"/>
            <w:tcBorders>
              <w:top w:val="single" w:color="000000" w:sz="4" w:space="0"/>
              <w:left w:val="single" w:color="000000" w:sz="4" w:space="0"/>
              <w:bottom w:val="single" w:color="000000" w:sz="4" w:space="0"/>
              <w:right w:val="single" w:color="000000" w:sz="4" w:space="0"/>
            </w:tcBorders>
            <w:noWrap w:val="0"/>
            <w:vAlign w:val="center"/>
          </w:tcPr>
          <w:p w14:paraId="3FA201D3">
            <w:pPr>
              <w:spacing w:line="360" w:lineRule="auto"/>
              <w:jc w:val="both"/>
              <w:rPr>
                <w:rFonts w:hint="eastAsia" w:ascii="宋体" w:hAnsi="宋体" w:eastAsia="宋体" w:cs="宋体"/>
                <w:color w:val="auto"/>
                <w:sz w:val="24"/>
                <w:szCs w:val="24"/>
              </w:rPr>
            </w:pPr>
            <w:r>
              <w:rPr>
                <w:rFonts w:hint="eastAsia" w:ascii="宋体" w:hAnsi="宋体" w:eastAsia="宋体" w:cs="宋体"/>
                <w:color w:val="auto"/>
                <w:sz w:val="24"/>
                <w:szCs w:val="24"/>
              </w:rPr>
              <w:t>机房电脑</w:t>
            </w:r>
          </w:p>
          <w:p w14:paraId="13D59DEF">
            <w:pPr>
              <w:spacing w:line="360" w:lineRule="auto"/>
              <w:jc w:val="both"/>
              <w:rPr>
                <w:rFonts w:hint="eastAsia" w:ascii="宋体" w:hAnsi="宋体" w:eastAsia="宋体" w:cs="宋体"/>
                <w:color w:val="auto"/>
                <w:sz w:val="24"/>
                <w:szCs w:val="24"/>
              </w:rPr>
            </w:pPr>
            <w:r>
              <w:rPr>
                <w:rFonts w:hint="eastAsia" w:ascii="宋体" w:hAnsi="宋体" w:eastAsia="宋体" w:cs="宋体"/>
                <w:color w:val="auto"/>
                <w:sz w:val="24"/>
                <w:szCs w:val="24"/>
              </w:rPr>
              <w:t>（学生用机）</w:t>
            </w:r>
          </w:p>
        </w:tc>
        <w:tc>
          <w:tcPr>
            <w:tcW w:w="4055" w:type="pct"/>
            <w:tcBorders>
              <w:top w:val="single" w:color="000000" w:sz="4" w:space="0"/>
              <w:left w:val="single" w:color="000000" w:sz="4" w:space="0"/>
              <w:bottom w:val="single" w:color="000000" w:sz="4" w:space="0"/>
              <w:right w:val="single" w:color="000000" w:sz="4" w:space="0"/>
            </w:tcBorders>
            <w:noWrap w:val="0"/>
            <w:vAlign w:val="center"/>
          </w:tcPr>
          <w:p w14:paraId="63C38637">
            <w:pPr>
              <w:pStyle w:val="11"/>
              <w:numPr>
                <w:ilvl w:val="0"/>
                <w:numId w:val="3"/>
              </w:numPr>
              <w:spacing w:line="360" w:lineRule="auto"/>
              <w:jc w:val="both"/>
              <w:rPr>
                <w:rFonts w:hint="eastAsia" w:ascii="宋体" w:hAnsi="宋体" w:eastAsia="宋体" w:cs="宋体"/>
                <w:color w:val="auto"/>
                <w:sz w:val="24"/>
                <w:szCs w:val="24"/>
                <w:shd w:val="clear" w:color="auto" w:fill="FFFFFF"/>
              </w:rPr>
            </w:pPr>
            <w:r>
              <w:rPr>
                <w:rFonts w:hint="eastAsia" w:ascii="宋体" w:hAnsi="宋体" w:eastAsia="宋体" w:cs="宋体"/>
                <w:color w:val="auto"/>
                <w:sz w:val="24"/>
                <w:szCs w:val="24"/>
                <w:shd w:val="clear" w:color="auto" w:fill="FFFFFF"/>
              </w:rPr>
              <w:t>CPU 信息：X86架构64位多核处理器≥十核心，十六线程，主频2.5GHz，最高睿频：4.6GHz，三级缓存：20 MB；支持Intel VT-x/AMD-V硬件虚拟化技术,支持完整 SSE4.2、AVX、AVX2 指令集。</w:t>
            </w:r>
          </w:p>
          <w:p w14:paraId="7801CD2B">
            <w:pPr>
              <w:pStyle w:val="11"/>
              <w:spacing w:line="360" w:lineRule="auto"/>
              <w:jc w:val="both"/>
              <w:rPr>
                <w:rFonts w:hint="eastAsia" w:ascii="宋体" w:hAnsi="宋体" w:eastAsia="宋体" w:cs="宋体"/>
                <w:color w:val="auto"/>
                <w:sz w:val="24"/>
                <w:szCs w:val="24"/>
                <w:shd w:val="clear" w:color="auto" w:fill="FFFFFF"/>
              </w:rPr>
            </w:pPr>
            <w:r>
              <w:rPr>
                <w:rFonts w:hint="eastAsia" w:ascii="宋体" w:hAnsi="宋体" w:eastAsia="宋体" w:cs="宋体"/>
                <w:color w:val="auto"/>
                <w:sz w:val="24"/>
                <w:szCs w:val="24"/>
                <w:shd w:val="clear" w:color="auto" w:fill="FFFFFF"/>
              </w:rPr>
              <w:t>2、内存配置容量：≥16GB。</w:t>
            </w:r>
          </w:p>
          <w:p w14:paraId="3D8A814F">
            <w:pPr>
              <w:pStyle w:val="11"/>
              <w:spacing w:line="360" w:lineRule="auto"/>
              <w:jc w:val="both"/>
              <w:rPr>
                <w:rFonts w:hint="eastAsia" w:ascii="宋体" w:hAnsi="宋体" w:eastAsia="宋体" w:cs="宋体"/>
                <w:color w:val="auto"/>
                <w:sz w:val="24"/>
                <w:szCs w:val="24"/>
                <w:shd w:val="clear" w:color="auto" w:fill="FFFFFF"/>
              </w:rPr>
            </w:pPr>
            <w:r>
              <w:rPr>
                <w:rFonts w:hint="eastAsia" w:ascii="宋体" w:hAnsi="宋体" w:eastAsia="宋体" w:cs="宋体"/>
                <w:color w:val="auto"/>
                <w:sz w:val="24"/>
                <w:szCs w:val="24"/>
                <w:shd w:val="clear" w:color="auto" w:fill="FFFFFF"/>
              </w:rPr>
              <w:t>3、内存类型：DDR4及以上。</w:t>
            </w:r>
          </w:p>
          <w:p w14:paraId="003E7151">
            <w:pPr>
              <w:pStyle w:val="11"/>
              <w:spacing w:line="360" w:lineRule="auto"/>
              <w:jc w:val="both"/>
              <w:rPr>
                <w:rFonts w:hint="eastAsia" w:ascii="宋体" w:hAnsi="宋体" w:eastAsia="宋体" w:cs="宋体"/>
                <w:color w:val="auto"/>
                <w:sz w:val="24"/>
                <w:szCs w:val="24"/>
                <w:shd w:val="clear" w:color="auto" w:fill="FFFFFF"/>
              </w:rPr>
            </w:pPr>
            <w:r>
              <w:rPr>
                <w:rFonts w:hint="eastAsia" w:ascii="宋体" w:hAnsi="宋体" w:eastAsia="宋体" w:cs="宋体"/>
                <w:color w:val="auto"/>
                <w:sz w:val="24"/>
                <w:szCs w:val="24"/>
                <w:shd w:val="clear" w:color="auto" w:fill="FFFFFF"/>
              </w:rPr>
              <w:t>4、内存条配置数量（板载内存不涉及）：≥1。</w:t>
            </w:r>
          </w:p>
          <w:p w14:paraId="055A9D64">
            <w:pPr>
              <w:pStyle w:val="11"/>
              <w:spacing w:line="360" w:lineRule="auto"/>
              <w:jc w:val="both"/>
              <w:rPr>
                <w:rFonts w:hint="eastAsia" w:ascii="宋体" w:hAnsi="宋体" w:eastAsia="宋体" w:cs="宋体"/>
                <w:color w:val="auto"/>
                <w:sz w:val="24"/>
                <w:szCs w:val="24"/>
                <w:shd w:val="clear" w:color="auto" w:fill="FFFFFF"/>
              </w:rPr>
            </w:pPr>
            <w:r>
              <w:rPr>
                <w:rFonts w:hint="eastAsia" w:ascii="宋体" w:hAnsi="宋体" w:eastAsia="宋体" w:cs="宋体"/>
                <w:color w:val="auto"/>
                <w:sz w:val="24"/>
                <w:szCs w:val="24"/>
                <w:shd w:val="clear" w:color="auto" w:fill="FFFFFF"/>
              </w:rPr>
              <w:t>5、主板集成模块：集成资源扩展模块、计算处理模块、音频扩展模块等，主板的互联拓扑可通过处理器或交换电路实现。</w:t>
            </w:r>
          </w:p>
          <w:p w14:paraId="0A458FB3">
            <w:pPr>
              <w:pStyle w:val="11"/>
              <w:spacing w:line="360" w:lineRule="auto"/>
              <w:jc w:val="both"/>
              <w:rPr>
                <w:rFonts w:hint="eastAsia" w:ascii="宋体" w:hAnsi="宋体" w:eastAsia="宋体" w:cs="宋体"/>
                <w:color w:val="auto"/>
                <w:sz w:val="24"/>
                <w:szCs w:val="24"/>
                <w:shd w:val="clear" w:color="auto" w:fill="FFFFFF"/>
              </w:rPr>
            </w:pPr>
            <w:r>
              <w:rPr>
                <w:rFonts w:hint="eastAsia" w:ascii="宋体" w:hAnsi="宋体" w:eastAsia="宋体" w:cs="宋体"/>
                <w:color w:val="auto"/>
                <w:sz w:val="24"/>
                <w:szCs w:val="24"/>
                <w:shd w:val="clear" w:color="auto" w:fill="FFFFFF"/>
              </w:rPr>
              <w:t>6、主板支持的 CPU和内存情况：支持适配处理器以及内存，具有2条内存插槽。</w:t>
            </w:r>
          </w:p>
          <w:p w14:paraId="76B2A800">
            <w:pPr>
              <w:pStyle w:val="11"/>
              <w:spacing w:line="360" w:lineRule="auto"/>
              <w:jc w:val="both"/>
              <w:rPr>
                <w:rFonts w:hint="eastAsia" w:ascii="宋体" w:hAnsi="宋体" w:eastAsia="宋体" w:cs="宋体"/>
                <w:color w:val="auto"/>
                <w:sz w:val="24"/>
                <w:szCs w:val="24"/>
                <w:shd w:val="clear" w:color="auto" w:fill="FFFFFF"/>
              </w:rPr>
            </w:pPr>
            <w:r>
              <w:rPr>
                <w:rFonts w:hint="eastAsia" w:ascii="宋体" w:hAnsi="宋体" w:eastAsia="宋体" w:cs="宋体"/>
                <w:color w:val="auto"/>
                <w:sz w:val="24"/>
                <w:szCs w:val="24"/>
                <w:shd w:val="clear" w:color="auto" w:fill="FFFFFF"/>
              </w:rPr>
              <w:t>7、主板其他内置接口：至少1个PCIE 5.0x16 、1个PCIE x1、3个M.2 接口。</w:t>
            </w:r>
          </w:p>
          <w:p w14:paraId="10B75A79">
            <w:pPr>
              <w:pStyle w:val="11"/>
              <w:spacing w:line="360" w:lineRule="auto"/>
              <w:jc w:val="both"/>
              <w:rPr>
                <w:rFonts w:hint="eastAsia" w:ascii="宋体" w:hAnsi="宋体" w:eastAsia="宋体" w:cs="宋体"/>
                <w:color w:val="auto"/>
                <w:sz w:val="24"/>
                <w:szCs w:val="24"/>
                <w:shd w:val="clear" w:color="auto" w:fill="FFFFFF"/>
              </w:rPr>
            </w:pPr>
            <w:r>
              <w:rPr>
                <w:rFonts w:hint="eastAsia" w:ascii="宋体" w:hAnsi="宋体" w:eastAsia="宋体" w:cs="宋体"/>
                <w:color w:val="auto"/>
                <w:sz w:val="24"/>
                <w:szCs w:val="24"/>
                <w:shd w:val="clear" w:color="auto" w:fill="FFFFFF"/>
              </w:rPr>
              <w:t>8、单内存插槽最大可支持容量（板载内存不涉及）：≥32GB。</w:t>
            </w:r>
          </w:p>
          <w:p w14:paraId="6D82A3AE">
            <w:pPr>
              <w:pStyle w:val="11"/>
              <w:spacing w:line="360" w:lineRule="auto"/>
              <w:jc w:val="both"/>
              <w:rPr>
                <w:rFonts w:hint="eastAsia" w:ascii="宋体" w:hAnsi="宋体" w:eastAsia="宋体" w:cs="宋体"/>
                <w:color w:val="auto"/>
                <w:sz w:val="24"/>
                <w:szCs w:val="24"/>
                <w:shd w:val="clear" w:color="auto" w:fill="FFFFFF"/>
              </w:rPr>
            </w:pPr>
            <w:r>
              <w:rPr>
                <w:rFonts w:hint="eastAsia" w:ascii="宋体" w:hAnsi="宋体" w:eastAsia="宋体" w:cs="宋体"/>
                <w:color w:val="auto"/>
                <w:sz w:val="24"/>
                <w:szCs w:val="24"/>
                <w:shd w:val="clear" w:color="auto" w:fill="FFFFFF"/>
              </w:rPr>
              <w:t>9、内存插槽满配时提供的最高内存总容量：≥64GB。</w:t>
            </w:r>
          </w:p>
          <w:p w14:paraId="09FC7B28">
            <w:pPr>
              <w:pStyle w:val="11"/>
              <w:spacing w:line="360" w:lineRule="auto"/>
              <w:jc w:val="both"/>
              <w:rPr>
                <w:rFonts w:hint="eastAsia" w:ascii="宋体" w:hAnsi="宋体" w:eastAsia="宋体" w:cs="宋体"/>
                <w:color w:val="auto"/>
                <w:sz w:val="24"/>
                <w:szCs w:val="24"/>
                <w:shd w:val="clear" w:color="auto" w:fill="FFFFFF"/>
              </w:rPr>
            </w:pPr>
            <w:r>
              <w:rPr>
                <w:rFonts w:hint="eastAsia" w:ascii="宋体" w:hAnsi="宋体" w:eastAsia="宋体" w:cs="宋体"/>
                <w:color w:val="auto"/>
                <w:sz w:val="24"/>
                <w:szCs w:val="24"/>
                <w:shd w:val="clear" w:color="auto" w:fill="FFFFFF"/>
              </w:rPr>
              <w:t>10、固态盘数量：≥1 个。</w:t>
            </w:r>
          </w:p>
          <w:p w14:paraId="471CD758">
            <w:pPr>
              <w:pStyle w:val="11"/>
              <w:spacing w:line="360" w:lineRule="auto"/>
              <w:jc w:val="both"/>
              <w:rPr>
                <w:rFonts w:hint="eastAsia" w:ascii="宋体" w:hAnsi="宋体" w:eastAsia="宋体" w:cs="宋体"/>
                <w:color w:val="auto"/>
                <w:sz w:val="24"/>
                <w:szCs w:val="24"/>
                <w:shd w:val="clear" w:color="auto" w:fill="FFFFFF"/>
              </w:rPr>
            </w:pPr>
            <w:r>
              <w:rPr>
                <w:rFonts w:hint="eastAsia" w:ascii="宋体" w:hAnsi="宋体" w:eastAsia="宋体" w:cs="宋体"/>
                <w:color w:val="auto"/>
                <w:sz w:val="24"/>
                <w:szCs w:val="24"/>
                <w:shd w:val="clear" w:color="auto" w:fill="FFFFFF"/>
              </w:rPr>
              <w:t>11、固态存储容量：≥512G。</w:t>
            </w:r>
          </w:p>
          <w:p w14:paraId="17787F43">
            <w:pPr>
              <w:pStyle w:val="11"/>
              <w:spacing w:line="360" w:lineRule="auto"/>
              <w:jc w:val="both"/>
              <w:rPr>
                <w:rFonts w:hint="eastAsia" w:ascii="宋体" w:hAnsi="宋体" w:eastAsia="宋体" w:cs="宋体"/>
                <w:color w:val="auto"/>
                <w:sz w:val="24"/>
                <w:szCs w:val="24"/>
                <w:shd w:val="clear" w:color="auto" w:fill="FFFFFF"/>
              </w:rPr>
            </w:pPr>
            <w:r>
              <w:rPr>
                <w:rFonts w:hint="eastAsia" w:ascii="宋体" w:hAnsi="宋体" w:eastAsia="宋体" w:cs="宋体"/>
                <w:color w:val="auto"/>
                <w:sz w:val="24"/>
                <w:szCs w:val="24"/>
                <w:shd w:val="clear" w:color="auto" w:fill="FFFFFF"/>
              </w:rPr>
              <w:t>12、固态存储形态： M.2 NVME SSD。</w:t>
            </w:r>
          </w:p>
          <w:p w14:paraId="2573A946">
            <w:pPr>
              <w:pStyle w:val="11"/>
              <w:spacing w:line="360" w:lineRule="auto"/>
              <w:jc w:val="both"/>
              <w:rPr>
                <w:rFonts w:hint="eastAsia" w:ascii="宋体" w:hAnsi="宋体" w:eastAsia="宋体" w:cs="宋体"/>
                <w:color w:val="auto"/>
                <w:sz w:val="24"/>
                <w:szCs w:val="24"/>
                <w:shd w:val="clear" w:color="auto" w:fill="FFFFFF"/>
              </w:rPr>
            </w:pPr>
            <w:r>
              <w:rPr>
                <w:rFonts w:hint="eastAsia" w:ascii="宋体" w:hAnsi="宋体" w:eastAsia="宋体" w:cs="宋体"/>
                <w:color w:val="auto"/>
                <w:sz w:val="24"/>
                <w:szCs w:val="24"/>
                <w:shd w:val="clear" w:color="auto" w:fill="FFFFFF"/>
              </w:rPr>
              <w:t>15、机械存储形态：无。</w:t>
            </w:r>
          </w:p>
          <w:p w14:paraId="6ACE1B86">
            <w:pPr>
              <w:pStyle w:val="11"/>
              <w:spacing w:line="360" w:lineRule="auto"/>
              <w:jc w:val="both"/>
              <w:rPr>
                <w:rFonts w:hint="eastAsia" w:ascii="宋体" w:hAnsi="宋体" w:eastAsia="宋体" w:cs="宋体"/>
                <w:color w:val="auto"/>
                <w:sz w:val="24"/>
                <w:szCs w:val="24"/>
                <w:shd w:val="clear" w:color="auto" w:fill="FFFFFF"/>
              </w:rPr>
            </w:pPr>
            <w:r>
              <w:rPr>
                <w:rFonts w:hint="eastAsia" w:ascii="宋体" w:hAnsi="宋体" w:eastAsia="宋体" w:cs="宋体"/>
                <w:color w:val="auto"/>
                <w:sz w:val="24"/>
                <w:szCs w:val="24"/>
                <w:shd w:val="clear" w:color="auto" w:fill="FFFFFF"/>
              </w:rPr>
              <w:t>16、存储设备其他参数要求：采用插卡或板载等形式，可选用M.2或mSATA等标准的插卡形式。</w:t>
            </w:r>
          </w:p>
          <w:p w14:paraId="2DCF3642">
            <w:pPr>
              <w:pStyle w:val="11"/>
              <w:spacing w:line="360" w:lineRule="auto"/>
              <w:jc w:val="both"/>
              <w:rPr>
                <w:rFonts w:hint="eastAsia" w:ascii="宋体" w:hAnsi="宋体" w:eastAsia="宋体" w:cs="宋体"/>
                <w:color w:val="auto"/>
                <w:sz w:val="24"/>
                <w:szCs w:val="24"/>
                <w:shd w:val="clear" w:color="auto" w:fill="FFFFFF"/>
              </w:rPr>
            </w:pPr>
            <w:r>
              <w:rPr>
                <w:rFonts w:hint="eastAsia" w:ascii="宋体" w:hAnsi="宋体" w:eastAsia="宋体" w:cs="宋体"/>
                <w:color w:val="auto"/>
                <w:sz w:val="24"/>
                <w:szCs w:val="24"/>
                <w:shd w:val="clear" w:color="auto" w:fill="FFFFFF"/>
              </w:rPr>
              <w:t>17、显卡类型：≥集成显卡。</w:t>
            </w:r>
          </w:p>
          <w:p w14:paraId="1143013B">
            <w:pPr>
              <w:pStyle w:val="11"/>
              <w:spacing w:line="360" w:lineRule="auto"/>
              <w:jc w:val="both"/>
              <w:rPr>
                <w:rFonts w:hint="eastAsia" w:ascii="宋体" w:hAnsi="宋体" w:eastAsia="宋体" w:cs="宋体"/>
                <w:color w:val="auto"/>
                <w:sz w:val="24"/>
                <w:szCs w:val="24"/>
                <w:shd w:val="clear" w:color="auto" w:fill="FFFFFF"/>
              </w:rPr>
            </w:pPr>
            <w:r>
              <w:rPr>
                <w:rFonts w:hint="eastAsia" w:ascii="宋体" w:hAnsi="宋体" w:eastAsia="宋体" w:cs="宋体"/>
                <w:color w:val="auto"/>
                <w:sz w:val="24"/>
                <w:szCs w:val="24"/>
                <w:shd w:val="clear" w:color="auto" w:fill="FFFFFF"/>
              </w:rPr>
              <w:t>18、显示屏屏占比：≥80% 。</w:t>
            </w:r>
          </w:p>
          <w:p w14:paraId="46DC8A91">
            <w:pPr>
              <w:pStyle w:val="11"/>
              <w:spacing w:line="360" w:lineRule="auto"/>
              <w:jc w:val="both"/>
              <w:rPr>
                <w:rFonts w:hint="eastAsia" w:ascii="宋体" w:hAnsi="宋体" w:eastAsia="宋体" w:cs="宋体"/>
                <w:color w:val="auto"/>
                <w:sz w:val="24"/>
                <w:szCs w:val="24"/>
                <w:shd w:val="clear" w:color="auto" w:fill="FFFFFF"/>
              </w:rPr>
            </w:pPr>
            <w:r>
              <w:rPr>
                <w:rFonts w:hint="eastAsia" w:ascii="宋体" w:hAnsi="宋体" w:eastAsia="宋体" w:cs="宋体"/>
                <w:color w:val="auto"/>
                <w:sz w:val="24"/>
                <w:szCs w:val="24"/>
                <w:shd w:val="clear" w:color="auto" w:fill="FFFFFF"/>
              </w:rPr>
              <w:t>19、显示屏分辨率：≥1920x1080。</w:t>
            </w:r>
          </w:p>
          <w:p w14:paraId="639D0B17">
            <w:pPr>
              <w:pStyle w:val="11"/>
              <w:spacing w:line="360" w:lineRule="auto"/>
              <w:jc w:val="both"/>
              <w:rPr>
                <w:rFonts w:hint="eastAsia" w:ascii="宋体" w:hAnsi="宋体" w:eastAsia="宋体" w:cs="宋体"/>
                <w:color w:val="auto"/>
                <w:sz w:val="24"/>
                <w:szCs w:val="24"/>
                <w:shd w:val="clear" w:color="auto" w:fill="FFFFFF"/>
              </w:rPr>
            </w:pPr>
            <w:r>
              <w:rPr>
                <w:rFonts w:hint="eastAsia" w:ascii="宋体" w:hAnsi="宋体" w:eastAsia="宋体" w:cs="宋体"/>
                <w:color w:val="auto"/>
                <w:sz w:val="24"/>
                <w:szCs w:val="24"/>
                <w:shd w:val="clear" w:color="auto" w:fill="FFFFFF"/>
              </w:rPr>
              <w:t>20、显示屏尺寸：≥23.8英寸。</w:t>
            </w:r>
          </w:p>
          <w:p w14:paraId="58D213E2">
            <w:pPr>
              <w:pStyle w:val="11"/>
              <w:spacing w:line="360" w:lineRule="auto"/>
              <w:jc w:val="both"/>
              <w:rPr>
                <w:rFonts w:hint="eastAsia" w:ascii="宋体" w:hAnsi="宋体" w:eastAsia="宋体" w:cs="宋体"/>
                <w:color w:val="auto"/>
                <w:sz w:val="24"/>
                <w:szCs w:val="24"/>
                <w:shd w:val="clear" w:color="auto" w:fill="FFFFFF"/>
              </w:rPr>
            </w:pPr>
            <w:r>
              <w:rPr>
                <w:rFonts w:hint="eastAsia" w:ascii="宋体" w:hAnsi="宋体" w:eastAsia="宋体" w:cs="宋体"/>
                <w:color w:val="auto"/>
                <w:sz w:val="24"/>
                <w:szCs w:val="24"/>
                <w:shd w:val="clear" w:color="auto" w:fill="FFFFFF"/>
              </w:rPr>
              <w:t>21、显示器外观颜色：黑色。</w:t>
            </w:r>
          </w:p>
          <w:p w14:paraId="1846B0C8">
            <w:pPr>
              <w:pStyle w:val="11"/>
              <w:spacing w:line="360" w:lineRule="auto"/>
              <w:jc w:val="both"/>
              <w:rPr>
                <w:rFonts w:hint="eastAsia" w:ascii="宋体" w:hAnsi="宋体" w:eastAsia="宋体" w:cs="宋体"/>
                <w:color w:val="auto"/>
                <w:sz w:val="24"/>
                <w:szCs w:val="24"/>
                <w:shd w:val="clear" w:color="auto" w:fill="FFFFFF"/>
              </w:rPr>
            </w:pPr>
            <w:r>
              <w:rPr>
                <w:rFonts w:hint="eastAsia" w:ascii="宋体" w:hAnsi="宋体" w:eastAsia="宋体" w:cs="宋体"/>
                <w:color w:val="auto"/>
                <w:sz w:val="24"/>
                <w:szCs w:val="24"/>
                <w:shd w:val="clear" w:color="auto" w:fill="FFFFFF"/>
              </w:rPr>
              <w:t>22、显示屏防蓝光：支持防蓝光模式。</w:t>
            </w:r>
          </w:p>
          <w:p w14:paraId="6B32D656">
            <w:pPr>
              <w:pStyle w:val="11"/>
              <w:spacing w:line="360" w:lineRule="auto"/>
              <w:jc w:val="both"/>
              <w:rPr>
                <w:rFonts w:hint="eastAsia" w:ascii="宋体" w:hAnsi="宋体" w:eastAsia="宋体" w:cs="宋体"/>
                <w:color w:val="auto"/>
                <w:sz w:val="24"/>
                <w:szCs w:val="24"/>
                <w:shd w:val="clear" w:color="auto" w:fill="FFFFFF"/>
              </w:rPr>
            </w:pPr>
            <w:r>
              <w:rPr>
                <w:rFonts w:hint="eastAsia" w:ascii="宋体" w:hAnsi="宋体" w:eastAsia="宋体" w:cs="宋体"/>
                <w:color w:val="auto"/>
                <w:sz w:val="24"/>
                <w:szCs w:val="24"/>
                <w:shd w:val="clear" w:color="auto" w:fill="FFFFFF"/>
              </w:rPr>
              <w:t>23、鼠标：数量：1个；</w:t>
            </w:r>
            <w:r>
              <w:rPr>
                <w:rFonts w:hint="eastAsia" w:ascii="宋体" w:hAnsi="宋体" w:eastAsia="宋体" w:cs="宋体"/>
                <w:color w:val="auto"/>
                <w:sz w:val="24"/>
                <w:szCs w:val="24"/>
                <w:lang w:bidi="ar"/>
              </w:rPr>
              <w:t>型号：USB有线标准三键光电鼠标；分辨率：≥1000 DPI 。</w:t>
            </w:r>
          </w:p>
          <w:p w14:paraId="1ED2B61B">
            <w:pPr>
              <w:pStyle w:val="11"/>
              <w:spacing w:line="360" w:lineRule="auto"/>
              <w:jc w:val="both"/>
              <w:rPr>
                <w:rFonts w:hint="eastAsia" w:ascii="宋体" w:hAnsi="宋体" w:eastAsia="宋体" w:cs="宋体"/>
                <w:color w:val="auto"/>
                <w:sz w:val="24"/>
                <w:szCs w:val="24"/>
                <w:shd w:val="clear" w:color="auto" w:fill="FFFFFF"/>
              </w:rPr>
            </w:pPr>
            <w:r>
              <w:rPr>
                <w:rFonts w:hint="eastAsia" w:ascii="宋体" w:hAnsi="宋体" w:eastAsia="宋体" w:cs="宋体"/>
                <w:color w:val="auto"/>
                <w:sz w:val="24"/>
                <w:szCs w:val="24"/>
                <w:shd w:val="clear" w:color="auto" w:fill="FFFFFF"/>
              </w:rPr>
              <w:t>24、键盘：数量：1个；</w:t>
            </w:r>
            <w:r>
              <w:rPr>
                <w:rFonts w:hint="eastAsia" w:ascii="宋体" w:hAnsi="宋体" w:eastAsia="宋体" w:cs="宋体"/>
                <w:color w:val="auto"/>
                <w:sz w:val="24"/>
                <w:szCs w:val="24"/>
                <w:lang w:bidi="ar"/>
              </w:rPr>
              <w:t>型号：USB有线全尺寸键盘，带独立数字键区；具备防水防泼溅功能。</w:t>
            </w:r>
          </w:p>
          <w:p w14:paraId="61C47356">
            <w:pPr>
              <w:pStyle w:val="11"/>
              <w:spacing w:line="360" w:lineRule="auto"/>
              <w:jc w:val="both"/>
              <w:rPr>
                <w:rFonts w:hint="eastAsia" w:ascii="宋体" w:hAnsi="宋体" w:eastAsia="宋体" w:cs="宋体"/>
                <w:color w:val="auto"/>
                <w:sz w:val="24"/>
                <w:szCs w:val="24"/>
                <w:shd w:val="clear" w:color="auto" w:fill="FFFFFF"/>
              </w:rPr>
            </w:pPr>
            <w:r>
              <w:rPr>
                <w:rFonts w:hint="eastAsia" w:ascii="宋体" w:hAnsi="宋体" w:eastAsia="宋体" w:cs="宋体"/>
                <w:color w:val="auto"/>
                <w:sz w:val="24"/>
                <w:szCs w:val="24"/>
                <w:shd w:val="clear" w:color="auto" w:fill="FFFFFF"/>
              </w:rPr>
              <w:t>25、有线网卡数量：≥1。</w:t>
            </w:r>
          </w:p>
          <w:p w14:paraId="0825B2D5">
            <w:pPr>
              <w:pStyle w:val="11"/>
              <w:spacing w:line="360" w:lineRule="auto"/>
              <w:jc w:val="both"/>
              <w:rPr>
                <w:rFonts w:hint="eastAsia" w:ascii="宋体" w:hAnsi="宋体" w:eastAsia="宋体" w:cs="宋体"/>
                <w:color w:val="auto"/>
                <w:sz w:val="24"/>
                <w:szCs w:val="24"/>
                <w:shd w:val="clear" w:color="auto" w:fill="FFFFFF"/>
              </w:rPr>
            </w:pPr>
            <w:r>
              <w:rPr>
                <w:rFonts w:hint="eastAsia" w:ascii="宋体" w:hAnsi="宋体" w:eastAsia="宋体" w:cs="宋体"/>
                <w:color w:val="auto"/>
                <w:sz w:val="24"/>
                <w:szCs w:val="24"/>
                <w:shd w:val="clear" w:color="auto" w:fill="FFFFFF"/>
              </w:rPr>
              <w:t>26、USB 接口数量：≥11个USB接口（其中9个USB 3.2，后置一个Type-C接口）。</w:t>
            </w:r>
          </w:p>
          <w:p w14:paraId="08278FA9">
            <w:pPr>
              <w:pStyle w:val="11"/>
              <w:spacing w:line="360" w:lineRule="auto"/>
              <w:jc w:val="both"/>
              <w:rPr>
                <w:rFonts w:hint="eastAsia" w:ascii="宋体" w:hAnsi="宋体" w:eastAsia="宋体" w:cs="宋体"/>
                <w:color w:val="auto"/>
                <w:sz w:val="24"/>
                <w:szCs w:val="24"/>
                <w:shd w:val="clear" w:color="auto" w:fill="FFFFFF"/>
              </w:rPr>
            </w:pPr>
            <w:r>
              <w:rPr>
                <w:rFonts w:hint="eastAsia" w:ascii="宋体" w:hAnsi="宋体" w:eastAsia="宋体" w:cs="宋体"/>
                <w:color w:val="auto"/>
                <w:sz w:val="24"/>
                <w:szCs w:val="24"/>
                <w:shd w:val="clear" w:color="auto" w:fill="FFFFFF"/>
              </w:rPr>
              <w:t>28、视频接口数量：≥1个HDMI接口，1个DP接口。</w:t>
            </w:r>
          </w:p>
          <w:p w14:paraId="09DA4928">
            <w:pPr>
              <w:pStyle w:val="11"/>
              <w:spacing w:line="360" w:lineRule="auto"/>
              <w:jc w:val="both"/>
              <w:rPr>
                <w:rFonts w:hint="eastAsia" w:ascii="宋体" w:hAnsi="宋体" w:eastAsia="宋体" w:cs="宋体"/>
                <w:color w:val="auto"/>
                <w:sz w:val="24"/>
                <w:szCs w:val="24"/>
                <w:shd w:val="clear" w:color="auto" w:fill="FFFFFF"/>
              </w:rPr>
            </w:pPr>
            <w:r>
              <w:rPr>
                <w:rFonts w:hint="eastAsia" w:ascii="宋体" w:hAnsi="宋体" w:eastAsia="宋体" w:cs="宋体"/>
                <w:color w:val="auto"/>
                <w:sz w:val="24"/>
                <w:szCs w:val="24"/>
                <w:shd w:val="clear" w:color="auto" w:fill="FFFFFF"/>
              </w:rPr>
              <w:t xml:space="preserve">29、音频接口数量：≥3（前面板至少2个音频接口）。 </w:t>
            </w:r>
            <w:r>
              <w:rPr>
                <w:rFonts w:hint="eastAsia" w:ascii="宋体" w:hAnsi="宋体" w:eastAsia="宋体" w:cs="宋体"/>
                <w:color w:val="auto"/>
                <w:sz w:val="24"/>
                <w:szCs w:val="24"/>
                <w:shd w:val="clear" w:color="auto" w:fill="FFFFFF"/>
              </w:rPr>
              <w:cr/>
            </w:r>
            <w:r>
              <w:rPr>
                <w:rFonts w:hint="eastAsia" w:ascii="宋体" w:hAnsi="宋体" w:eastAsia="宋体" w:cs="宋体"/>
                <w:color w:val="auto"/>
                <w:sz w:val="24"/>
                <w:szCs w:val="24"/>
                <w:shd w:val="clear" w:color="auto" w:fill="FFFFFF"/>
              </w:rPr>
              <w:t>30、整机结构：</w:t>
            </w:r>
          </w:p>
          <w:p w14:paraId="1BC46ED7">
            <w:pPr>
              <w:pStyle w:val="11"/>
              <w:spacing w:line="360" w:lineRule="auto"/>
              <w:jc w:val="both"/>
              <w:rPr>
                <w:rFonts w:hint="eastAsia" w:ascii="宋体" w:hAnsi="宋体" w:eastAsia="宋体" w:cs="宋体"/>
                <w:color w:val="auto"/>
                <w:sz w:val="24"/>
                <w:szCs w:val="24"/>
                <w:shd w:val="clear" w:color="auto" w:fill="FFFFFF"/>
              </w:rPr>
            </w:pPr>
            <w:r>
              <w:rPr>
                <w:rFonts w:hint="eastAsia" w:ascii="宋体" w:hAnsi="宋体" w:eastAsia="宋体" w:cs="宋体"/>
                <w:color w:val="auto"/>
                <w:sz w:val="24"/>
                <w:szCs w:val="24"/>
                <w:shd w:val="clear" w:color="auto" w:fill="FFFFFF"/>
              </w:rPr>
              <w:t>a) 机箱应符合 GB/T 4208、 GB/T 26246的相关规定；</w:t>
            </w:r>
          </w:p>
          <w:p w14:paraId="672336D4">
            <w:pPr>
              <w:pStyle w:val="11"/>
              <w:spacing w:line="360" w:lineRule="auto"/>
              <w:jc w:val="both"/>
              <w:rPr>
                <w:rFonts w:hint="eastAsia" w:ascii="宋体" w:hAnsi="宋体" w:eastAsia="宋体" w:cs="宋体"/>
                <w:color w:val="auto"/>
                <w:sz w:val="24"/>
                <w:szCs w:val="24"/>
                <w:shd w:val="clear" w:color="auto" w:fill="FFFFFF"/>
              </w:rPr>
            </w:pPr>
            <w:r>
              <w:rPr>
                <w:rFonts w:hint="eastAsia" w:ascii="宋体" w:hAnsi="宋体" w:eastAsia="宋体" w:cs="宋体"/>
                <w:color w:val="auto"/>
                <w:sz w:val="24"/>
                <w:szCs w:val="24"/>
                <w:shd w:val="clear" w:color="auto" w:fill="FFFFFF"/>
              </w:rPr>
              <w:t>b) 产品内部结构应符合通用部件的安装需求；</w:t>
            </w:r>
          </w:p>
          <w:p w14:paraId="73CFC694">
            <w:pPr>
              <w:pStyle w:val="11"/>
              <w:spacing w:line="360" w:lineRule="auto"/>
              <w:jc w:val="both"/>
              <w:rPr>
                <w:rFonts w:hint="eastAsia" w:ascii="宋体" w:hAnsi="宋体" w:eastAsia="宋体" w:cs="宋体"/>
                <w:color w:val="auto"/>
                <w:sz w:val="24"/>
                <w:szCs w:val="24"/>
                <w:shd w:val="clear" w:color="auto" w:fill="FFFFFF"/>
              </w:rPr>
            </w:pPr>
            <w:r>
              <w:rPr>
                <w:rFonts w:hint="eastAsia" w:ascii="宋体" w:hAnsi="宋体" w:eastAsia="宋体" w:cs="宋体"/>
                <w:color w:val="auto"/>
                <w:sz w:val="24"/>
                <w:szCs w:val="24"/>
                <w:shd w:val="clear" w:color="auto" w:fill="FFFFFF"/>
              </w:rPr>
              <w:t>c) 所有输入输出接口应符合相关国家或行业标准；</w:t>
            </w:r>
          </w:p>
          <w:p w14:paraId="439E17B3">
            <w:pPr>
              <w:pStyle w:val="11"/>
              <w:spacing w:line="360" w:lineRule="auto"/>
              <w:jc w:val="both"/>
              <w:rPr>
                <w:rFonts w:hint="eastAsia" w:ascii="宋体" w:hAnsi="宋体" w:eastAsia="宋体" w:cs="宋体"/>
                <w:color w:val="auto"/>
                <w:sz w:val="24"/>
                <w:szCs w:val="24"/>
                <w:shd w:val="clear" w:color="auto" w:fill="FFFFFF"/>
              </w:rPr>
            </w:pPr>
            <w:r>
              <w:rPr>
                <w:rFonts w:hint="eastAsia" w:ascii="宋体" w:hAnsi="宋体" w:eastAsia="宋体" w:cs="宋体"/>
                <w:color w:val="auto"/>
                <w:sz w:val="24"/>
                <w:szCs w:val="24"/>
                <w:shd w:val="clear" w:color="auto" w:fill="FFFFFF"/>
              </w:rPr>
              <w:t>d) 产品零部件应紧固无松动，可插拔部件应可靠连接， 开关、 按钮和其它控制部件应灵活可靠，布局应方便使用；</w:t>
            </w:r>
          </w:p>
          <w:p w14:paraId="4C2FB498">
            <w:pPr>
              <w:pStyle w:val="11"/>
              <w:spacing w:line="360" w:lineRule="auto"/>
              <w:jc w:val="both"/>
              <w:rPr>
                <w:rFonts w:hint="eastAsia" w:ascii="宋体" w:hAnsi="宋体" w:eastAsia="宋体" w:cs="宋体"/>
                <w:color w:val="auto"/>
                <w:sz w:val="24"/>
                <w:szCs w:val="24"/>
                <w:shd w:val="clear" w:color="auto" w:fill="FFFFFF"/>
              </w:rPr>
            </w:pPr>
            <w:r>
              <w:rPr>
                <w:rFonts w:hint="eastAsia" w:ascii="宋体" w:hAnsi="宋体" w:eastAsia="宋体" w:cs="宋体"/>
                <w:color w:val="auto"/>
                <w:sz w:val="24"/>
                <w:szCs w:val="24"/>
                <w:shd w:val="clear" w:color="auto" w:fill="FFFFFF"/>
              </w:rPr>
              <w:t>e) 所有 I/O 连接器及需插接线缆的部位应预留采购人操作空间，方便插拔解锁与插拔线缆；</w:t>
            </w:r>
          </w:p>
          <w:p w14:paraId="3F88787D">
            <w:pPr>
              <w:pStyle w:val="11"/>
              <w:spacing w:line="360" w:lineRule="auto"/>
              <w:jc w:val="both"/>
              <w:rPr>
                <w:rFonts w:hint="eastAsia" w:ascii="宋体" w:hAnsi="宋体" w:eastAsia="宋体" w:cs="宋体"/>
                <w:color w:val="auto"/>
                <w:sz w:val="24"/>
                <w:szCs w:val="24"/>
                <w:shd w:val="clear" w:color="auto" w:fill="FFFFFF"/>
              </w:rPr>
            </w:pPr>
            <w:r>
              <w:rPr>
                <w:rFonts w:hint="eastAsia" w:ascii="宋体" w:hAnsi="宋体" w:eastAsia="宋体" w:cs="宋体"/>
                <w:color w:val="auto"/>
                <w:sz w:val="24"/>
                <w:szCs w:val="24"/>
                <w:shd w:val="clear" w:color="auto" w:fill="FFFFFF"/>
              </w:rPr>
              <w:t>f) 可插拔板卡插槽部位应预留安装、拆卸或更换板卡空间；</w:t>
            </w:r>
          </w:p>
          <w:p w14:paraId="73E7A66B">
            <w:pPr>
              <w:pStyle w:val="11"/>
              <w:spacing w:line="360" w:lineRule="auto"/>
              <w:jc w:val="both"/>
              <w:rPr>
                <w:rFonts w:hint="eastAsia" w:ascii="宋体" w:hAnsi="宋体" w:eastAsia="宋体" w:cs="宋体"/>
                <w:color w:val="auto"/>
                <w:sz w:val="24"/>
                <w:szCs w:val="24"/>
                <w:shd w:val="clear" w:color="auto" w:fill="FFFFFF"/>
              </w:rPr>
            </w:pPr>
            <w:r>
              <w:rPr>
                <w:rFonts w:hint="eastAsia" w:ascii="宋体" w:hAnsi="宋体" w:eastAsia="宋体" w:cs="宋体"/>
                <w:color w:val="auto"/>
                <w:sz w:val="24"/>
                <w:szCs w:val="24"/>
                <w:shd w:val="clear" w:color="auto" w:fill="FFFFFF"/>
              </w:rPr>
              <w:t>g) 拆装可能接触到的金属剪口或金属尖角部位应做防划伤处理，以保证安全；</w:t>
            </w:r>
          </w:p>
          <w:p w14:paraId="5EBE3768">
            <w:pPr>
              <w:pStyle w:val="11"/>
              <w:spacing w:line="360" w:lineRule="auto"/>
              <w:jc w:val="both"/>
              <w:rPr>
                <w:rFonts w:hint="eastAsia" w:ascii="宋体" w:hAnsi="宋体" w:eastAsia="宋体" w:cs="宋体"/>
                <w:color w:val="auto"/>
                <w:sz w:val="24"/>
                <w:szCs w:val="24"/>
                <w:shd w:val="clear" w:color="auto" w:fill="FFFFFF"/>
              </w:rPr>
            </w:pPr>
            <w:r>
              <w:rPr>
                <w:rFonts w:hint="eastAsia" w:ascii="宋体" w:hAnsi="宋体" w:eastAsia="宋体" w:cs="宋体"/>
                <w:color w:val="auto"/>
                <w:sz w:val="24"/>
                <w:szCs w:val="24"/>
                <w:shd w:val="clear" w:color="auto" w:fill="FFFFFF"/>
              </w:rPr>
              <w:t>h) 整机内部走线应规整，固线结构和位置要合理可靠并做防割线处理，需便于理线和插拔操作，走线应不影响系统各主要部件组装和拆卸；</w:t>
            </w:r>
          </w:p>
          <w:p w14:paraId="48F8AC55">
            <w:pPr>
              <w:pStyle w:val="11"/>
              <w:spacing w:line="360" w:lineRule="auto"/>
              <w:jc w:val="both"/>
              <w:rPr>
                <w:rFonts w:hint="eastAsia" w:ascii="宋体" w:hAnsi="宋体" w:eastAsia="宋体" w:cs="宋体"/>
                <w:color w:val="auto"/>
                <w:sz w:val="24"/>
                <w:szCs w:val="24"/>
                <w:shd w:val="clear" w:color="auto" w:fill="FFFFFF"/>
              </w:rPr>
            </w:pPr>
            <w:r>
              <w:rPr>
                <w:rFonts w:hint="eastAsia" w:ascii="宋体" w:hAnsi="宋体" w:eastAsia="宋体" w:cs="宋体"/>
                <w:color w:val="auto"/>
                <w:sz w:val="24"/>
                <w:szCs w:val="24"/>
                <w:shd w:val="clear" w:color="auto" w:fill="FFFFFF"/>
              </w:rPr>
              <w:t>i) 如需通过孔走线，过线孔应做防割线处理；</w:t>
            </w:r>
          </w:p>
          <w:p w14:paraId="1CD0CA16">
            <w:pPr>
              <w:pStyle w:val="11"/>
              <w:spacing w:line="360" w:lineRule="auto"/>
              <w:jc w:val="both"/>
              <w:rPr>
                <w:rFonts w:hint="eastAsia" w:ascii="宋体" w:hAnsi="宋体" w:eastAsia="宋体" w:cs="宋体"/>
                <w:color w:val="auto"/>
                <w:sz w:val="24"/>
                <w:szCs w:val="24"/>
                <w:shd w:val="clear" w:color="auto" w:fill="FFFFFF"/>
              </w:rPr>
            </w:pPr>
            <w:r>
              <w:rPr>
                <w:rFonts w:hint="eastAsia" w:ascii="宋体" w:hAnsi="宋体" w:eastAsia="宋体" w:cs="宋体"/>
                <w:color w:val="auto"/>
                <w:sz w:val="24"/>
                <w:szCs w:val="24"/>
                <w:shd w:val="clear" w:color="auto" w:fill="FFFFFF"/>
              </w:rPr>
              <w:t>j) 各插头位置和插拔方向应合理，应做到插拔无障碍设计，具备防呆设计，有效避免误操作；</w:t>
            </w:r>
          </w:p>
          <w:p w14:paraId="1134AE84">
            <w:pPr>
              <w:pStyle w:val="11"/>
              <w:spacing w:line="360" w:lineRule="auto"/>
              <w:jc w:val="both"/>
              <w:rPr>
                <w:rFonts w:hint="eastAsia" w:ascii="宋体" w:hAnsi="宋体" w:eastAsia="宋体" w:cs="宋体"/>
                <w:color w:val="auto"/>
                <w:sz w:val="24"/>
                <w:szCs w:val="24"/>
                <w:shd w:val="clear" w:color="auto" w:fill="FFFFFF"/>
              </w:rPr>
            </w:pPr>
            <w:r>
              <w:rPr>
                <w:rFonts w:hint="eastAsia" w:ascii="宋体" w:hAnsi="宋体" w:eastAsia="宋体" w:cs="宋体"/>
                <w:color w:val="auto"/>
                <w:sz w:val="24"/>
                <w:szCs w:val="24"/>
                <w:shd w:val="clear" w:color="auto" w:fill="FFFFFF"/>
              </w:rPr>
              <w:t>k) 各主要部件拆装无障碍，使用常规工具拆装，无特殊拆装工具需求；</w:t>
            </w:r>
          </w:p>
          <w:p w14:paraId="725C2B05">
            <w:pPr>
              <w:pStyle w:val="11"/>
              <w:spacing w:line="360" w:lineRule="auto"/>
              <w:jc w:val="both"/>
              <w:rPr>
                <w:rFonts w:hint="eastAsia" w:ascii="宋体" w:hAnsi="宋体" w:eastAsia="宋体" w:cs="宋体"/>
                <w:color w:val="auto"/>
                <w:sz w:val="24"/>
                <w:szCs w:val="24"/>
                <w:shd w:val="clear" w:color="auto" w:fill="FFFFFF"/>
              </w:rPr>
            </w:pPr>
            <w:r>
              <w:rPr>
                <w:rFonts w:hint="eastAsia" w:ascii="宋体" w:hAnsi="宋体" w:eastAsia="宋体" w:cs="宋体"/>
                <w:color w:val="auto"/>
                <w:sz w:val="24"/>
                <w:szCs w:val="24"/>
                <w:shd w:val="clear" w:color="auto" w:fill="FFFFFF"/>
              </w:rPr>
              <w:t>l) 各主要部件拆装步骤要少，各自拆装需避免相互干扰；</w:t>
            </w:r>
          </w:p>
          <w:p w14:paraId="4B686741">
            <w:pPr>
              <w:pStyle w:val="11"/>
              <w:spacing w:line="360" w:lineRule="auto"/>
              <w:jc w:val="both"/>
              <w:rPr>
                <w:rFonts w:hint="eastAsia" w:ascii="宋体" w:hAnsi="宋体" w:eastAsia="宋体" w:cs="宋体"/>
                <w:color w:val="auto"/>
                <w:sz w:val="24"/>
                <w:szCs w:val="24"/>
                <w:shd w:val="clear" w:color="auto" w:fill="FFFFFF"/>
              </w:rPr>
            </w:pPr>
            <w:r>
              <w:rPr>
                <w:rFonts w:hint="eastAsia" w:ascii="宋体" w:hAnsi="宋体" w:eastAsia="宋体" w:cs="宋体"/>
                <w:color w:val="auto"/>
                <w:sz w:val="24"/>
                <w:szCs w:val="24"/>
                <w:shd w:val="clear" w:color="auto" w:fill="FFFFFF"/>
              </w:rPr>
              <w:t>m) 对于整机或零部件外表面为高亮面的， 应粘贴保护膜，保护膜需粘贴牢固，运输、组装等过程不易脱落，撕下无残留；</w:t>
            </w:r>
          </w:p>
          <w:p w14:paraId="047FFE63">
            <w:pPr>
              <w:pStyle w:val="11"/>
              <w:spacing w:line="360" w:lineRule="auto"/>
              <w:jc w:val="both"/>
              <w:rPr>
                <w:rFonts w:hint="eastAsia" w:ascii="宋体" w:hAnsi="宋体" w:eastAsia="宋体" w:cs="宋体"/>
                <w:color w:val="auto"/>
                <w:sz w:val="24"/>
                <w:szCs w:val="24"/>
                <w:shd w:val="clear" w:color="auto" w:fill="FFFFFF"/>
                <w:lang w:eastAsia="zh-CN"/>
              </w:rPr>
            </w:pPr>
            <w:r>
              <w:rPr>
                <w:rFonts w:hint="eastAsia" w:ascii="宋体" w:hAnsi="宋体" w:eastAsia="宋体" w:cs="宋体"/>
                <w:color w:val="auto"/>
                <w:sz w:val="24"/>
                <w:szCs w:val="24"/>
                <w:shd w:val="clear" w:color="auto" w:fill="FFFFFF"/>
              </w:rPr>
              <w:t>31、操作系统备份及还原功能：支持同品牌硬盘同传还原功能、具有多机房跨网段统一平台管理，远程查看设备运行状态，支持同一分区镜像供多个系统使用</w:t>
            </w:r>
            <w:r>
              <w:rPr>
                <w:rFonts w:hint="eastAsia" w:ascii="宋体" w:hAnsi="宋体" w:eastAsia="宋体" w:cs="宋体"/>
                <w:color w:val="auto"/>
                <w:sz w:val="24"/>
                <w:szCs w:val="24"/>
                <w:shd w:val="clear" w:color="auto" w:fill="FFFFFF"/>
                <w:lang w:eastAsia="zh-CN"/>
              </w:rPr>
              <w:t>；</w:t>
            </w:r>
          </w:p>
          <w:p w14:paraId="42C27269">
            <w:pPr>
              <w:pStyle w:val="11"/>
              <w:spacing w:line="360" w:lineRule="auto"/>
              <w:jc w:val="both"/>
              <w:rPr>
                <w:rFonts w:hint="eastAsia" w:ascii="宋体" w:hAnsi="宋体" w:eastAsia="宋体" w:cs="宋体"/>
                <w:color w:val="auto"/>
                <w:sz w:val="24"/>
                <w:szCs w:val="24"/>
                <w:shd w:val="clear" w:color="auto" w:fill="FFFFFF"/>
              </w:rPr>
            </w:pPr>
            <w:r>
              <w:rPr>
                <w:rFonts w:hint="eastAsia" w:ascii="宋体" w:hAnsi="宋体" w:eastAsia="宋体" w:cs="宋体"/>
                <w:color w:val="auto"/>
                <w:sz w:val="24"/>
                <w:szCs w:val="24"/>
                <w:shd w:val="clear" w:color="auto" w:fill="FFFFFF"/>
              </w:rPr>
              <w:t>32、安全性：主板自带“看门狗”安全机制，能在系统死机状态下自动重启系统确保机器正常运行。可在BIOS中开关</w:t>
            </w:r>
            <w:r>
              <w:rPr>
                <w:rFonts w:hint="eastAsia" w:ascii="宋体" w:hAnsi="宋体" w:eastAsia="宋体" w:cs="宋体"/>
                <w:color w:val="auto"/>
                <w:sz w:val="24"/>
                <w:szCs w:val="24"/>
                <w:shd w:val="clear" w:color="auto" w:fill="FFFFFF"/>
                <w:lang w:eastAsia="zh-CN"/>
              </w:rPr>
              <w:t>；</w:t>
            </w:r>
            <w:r>
              <w:rPr>
                <w:rFonts w:hint="eastAsia" w:ascii="宋体" w:hAnsi="宋体" w:eastAsia="宋体" w:cs="宋体"/>
                <w:b/>
                <w:bCs/>
                <w:color w:val="auto"/>
                <w:sz w:val="24"/>
                <w:szCs w:val="24"/>
                <w:u w:val="single"/>
                <w:lang w:val="en-US" w:eastAsia="zh-CN"/>
              </w:rPr>
              <w:t>响应文件中</w:t>
            </w:r>
            <w:r>
              <w:rPr>
                <w:rFonts w:hint="eastAsia" w:ascii="宋体" w:hAnsi="宋体" w:eastAsia="宋体" w:cs="宋体"/>
                <w:b/>
                <w:bCs/>
                <w:color w:val="auto"/>
                <w:sz w:val="24"/>
                <w:szCs w:val="24"/>
                <w:u w:val="single"/>
              </w:rPr>
              <w:t>需提供此功能截图</w:t>
            </w:r>
            <w:r>
              <w:rPr>
                <w:rFonts w:hint="eastAsia" w:ascii="宋体" w:hAnsi="宋体" w:eastAsia="宋体" w:cs="宋体"/>
                <w:b/>
                <w:bCs/>
                <w:color w:val="auto"/>
                <w:sz w:val="24"/>
                <w:szCs w:val="24"/>
                <w:u w:val="single"/>
                <w:lang w:val="en-US" w:eastAsia="zh-CN"/>
              </w:rPr>
              <w:t>并加盖供应商公章</w:t>
            </w:r>
            <w:r>
              <w:rPr>
                <w:rFonts w:hint="eastAsia" w:ascii="宋体" w:hAnsi="宋体" w:eastAsia="宋体" w:cs="宋体"/>
                <w:b/>
                <w:bCs/>
                <w:color w:val="auto"/>
                <w:sz w:val="24"/>
                <w:szCs w:val="24"/>
                <w:u w:val="single"/>
              </w:rPr>
              <w:t>证明佐证</w:t>
            </w:r>
            <w:r>
              <w:rPr>
                <w:rFonts w:hint="eastAsia" w:ascii="宋体" w:hAnsi="宋体" w:eastAsia="宋体" w:cs="宋体"/>
                <w:b/>
                <w:bCs/>
                <w:color w:val="auto"/>
                <w:sz w:val="24"/>
                <w:szCs w:val="24"/>
                <w:u w:val="single"/>
                <w:lang w:eastAsia="zh-CN"/>
              </w:rPr>
              <w:t>，</w:t>
            </w:r>
            <w:r>
              <w:rPr>
                <w:rFonts w:hint="eastAsia" w:ascii="宋体" w:hAnsi="宋体" w:eastAsia="宋体" w:cs="宋体"/>
                <w:b/>
                <w:bCs/>
                <w:color w:val="auto"/>
                <w:sz w:val="24"/>
                <w:szCs w:val="24"/>
                <w:u w:val="single"/>
                <w:lang w:val="en-US" w:eastAsia="zh-CN"/>
              </w:rPr>
              <w:t>否则视为无效响应。</w:t>
            </w:r>
          </w:p>
          <w:p w14:paraId="112E2EF9">
            <w:pPr>
              <w:pStyle w:val="11"/>
              <w:spacing w:line="360" w:lineRule="auto"/>
              <w:jc w:val="both"/>
              <w:rPr>
                <w:rFonts w:hint="eastAsia" w:ascii="宋体" w:hAnsi="宋体" w:eastAsia="宋体" w:cs="宋体"/>
                <w:color w:val="auto"/>
                <w:kern w:val="2"/>
                <w:sz w:val="24"/>
                <w:szCs w:val="24"/>
                <w:lang w:val="en-US" w:eastAsia="zh-CN" w:bidi="ar-SA"/>
              </w:rPr>
            </w:pPr>
            <w:r>
              <w:rPr>
                <w:rFonts w:hint="eastAsia" w:ascii="宋体" w:hAnsi="宋体" w:eastAsia="宋体" w:cs="宋体"/>
                <w:color w:val="auto"/>
                <w:kern w:val="2"/>
                <w:sz w:val="24"/>
                <w:szCs w:val="24"/>
                <w:lang w:val="en-US" w:eastAsia="zh-CN" w:bidi="ar-SA"/>
              </w:rPr>
              <w:t>33、预装操作系统：出厂预装正版操作系统。</w:t>
            </w:r>
          </w:p>
          <w:p w14:paraId="2673B6A4">
            <w:pPr>
              <w:pStyle w:val="11"/>
              <w:spacing w:line="360" w:lineRule="auto"/>
              <w:jc w:val="both"/>
              <w:rPr>
                <w:rFonts w:hint="eastAsia" w:ascii="宋体" w:hAnsi="宋体" w:eastAsia="宋体" w:cs="宋体"/>
                <w:color w:val="auto"/>
                <w:kern w:val="2"/>
                <w:sz w:val="24"/>
                <w:szCs w:val="24"/>
                <w:lang w:val="en-US" w:eastAsia="zh-CN" w:bidi="ar-SA"/>
              </w:rPr>
            </w:pPr>
            <w:r>
              <w:rPr>
                <w:rFonts w:hint="eastAsia" w:ascii="宋体" w:hAnsi="宋体" w:eastAsia="宋体" w:cs="宋体"/>
                <w:color w:val="auto"/>
                <w:kern w:val="2"/>
                <w:sz w:val="24"/>
                <w:szCs w:val="24"/>
                <w:lang w:val="en-US" w:eastAsia="zh-CN" w:bidi="ar-SA"/>
              </w:rPr>
              <w:t>34、整机质量服务要求：所投设备原厂原装、非拆改配产品，主机及显示器原厂提供三年及以上免费保修及上门服务（含换件和维修）。</w:t>
            </w:r>
          </w:p>
          <w:p w14:paraId="22D84CEE">
            <w:pPr>
              <w:pStyle w:val="11"/>
              <w:spacing w:line="360" w:lineRule="auto"/>
              <w:jc w:val="both"/>
              <w:rPr>
                <w:rFonts w:hint="eastAsia" w:ascii="宋体" w:hAnsi="宋体" w:eastAsia="宋体" w:cs="宋体"/>
                <w:color w:val="auto"/>
                <w:kern w:val="2"/>
                <w:sz w:val="24"/>
                <w:szCs w:val="24"/>
                <w:lang w:val="en-US" w:eastAsia="zh-CN" w:bidi="ar-SA"/>
              </w:rPr>
            </w:pPr>
            <w:r>
              <w:rPr>
                <w:rFonts w:hint="eastAsia" w:ascii="宋体" w:hAnsi="宋体" w:eastAsia="宋体" w:cs="宋体"/>
                <w:color w:val="auto"/>
                <w:kern w:val="2"/>
                <w:sz w:val="24"/>
                <w:szCs w:val="24"/>
                <w:lang w:val="en-US" w:eastAsia="zh-CN" w:bidi="ar-SA"/>
              </w:rPr>
              <w:t>35、产品部件保障：供应商须保障产品主要部件，提供6年的原厂上门保修服务（自购买之日起），或提供可兼容原设备的升级换代产品。</w:t>
            </w:r>
          </w:p>
          <w:p w14:paraId="684C4920">
            <w:pPr>
              <w:pStyle w:val="11"/>
              <w:spacing w:line="360" w:lineRule="auto"/>
              <w:jc w:val="both"/>
              <w:rPr>
                <w:rFonts w:hint="eastAsia" w:ascii="宋体" w:hAnsi="宋体" w:eastAsia="宋体" w:cs="宋体"/>
                <w:color w:val="auto"/>
                <w:kern w:val="2"/>
                <w:sz w:val="24"/>
                <w:szCs w:val="24"/>
                <w:lang w:val="en-US" w:eastAsia="zh-CN" w:bidi="ar-SA"/>
              </w:rPr>
            </w:pPr>
            <w:r>
              <w:rPr>
                <w:rFonts w:hint="eastAsia" w:ascii="宋体" w:hAnsi="宋体" w:eastAsia="宋体" w:cs="宋体"/>
                <w:color w:val="auto"/>
                <w:kern w:val="2"/>
                <w:sz w:val="24"/>
                <w:szCs w:val="24"/>
                <w:lang w:val="en-US" w:eastAsia="zh-CN" w:bidi="ar-SA"/>
              </w:rPr>
              <w:t>36、兼容适配软件下载服务要求：供应商提供兼容适配软件下载渠道：提供中文版优化软件可一键将计算机的显卡、网卡、电源等部件设置为高性能状态（光盘或网站）。</w:t>
            </w:r>
          </w:p>
          <w:p w14:paraId="0CC86C45">
            <w:pPr>
              <w:pStyle w:val="11"/>
              <w:spacing w:line="360" w:lineRule="auto"/>
              <w:jc w:val="both"/>
              <w:rPr>
                <w:rFonts w:hint="eastAsia" w:ascii="宋体" w:hAnsi="宋体" w:eastAsia="宋体" w:cs="宋体"/>
                <w:color w:val="auto"/>
                <w:sz w:val="24"/>
                <w:szCs w:val="24"/>
                <w:shd w:val="clear" w:color="auto" w:fill="FFFFFF"/>
              </w:rPr>
            </w:pPr>
            <w:r>
              <w:rPr>
                <w:rFonts w:hint="eastAsia" w:ascii="宋体" w:hAnsi="宋体" w:eastAsia="宋体" w:cs="宋体"/>
                <w:color w:val="auto"/>
                <w:kern w:val="2"/>
                <w:sz w:val="24"/>
                <w:szCs w:val="24"/>
                <w:lang w:val="en-US" w:eastAsia="zh-CN" w:bidi="ar-SA"/>
              </w:rPr>
              <w:t>37、供应能力证明：</w:t>
            </w:r>
            <w:r>
              <w:rPr>
                <w:rFonts w:hint="eastAsia" w:ascii="宋体" w:hAnsi="宋体" w:eastAsia="宋体" w:cs="宋体"/>
                <w:b/>
                <w:bCs/>
                <w:color w:val="auto"/>
                <w:kern w:val="2"/>
                <w:sz w:val="24"/>
                <w:szCs w:val="24"/>
                <w:lang w:val="en-US" w:eastAsia="zh-CN" w:bidi="ar-SA"/>
              </w:rPr>
              <w:t>供应商提供加盖供应商</w:t>
            </w:r>
            <w:r>
              <w:rPr>
                <w:rFonts w:hint="eastAsia" w:ascii="宋体" w:hAnsi="宋体" w:eastAsia="宋体" w:cs="宋体"/>
                <w:b/>
                <w:bCs/>
                <w:color w:val="auto"/>
                <w:kern w:val="2"/>
                <w:sz w:val="24"/>
                <w:szCs w:val="24"/>
                <w:highlight w:val="none"/>
                <w:lang w:val="en-US" w:eastAsia="zh-CN" w:bidi="ar-SA"/>
              </w:rPr>
              <w:t>鲜</w:t>
            </w:r>
            <w:r>
              <w:rPr>
                <w:rFonts w:hint="eastAsia" w:ascii="宋体" w:hAnsi="宋体" w:eastAsia="宋体" w:cs="宋体"/>
                <w:b/>
                <w:bCs/>
                <w:color w:val="auto"/>
                <w:kern w:val="2"/>
                <w:sz w:val="24"/>
                <w:szCs w:val="24"/>
                <w:lang w:val="en-US" w:eastAsia="zh-CN" w:bidi="ar-SA"/>
              </w:rPr>
              <w:t>章的供应链稳定承诺书，确保产品的部件在产品服务周期内稳定供货。</w:t>
            </w:r>
            <w:r>
              <w:rPr>
                <w:rFonts w:hint="eastAsia" w:ascii="宋体" w:hAnsi="宋体" w:eastAsia="宋体" w:cs="宋体"/>
                <w:b/>
                <w:bCs/>
                <w:color w:val="auto"/>
                <w:kern w:val="2"/>
                <w:sz w:val="24"/>
                <w:szCs w:val="24"/>
                <w:u w:val="single"/>
                <w:lang w:val="en-US" w:eastAsia="zh-CN" w:bidi="ar-SA"/>
              </w:rPr>
              <w:t>响应文件中须提供此承诺函（承诺书格式自拟），否则视为无效响应。</w:t>
            </w:r>
          </w:p>
          <w:p w14:paraId="2CBB9BD1">
            <w:pPr>
              <w:spacing w:line="360" w:lineRule="auto"/>
              <w:jc w:val="both"/>
              <w:rPr>
                <w:rFonts w:hint="eastAsia" w:ascii="宋体" w:hAnsi="宋体" w:eastAsia="宋体" w:cs="宋体"/>
                <w:color w:val="auto"/>
                <w:sz w:val="24"/>
                <w:szCs w:val="24"/>
              </w:rPr>
            </w:pPr>
            <w:r>
              <w:rPr>
                <w:rFonts w:hint="eastAsia" w:ascii="宋体" w:hAnsi="宋体" w:eastAsia="宋体" w:cs="宋体"/>
                <w:color w:val="auto"/>
                <w:sz w:val="24"/>
                <w:szCs w:val="24"/>
              </w:rPr>
              <w:t>38、其他未列明参数必须完全响应或优于“财政部工业和信息化部关于印发《台式计算机政府采购需求标准(2023年版)》的通知（财库〔2023〕29号）”文件要求。</w:t>
            </w:r>
          </w:p>
        </w:tc>
      </w:tr>
      <w:tr w14:paraId="3220DCB3">
        <w:tblPrEx>
          <w:tblCellMar>
            <w:top w:w="0" w:type="dxa"/>
            <w:left w:w="0" w:type="dxa"/>
            <w:bottom w:w="0" w:type="dxa"/>
            <w:right w:w="0" w:type="dxa"/>
          </w:tblCellMar>
        </w:tblPrEx>
        <w:trPr>
          <w:trHeight w:val="965" w:hRule="atLeast"/>
          <w:jc w:val="center"/>
        </w:trPr>
        <w:tc>
          <w:tcPr>
            <w:tcW w:w="408" w:type="pct"/>
            <w:tcBorders>
              <w:top w:val="single" w:color="000000" w:sz="4" w:space="0"/>
              <w:left w:val="single" w:color="000000" w:sz="4" w:space="0"/>
              <w:bottom w:val="single" w:color="000000" w:sz="4" w:space="0"/>
              <w:right w:val="single" w:color="000000" w:sz="4" w:space="0"/>
            </w:tcBorders>
            <w:noWrap w:val="0"/>
            <w:vAlign w:val="center"/>
          </w:tcPr>
          <w:p w14:paraId="65867CC8">
            <w:pPr>
              <w:spacing w:line="360" w:lineRule="auto"/>
              <w:jc w:val="center"/>
              <w:rPr>
                <w:rFonts w:hint="eastAsia" w:ascii="宋体" w:hAnsi="宋体" w:eastAsia="宋体" w:cs="宋体"/>
                <w:color w:val="auto"/>
                <w:sz w:val="24"/>
                <w:szCs w:val="24"/>
              </w:rPr>
            </w:pPr>
            <w:r>
              <w:rPr>
                <w:rFonts w:hint="eastAsia" w:ascii="宋体" w:hAnsi="宋体" w:eastAsia="宋体" w:cs="宋体"/>
                <w:color w:val="auto"/>
                <w:sz w:val="24"/>
                <w:szCs w:val="24"/>
              </w:rPr>
              <w:t>3</w:t>
            </w:r>
          </w:p>
        </w:tc>
        <w:tc>
          <w:tcPr>
            <w:tcW w:w="535" w:type="pct"/>
            <w:tcBorders>
              <w:top w:val="single" w:color="000000" w:sz="4" w:space="0"/>
              <w:left w:val="single" w:color="000000" w:sz="4" w:space="0"/>
              <w:bottom w:val="single" w:color="000000" w:sz="4" w:space="0"/>
              <w:right w:val="single" w:color="000000" w:sz="4" w:space="0"/>
            </w:tcBorders>
            <w:noWrap w:val="0"/>
            <w:vAlign w:val="center"/>
          </w:tcPr>
          <w:p w14:paraId="3E6F2CD0">
            <w:pPr>
              <w:spacing w:line="360" w:lineRule="auto"/>
              <w:jc w:val="center"/>
              <w:rPr>
                <w:rFonts w:hint="eastAsia" w:ascii="宋体" w:hAnsi="宋体" w:eastAsia="宋体" w:cs="宋体"/>
                <w:color w:val="auto"/>
                <w:sz w:val="24"/>
                <w:szCs w:val="24"/>
              </w:rPr>
            </w:pPr>
            <w:r>
              <w:rPr>
                <w:rFonts w:hint="eastAsia" w:ascii="宋体" w:hAnsi="宋体" w:eastAsia="宋体" w:cs="宋体"/>
                <w:color w:val="auto"/>
                <w:sz w:val="24"/>
                <w:szCs w:val="24"/>
              </w:rPr>
              <w:t>机房电脑</w:t>
            </w:r>
          </w:p>
          <w:p w14:paraId="29012787">
            <w:pPr>
              <w:spacing w:line="360" w:lineRule="auto"/>
              <w:jc w:val="center"/>
              <w:rPr>
                <w:rFonts w:hint="eastAsia" w:ascii="宋体" w:hAnsi="宋体" w:eastAsia="宋体" w:cs="宋体"/>
                <w:color w:val="auto"/>
                <w:sz w:val="24"/>
                <w:szCs w:val="24"/>
              </w:rPr>
            </w:pPr>
            <w:r>
              <w:rPr>
                <w:rFonts w:hint="eastAsia" w:ascii="宋体" w:hAnsi="宋体" w:eastAsia="宋体" w:cs="宋体"/>
                <w:color w:val="auto"/>
                <w:sz w:val="24"/>
                <w:szCs w:val="24"/>
              </w:rPr>
              <w:t>（教师用机）</w:t>
            </w:r>
          </w:p>
        </w:tc>
        <w:tc>
          <w:tcPr>
            <w:tcW w:w="4055" w:type="pct"/>
            <w:tcBorders>
              <w:top w:val="single" w:color="000000" w:sz="4" w:space="0"/>
              <w:left w:val="single" w:color="000000" w:sz="4" w:space="0"/>
              <w:bottom w:val="single" w:color="000000" w:sz="4" w:space="0"/>
              <w:right w:val="single" w:color="000000" w:sz="4" w:space="0"/>
            </w:tcBorders>
            <w:noWrap w:val="0"/>
            <w:vAlign w:val="center"/>
          </w:tcPr>
          <w:p w14:paraId="5CEECCF1">
            <w:pPr>
              <w:pStyle w:val="11"/>
              <w:spacing w:line="360" w:lineRule="auto"/>
              <w:jc w:val="both"/>
              <w:rPr>
                <w:rFonts w:hint="eastAsia" w:ascii="宋体" w:hAnsi="宋体" w:eastAsia="宋体" w:cs="宋体"/>
                <w:color w:val="auto"/>
                <w:sz w:val="24"/>
                <w:szCs w:val="24"/>
                <w:shd w:val="clear" w:color="auto" w:fill="FFFFFF"/>
              </w:rPr>
            </w:pPr>
            <w:r>
              <w:rPr>
                <w:rFonts w:hint="eastAsia" w:ascii="宋体" w:hAnsi="宋体" w:eastAsia="宋体" w:cs="宋体"/>
                <w:color w:val="auto"/>
                <w:sz w:val="24"/>
                <w:szCs w:val="24"/>
                <w:shd w:val="clear" w:color="auto" w:fill="FFFFFF"/>
              </w:rPr>
              <w:t>1、CPU 信息：X86架构64位多核处理器≥十四核心，二十线程，主频2.5GHz，最高睿频:5.0GHz，三级缓存：24 MB；支持Intel VT-x / AMD-V 硬件虚拟化技术,支持完整 SSE4.2、AVX、AVX2 指令集。</w:t>
            </w:r>
          </w:p>
          <w:p w14:paraId="7CA644FF">
            <w:pPr>
              <w:pStyle w:val="11"/>
              <w:spacing w:line="360" w:lineRule="auto"/>
              <w:jc w:val="both"/>
              <w:rPr>
                <w:rFonts w:hint="eastAsia" w:ascii="宋体" w:hAnsi="宋体" w:eastAsia="宋体" w:cs="宋体"/>
                <w:color w:val="auto"/>
                <w:sz w:val="24"/>
                <w:szCs w:val="24"/>
                <w:shd w:val="clear" w:color="auto" w:fill="FFFFFF"/>
              </w:rPr>
            </w:pPr>
            <w:r>
              <w:rPr>
                <w:rFonts w:hint="eastAsia" w:ascii="宋体" w:hAnsi="宋体" w:eastAsia="宋体" w:cs="宋体"/>
                <w:color w:val="auto"/>
                <w:sz w:val="24"/>
                <w:szCs w:val="24"/>
                <w:shd w:val="clear" w:color="auto" w:fill="FFFFFF"/>
              </w:rPr>
              <w:t>2、内存配置容量：≥32GB。</w:t>
            </w:r>
          </w:p>
          <w:p w14:paraId="7AF9DA8B">
            <w:pPr>
              <w:pStyle w:val="11"/>
              <w:spacing w:line="360" w:lineRule="auto"/>
              <w:jc w:val="both"/>
              <w:rPr>
                <w:rFonts w:hint="eastAsia" w:ascii="宋体" w:hAnsi="宋体" w:eastAsia="宋体" w:cs="宋体"/>
                <w:color w:val="auto"/>
                <w:sz w:val="24"/>
                <w:szCs w:val="24"/>
                <w:shd w:val="clear" w:color="auto" w:fill="FFFFFF"/>
              </w:rPr>
            </w:pPr>
            <w:r>
              <w:rPr>
                <w:rFonts w:hint="eastAsia" w:ascii="宋体" w:hAnsi="宋体" w:eastAsia="宋体" w:cs="宋体"/>
                <w:color w:val="auto"/>
                <w:sz w:val="24"/>
                <w:szCs w:val="24"/>
                <w:shd w:val="clear" w:color="auto" w:fill="FFFFFF"/>
              </w:rPr>
              <w:t>3、内存类型：DDR4及以上。</w:t>
            </w:r>
          </w:p>
          <w:p w14:paraId="5C597141">
            <w:pPr>
              <w:pStyle w:val="11"/>
              <w:spacing w:line="360" w:lineRule="auto"/>
              <w:jc w:val="both"/>
              <w:rPr>
                <w:rFonts w:hint="eastAsia" w:ascii="宋体" w:hAnsi="宋体" w:eastAsia="宋体" w:cs="宋体"/>
                <w:color w:val="auto"/>
                <w:sz w:val="24"/>
                <w:szCs w:val="24"/>
                <w:shd w:val="clear" w:color="auto" w:fill="FFFFFF"/>
              </w:rPr>
            </w:pPr>
            <w:r>
              <w:rPr>
                <w:rFonts w:hint="eastAsia" w:ascii="宋体" w:hAnsi="宋体" w:eastAsia="宋体" w:cs="宋体"/>
                <w:color w:val="auto"/>
                <w:sz w:val="24"/>
                <w:szCs w:val="24"/>
                <w:shd w:val="clear" w:color="auto" w:fill="FFFFFF"/>
              </w:rPr>
              <w:t>4、内存条配置数量（板载内存不涉及）：≥1。</w:t>
            </w:r>
          </w:p>
          <w:p w14:paraId="0060255B">
            <w:pPr>
              <w:pStyle w:val="11"/>
              <w:spacing w:line="360" w:lineRule="auto"/>
              <w:jc w:val="both"/>
              <w:rPr>
                <w:rFonts w:hint="eastAsia" w:ascii="宋体" w:hAnsi="宋体" w:eastAsia="宋体" w:cs="宋体"/>
                <w:color w:val="auto"/>
                <w:sz w:val="24"/>
                <w:szCs w:val="24"/>
                <w:shd w:val="clear" w:color="auto" w:fill="FFFFFF"/>
              </w:rPr>
            </w:pPr>
            <w:r>
              <w:rPr>
                <w:rFonts w:hint="eastAsia" w:ascii="宋体" w:hAnsi="宋体" w:eastAsia="宋体" w:cs="宋体"/>
                <w:color w:val="auto"/>
                <w:sz w:val="24"/>
                <w:szCs w:val="24"/>
                <w:shd w:val="clear" w:color="auto" w:fill="FFFFFF"/>
              </w:rPr>
              <w:t>5、主板集成模块：集成资源扩展模块、计算处理模块、音频扩展模块等，主板的互联拓扑可通过处理器或交换电路实现。</w:t>
            </w:r>
          </w:p>
          <w:p w14:paraId="79EF7313">
            <w:pPr>
              <w:pStyle w:val="11"/>
              <w:spacing w:line="360" w:lineRule="auto"/>
              <w:jc w:val="both"/>
              <w:rPr>
                <w:rFonts w:hint="eastAsia" w:ascii="宋体" w:hAnsi="宋体" w:eastAsia="宋体" w:cs="宋体"/>
                <w:color w:val="auto"/>
                <w:sz w:val="24"/>
                <w:szCs w:val="24"/>
                <w:shd w:val="clear" w:color="auto" w:fill="FFFFFF"/>
              </w:rPr>
            </w:pPr>
            <w:r>
              <w:rPr>
                <w:rFonts w:hint="eastAsia" w:ascii="宋体" w:hAnsi="宋体" w:eastAsia="宋体" w:cs="宋体"/>
                <w:color w:val="auto"/>
                <w:sz w:val="24"/>
                <w:szCs w:val="24"/>
                <w:shd w:val="clear" w:color="auto" w:fill="FFFFFF"/>
              </w:rPr>
              <w:t>6、主板支持的 CPU和内存情况：支持适配处理器以及内存，具有2条内存插槽。</w:t>
            </w:r>
          </w:p>
          <w:p w14:paraId="2EC06E6A">
            <w:pPr>
              <w:pStyle w:val="11"/>
              <w:spacing w:line="360" w:lineRule="auto"/>
              <w:jc w:val="both"/>
              <w:rPr>
                <w:rFonts w:hint="eastAsia" w:ascii="宋体" w:hAnsi="宋体" w:eastAsia="宋体" w:cs="宋体"/>
                <w:color w:val="auto"/>
                <w:sz w:val="24"/>
                <w:szCs w:val="24"/>
                <w:shd w:val="clear" w:color="auto" w:fill="FFFFFF"/>
              </w:rPr>
            </w:pPr>
            <w:r>
              <w:rPr>
                <w:rFonts w:hint="eastAsia" w:ascii="宋体" w:hAnsi="宋体" w:eastAsia="宋体" w:cs="宋体"/>
                <w:color w:val="auto"/>
                <w:sz w:val="24"/>
                <w:szCs w:val="24"/>
                <w:shd w:val="clear" w:color="auto" w:fill="FFFFFF"/>
              </w:rPr>
              <w:t>7、主板其他内置接口：至少1个PCIEx16 、1个PCIEx1、2个M.2 接口。</w:t>
            </w:r>
          </w:p>
          <w:p w14:paraId="711A6C6B">
            <w:pPr>
              <w:pStyle w:val="11"/>
              <w:spacing w:line="360" w:lineRule="auto"/>
              <w:jc w:val="both"/>
              <w:rPr>
                <w:rFonts w:hint="eastAsia" w:ascii="宋体" w:hAnsi="宋体" w:eastAsia="宋体" w:cs="宋体"/>
                <w:color w:val="auto"/>
                <w:sz w:val="24"/>
                <w:szCs w:val="24"/>
                <w:shd w:val="clear" w:color="auto" w:fill="FFFFFF"/>
              </w:rPr>
            </w:pPr>
            <w:r>
              <w:rPr>
                <w:rFonts w:hint="eastAsia" w:ascii="宋体" w:hAnsi="宋体" w:eastAsia="宋体" w:cs="宋体"/>
                <w:color w:val="auto"/>
                <w:sz w:val="24"/>
                <w:szCs w:val="24"/>
                <w:shd w:val="clear" w:color="auto" w:fill="FFFFFF"/>
              </w:rPr>
              <w:t>8、单内存插槽最大可支持容量（板载内存不涉及）：≥32GB。</w:t>
            </w:r>
          </w:p>
          <w:p w14:paraId="2F283327">
            <w:pPr>
              <w:pStyle w:val="11"/>
              <w:spacing w:line="360" w:lineRule="auto"/>
              <w:jc w:val="both"/>
              <w:rPr>
                <w:rFonts w:hint="eastAsia" w:ascii="宋体" w:hAnsi="宋体" w:eastAsia="宋体" w:cs="宋体"/>
                <w:color w:val="auto"/>
                <w:sz w:val="24"/>
                <w:szCs w:val="24"/>
                <w:shd w:val="clear" w:color="auto" w:fill="FFFFFF"/>
              </w:rPr>
            </w:pPr>
            <w:r>
              <w:rPr>
                <w:rFonts w:hint="eastAsia" w:ascii="宋体" w:hAnsi="宋体" w:eastAsia="宋体" w:cs="宋体"/>
                <w:color w:val="auto"/>
                <w:sz w:val="24"/>
                <w:szCs w:val="24"/>
                <w:shd w:val="clear" w:color="auto" w:fill="FFFFFF"/>
              </w:rPr>
              <w:t>9、内存插槽满配时提供的最高内存总容量：≥64GB。</w:t>
            </w:r>
          </w:p>
          <w:p w14:paraId="21D25E60">
            <w:pPr>
              <w:pStyle w:val="11"/>
              <w:spacing w:line="360" w:lineRule="auto"/>
              <w:jc w:val="both"/>
              <w:rPr>
                <w:rFonts w:hint="eastAsia" w:ascii="宋体" w:hAnsi="宋体" w:eastAsia="宋体" w:cs="宋体"/>
                <w:color w:val="auto"/>
                <w:sz w:val="24"/>
                <w:szCs w:val="24"/>
                <w:shd w:val="clear" w:color="auto" w:fill="FFFFFF"/>
              </w:rPr>
            </w:pPr>
            <w:r>
              <w:rPr>
                <w:rFonts w:hint="eastAsia" w:ascii="宋体" w:hAnsi="宋体" w:eastAsia="宋体" w:cs="宋体"/>
                <w:color w:val="auto"/>
                <w:sz w:val="24"/>
                <w:szCs w:val="24"/>
                <w:shd w:val="clear" w:color="auto" w:fill="FFFFFF"/>
              </w:rPr>
              <w:t>10、固态盘数量：≥1 个。</w:t>
            </w:r>
          </w:p>
          <w:p w14:paraId="03E939C8">
            <w:pPr>
              <w:pStyle w:val="11"/>
              <w:spacing w:line="360" w:lineRule="auto"/>
              <w:jc w:val="both"/>
              <w:rPr>
                <w:rFonts w:hint="eastAsia" w:ascii="宋体" w:hAnsi="宋体" w:eastAsia="宋体" w:cs="宋体"/>
                <w:color w:val="auto"/>
                <w:sz w:val="24"/>
                <w:szCs w:val="24"/>
                <w:shd w:val="clear" w:color="auto" w:fill="FFFFFF"/>
              </w:rPr>
            </w:pPr>
            <w:r>
              <w:rPr>
                <w:rFonts w:hint="eastAsia" w:ascii="宋体" w:hAnsi="宋体" w:eastAsia="宋体" w:cs="宋体"/>
                <w:color w:val="auto"/>
                <w:sz w:val="24"/>
                <w:szCs w:val="24"/>
                <w:shd w:val="clear" w:color="auto" w:fill="FFFFFF"/>
              </w:rPr>
              <w:t>11、</w:t>
            </w:r>
            <w:r>
              <w:rPr>
                <w:rFonts w:hint="eastAsia" w:ascii="宋体" w:hAnsi="宋体" w:eastAsia="宋体" w:cs="宋体"/>
                <w:color w:val="auto"/>
                <w:sz w:val="24"/>
                <w:szCs w:val="24"/>
              </w:rPr>
              <w:t>固态存储容量：≥1T(或固态硬盘≥512G+机械硬盘≥512G)。</w:t>
            </w:r>
          </w:p>
          <w:p w14:paraId="57BB7DD1">
            <w:pPr>
              <w:pStyle w:val="11"/>
              <w:spacing w:line="360" w:lineRule="auto"/>
              <w:jc w:val="both"/>
              <w:rPr>
                <w:rFonts w:hint="eastAsia" w:ascii="宋体" w:hAnsi="宋体" w:eastAsia="宋体" w:cs="宋体"/>
                <w:color w:val="auto"/>
                <w:sz w:val="24"/>
                <w:szCs w:val="24"/>
                <w:shd w:val="clear" w:color="auto" w:fill="FFFFFF"/>
              </w:rPr>
            </w:pPr>
            <w:r>
              <w:rPr>
                <w:rFonts w:hint="eastAsia" w:ascii="宋体" w:hAnsi="宋体" w:eastAsia="宋体" w:cs="宋体"/>
                <w:color w:val="auto"/>
                <w:sz w:val="24"/>
                <w:szCs w:val="24"/>
                <w:shd w:val="clear" w:color="auto" w:fill="FFFFFF"/>
              </w:rPr>
              <w:t>12、固态存储形态： M.2 NVME SSD。</w:t>
            </w:r>
          </w:p>
          <w:p w14:paraId="0A9986F2">
            <w:pPr>
              <w:pStyle w:val="11"/>
              <w:spacing w:line="360" w:lineRule="auto"/>
              <w:jc w:val="both"/>
              <w:rPr>
                <w:rFonts w:hint="eastAsia" w:ascii="宋体" w:hAnsi="宋体" w:eastAsia="宋体" w:cs="宋体"/>
                <w:color w:val="auto"/>
                <w:sz w:val="24"/>
                <w:szCs w:val="24"/>
                <w:shd w:val="clear" w:color="auto" w:fill="FFFFFF"/>
              </w:rPr>
            </w:pPr>
            <w:r>
              <w:rPr>
                <w:rFonts w:hint="eastAsia" w:ascii="宋体" w:hAnsi="宋体" w:eastAsia="宋体" w:cs="宋体"/>
                <w:color w:val="auto"/>
                <w:sz w:val="24"/>
                <w:szCs w:val="24"/>
                <w:shd w:val="clear" w:color="auto" w:fill="FFFFFF"/>
              </w:rPr>
              <w:t>15、机械存储形态：无。</w:t>
            </w:r>
          </w:p>
          <w:p w14:paraId="3BFF0CC8">
            <w:pPr>
              <w:pStyle w:val="11"/>
              <w:spacing w:line="360" w:lineRule="auto"/>
              <w:jc w:val="both"/>
              <w:rPr>
                <w:rFonts w:hint="eastAsia" w:ascii="宋体" w:hAnsi="宋体" w:eastAsia="宋体" w:cs="宋体"/>
                <w:color w:val="auto"/>
                <w:sz w:val="24"/>
                <w:szCs w:val="24"/>
                <w:shd w:val="clear" w:color="auto" w:fill="FFFFFF"/>
              </w:rPr>
            </w:pPr>
            <w:r>
              <w:rPr>
                <w:rFonts w:hint="eastAsia" w:ascii="宋体" w:hAnsi="宋体" w:eastAsia="宋体" w:cs="宋体"/>
                <w:color w:val="auto"/>
                <w:sz w:val="24"/>
                <w:szCs w:val="24"/>
                <w:shd w:val="clear" w:color="auto" w:fill="FFFFFF"/>
              </w:rPr>
              <w:t>16、存储设备其他参数要求：采用插卡或板载等形式，可选用M.2或mSATA等标准的插卡形式。</w:t>
            </w:r>
          </w:p>
          <w:p w14:paraId="49DA61CF">
            <w:pPr>
              <w:pStyle w:val="11"/>
              <w:spacing w:line="360" w:lineRule="auto"/>
              <w:jc w:val="both"/>
              <w:rPr>
                <w:rFonts w:hint="eastAsia" w:ascii="宋体" w:hAnsi="宋体" w:eastAsia="宋体" w:cs="宋体"/>
                <w:color w:val="auto"/>
                <w:sz w:val="24"/>
                <w:szCs w:val="24"/>
                <w:shd w:val="clear" w:color="auto" w:fill="FFFFFF"/>
              </w:rPr>
            </w:pPr>
            <w:r>
              <w:rPr>
                <w:rFonts w:hint="eastAsia" w:ascii="宋体" w:hAnsi="宋体" w:eastAsia="宋体" w:cs="宋体"/>
                <w:color w:val="auto"/>
                <w:sz w:val="24"/>
                <w:szCs w:val="24"/>
                <w:shd w:val="clear" w:color="auto" w:fill="FFFFFF"/>
              </w:rPr>
              <w:t>17、显卡类型：≥集成显卡。</w:t>
            </w:r>
          </w:p>
          <w:p w14:paraId="0F918248">
            <w:pPr>
              <w:pStyle w:val="11"/>
              <w:spacing w:line="360" w:lineRule="auto"/>
              <w:jc w:val="both"/>
              <w:rPr>
                <w:rFonts w:hint="eastAsia" w:ascii="宋体" w:hAnsi="宋体" w:eastAsia="宋体" w:cs="宋体"/>
                <w:color w:val="auto"/>
                <w:sz w:val="24"/>
                <w:szCs w:val="24"/>
                <w:shd w:val="clear" w:color="auto" w:fill="FFFFFF"/>
              </w:rPr>
            </w:pPr>
            <w:r>
              <w:rPr>
                <w:rFonts w:hint="eastAsia" w:ascii="宋体" w:hAnsi="宋体" w:eastAsia="宋体" w:cs="宋体"/>
                <w:color w:val="auto"/>
                <w:sz w:val="24"/>
                <w:szCs w:val="24"/>
                <w:shd w:val="clear" w:color="auto" w:fill="FFFFFF"/>
              </w:rPr>
              <w:t>18、显示屏屏占比：≥80% 。</w:t>
            </w:r>
          </w:p>
          <w:p w14:paraId="60C15957">
            <w:pPr>
              <w:pStyle w:val="11"/>
              <w:spacing w:line="360" w:lineRule="auto"/>
              <w:jc w:val="both"/>
              <w:rPr>
                <w:rFonts w:hint="eastAsia" w:ascii="宋体" w:hAnsi="宋体" w:eastAsia="宋体" w:cs="宋体"/>
                <w:color w:val="auto"/>
                <w:sz w:val="24"/>
                <w:szCs w:val="24"/>
                <w:shd w:val="clear" w:color="auto" w:fill="FFFFFF"/>
              </w:rPr>
            </w:pPr>
            <w:r>
              <w:rPr>
                <w:rFonts w:hint="eastAsia" w:ascii="宋体" w:hAnsi="宋体" w:eastAsia="宋体" w:cs="宋体"/>
                <w:color w:val="auto"/>
                <w:sz w:val="24"/>
                <w:szCs w:val="24"/>
                <w:shd w:val="clear" w:color="auto" w:fill="FFFFFF"/>
              </w:rPr>
              <w:t>19、显示屏分辨率：≥1920x1080。</w:t>
            </w:r>
          </w:p>
          <w:p w14:paraId="59F81F57">
            <w:pPr>
              <w:pStyle w:val="11"/>
              <w:spacing w:line="360" w:lineRule="auto"/>
              <w:jc w:val="both"/>
              <w:rPr>
                <w:rFonts w:hint="eastAsia" w:ascii="宋体" w:hAnsi="宋体" w:eastAsia="宋体" w:cs="宋体"/>
                <w:color w:val="auto"/>
                <w:sz w:val="24"/>
                <w:szCs w:val="24"/>
                <w:shd w:val="clear" w:color="auto" w:fill="FFFFFF"/>
              </w:rPr>
            </w:pPr>
            <w:r>
              <w:rPr>
                <w:rFonts w:hint="eastAsia" w:ascii="宋体" w:hAnsi="宋体" w:eastAsia="宋体" w:cs="宋体"/>
                <w:color w:val="auto"/>
                <w:sz w:val="24"/>
                <w:szCs w:val="24"/>
                <w:shd w:val="clear" w:color="auto" w:fill="FFFFFF"/>
              </w:rPr>
              <w:t>20、显示屏尺寸：≥27英寸。</w:t>
            </w:r>
          </w:p>
          <w:p w14:paraId="6DE1776B">
            <w:pPr>
              <w:pStyle w:val="11"/>
              <w:spacing w:line="360" w:lineRule="auto"/>
              <w:jc w:val="both"/>
              <w:rPr>
                <w:rFonts w:hint="eastAsia" w:ascii="宋体" w:hAnsi="宋体" w:eastAsia="宋体" w:cs="宋体"/>
                <w:color w:val="auto"/>
                <w:sz w:val="24"/>
                <w:szCs w:val="24"/>
                <w:shd w:val="clear" w:color="auto" w:fill="FFFFFF"/>
              </w:rPr>
            </w:pPr>
            <w:r>
              <w:rPr>
                <w:rFonts w:hint="eastAsia" w:ascii="宋体" w:hAnsi="宋体" w:eastAsia="宋体" w:cs="宋体"/>
                <w:color w:val="auto"/>
                <w:sz w:val="24"/>
                <w:szCs w:val="24"/>
                <w:shd w:val="clear" w:color="auto" w:fill="FFFFFF"/>
              </w:rPr>
              <w:t>21、显示器外观颜色：黑色。</w:t>
            </w:r>
          </w:p>
          <w:p w14:paraId="3F892877">
            <w:pPr>
              <w:pStyle w:val="11"/>
              <w:spacing w:line="360" w:lineRule="auto"/>
              <w:jc w:val="both"/>
              <w:rPr>
                <w:rFonts w:hint="eastAsia" w:ascii="宋体" w:hAnsi="宋体" w:eastAsia="宋体" w:cs="宋体"/>
                <w:color w:val="auto"/>
                <w:sz w:val="24"/>
                <w:szCs w:val="24"/>
                <w:shd w:val="clear" w:color="auto" w:fill="FFFFFF"/>
              </w:rPr>
            </w:pPr>
            <w:r>
              <w:rPr>
                <w:rFonts w:hint="eastAsia" w:ascii="宋体" w:hAnsi="宋体" w:eastAsia="宋体" w:cs="宋体"/>
                <w:color w:val="auto"/>
                <w:sz w:val="24"/>
                <w:szCs w:val="24"/>
                <w:shd w:val="clear" w:color="auto" w:fill="FFFFFF"/>
              </w:rPr>
              <w:t>22、显示屏防蓝光：支持防蓝光模式。</w:t>
            </w:r>
          </w:p>
          <w:p w14:paraId="3F2C4A64">
            <w:pPr>
              <w:pStyle w:val="11"/>
              <w:spacing w:line="360" w:lineRule="auto"/>
              <w:jc w:val="both"/>
              <w:rPr>
                <w:rFonts w:hint="eastAsia" w:ascii="宋体" w:hAnsi="宋体" w:eastAsia="宋体" w:cs="宋体"/>
                <w:color w:val="auto"/>
                <w:sz w:val="24"/>
                <w:szCs w:val="24"/>
                <w:shd w:val="clear" w:color="auto" w:fill="FFFFFF"/>
              </w:rPr>
            </w:pPr>
            <w:r>
              <w:rPr>
                <w:rFonts w:hint="eastAsia" w:ascii="宋体" w:hAnsi="宋体" w:eastAsia="宋体" w:cs="宋体"/>
                <w:color w:val="auto"/>
                <w:sz w:val="24"/>
                <w:szCs w:val="24"/>
                <w:shd w:val="clear" w:color="auto" w:fill="FFFFFF"/>
              </w:rPr>
              <w:t>23、鼠标数量：≥1个</w:t>
            </w:r>
            <w:r>
              <w:rPr>
                <w:rFonts w:hint="eastAsia" w:ascii="宋体" w:hAnsi="宋体" w:eastAsia="宋体" w:cs="宋体"/>
                <w:color w:val="auto"/>
                <w:sz w:val="24"/>
                <w:szCs w:val="24"/>
                <w:shd w:val="clear" w:color="auto" w:fill="FFFFFF"/>
                <w:lang w:eastAsia="zh-CN"/>
              </w:rPr>
              <w:t>，</w:t>
            </w:r>
            <w:r>
              <w:rPr>
                <w:rFonts w:hint="eastAsia" w:ascii="宋体" w:hAnsi="宋体" w:eastAsia="宋体" w:cs="宋体"/>
                <w:color w:val="auto"/>
                <w:sz w:val="24"/>
                <w:szCs w:val="24"/>
                <w:lang w:bidi="ar"/>
              </w:rPr>
              <w:t>型号：USB 有线标准三键光电鼠标分辨率：≥1000 DPI。</w:t>
            </w:r>
          </w:p>
          <w:p w14:paraId="256C51D7">
            <w:pPr>
              <w:pStyle w:val="11"/>
              <w:spacing w:line="360" w:lineRule="auto"/>
              <w:jc w:val="both"/>
              <w:rPr>
                <w:rFonts w:hint="eastAsia" w:ascii="宋体" w:hAnsi="宋体" w:eastAsia="宋体" w:cs="宋体"/>
                <w:color w:val="auto"/>
                <w:sz w:val="24"/>
                <w:szCs w:val="24"/>
                <w:shd w:val="clear" w:color="auto" w:fill="FFFFFF"/>
              </w:rPr>
            </w:pPr>
            <w:r>
              <w:rPr>
                <w:rFonts w:hint="eastAsia" w:ascii="宋体" w:hAnsi="宋体" w:eastAsia="宋体" w:cs="宋体"/>
                <w:color w:val="auto"/>
                <w:sz w:val="24"/>
                <w:szCs w:val="24"/>
                <w:shd w:val="clear" w:color="auto" w:fill="FFFFFF"/>
              </w:rPr>
              <w:t>24、键盘数量：≥1个</w:t>
            </w:r>
            <w:r>
              <w:rPr>
                <w:rFonts w:hint="eastAsia" w:ascii="宋体" w:hAnsi="宋体" w:eastAsia="宋体" w:cs="宋体"/>
                <w:color w:val="auto"/>
                <w:sz w:val="24"/>
                <w:szCs w:val="24"/>
                <w:shd w:val="clear" w:color="auto" w:fill="FFFFFF"/>
                <w:lang w:eastAsia="zh-CN"/>
              </w:rPr>
              <w:t>，</w:t>
            </w:r>
            <w:r>
              <w:rPr>
                <w:rFonts w:hint="eastAsia" w:ascii="宋体" w:hAnsi="宋体" w:eastAsia="宋体" w:cs="宋体"/>
                <w:color w:val="auto"/>
                <w:sz w:val="24"/>
                <w:szCs w:val="24"/>
                <w:lang w:bidi="ar"/>
              </w:rPr>
              <w:t>型号：USB 有线全尺寸键盘，带独立数字键区；具备防水防泼溅功能。</w:t>
            </w:r>
          </w:p>
          <w:p w14:paraId="2F644B6E">
            <w:pPr>
              <w:pStyle w:val="11"/>
              <w:spacing w:line="360" w:lineRule="auto"/>
              <w:jc w:val="both"/>
              <w:rPr>
                <w:rFonts w:hint="eastAsia" w:ascii="宋体" w:hAnsi="宋体" w:eastAsia="宋体" w:cs="宋体"/>
                <w:color w:val="auto"/>
                <w:sz w:val="24"/>
                <w:szCs w:val="24"/>
                <w:shd w:val="clear" w:color="auto" w:fill="FFFFFF"/>
              </w:rPr>
            </w:pPr>
            <w:r>
              <w:rPr>
                <w:rFonts w:hint="eastAsia" w:ascii="宋体" w:hAnsi="宋体" w:eastAsia="宋体" w:cs="宋体"/>
                <w:color w:val="auto"/>
                <w:sz w:val="24"/>
                <w:szCs w:val="24"/>
                <w:shd w:val="clear" w:color="auto" w:fill="FFFFFF"/>
              </w:rPr>
              <w:t>25、有线网卡数量：≥1。</w:t>
            </w:r>
          </w:p>
          <w:p w14:paraId="5CE28468">
            <w:pPr>
              <w:pStyle w:val="11"/>
              <w:spacing w:line="360" w:lineRule="auto"/>
              <w:jc w:val="both"/>
              <w:rPr>
                <w:rFonts w:hint="eastAsia" w:ascii="宋体" w:hAnsi="宋体" w:eastAsia="宋体" w:cs="宋体"/>
                <w:color w:val="auto"/>
                <w:sz w:val="24"/>
                <w:szCs w:val="24"/>
                <w:shd w:val="clear" w:color="auto" w:fill="FFFFFF"/>
              </w:rPr>
            </w:pPr>
            <w:r>
              <w:rPr>
                <w:rFonts w:hint="eastAsia" w:ascii="宋体" w:hAnsi="宋体" w:eastAsia="宋体" w:cs="宋体"/>
                <w:color w:val="auto"/>
                <w:sz w:val="24"/>
                <w:szCs w:val="24"/>
                <w:shd w:val="clear" w:color="auto" w:fill="FFFFFF"/>
              </w:rPr>
              <w:t>26、USB 接口数量：≥8个USB接口。</w:t>
            </w:r>
          </w:p>
          <w:p w14:paraId="2AF93F7E">
            <w:pPr>
              <w:pStyle w:val="11"/>
              <w:spacing w:line="360" w:lineRule="auto"/>
              <w:jc w:val="both"/>
              <w:rPr>
                <w:rFonts w:hint="eastAsia" w:ascii="宋体" w:hAnsi="宋体" w:eastAsia="宋体" w:cs="宋体"/>
                <w:color w:val="auto"/>
                <w:sz w:val="24"/>
                <w:szCs w:val="24"/>
                <w:shd w:val="clear" w:color="auto" w:fill="FFFFFF"/>
              </w:rPr>
            </w:pPr>
            <w:r>
              <w:rPr>
                <w:rFonts w:hint="eastAsia" w:ascii="宋体" w:hAnsi="宋体" w:eastAsia="宋体" w:cs="宋体"/>
                <w:color w:val="auto"/>
                <w:sz w:val="24"/>
                <w:szCs w:val="24"/>
                <w:shd w:val="clear" w:color="auto" w:fill="FFFFFF"/>
              </w:rPr>
              <w:t>27、视频接口数量：≥1个HDMI接口，1个DP接口或VGA接口。</w:t>
            </w:r>
          </w:p>
          <w:p w14:paraId="4ADBB4BF">
            <w:pPr>
              <w:pStyle w:val="11"/>
              <w:spacing w:line="360" w:lineRule="auto"/>
              <w:jc w:val="both"/>
              <w:rPr>
                <w:rFonts w:hint="eastAsia" w:ascii="宋体" w:hAnsi="宋体" w:eastAsia="宋体" w:cs="宋体"/>
                <w:color w:val="auto"/>
                <w:sz w:val="24"/>
                <w:szCs w:val="24"/>
                <w:shd w:val="clear" w:color="auto" w:fill="FFFFFF"/>
              </w:rPr>
            </w:pPr>
            <w:r>
              <w:rPr>
                <w:rFonts w:hint="eastAsia" w:ascii="宋体" w:hAnsi="宋体" w:eastAsia="宋体" w:cs="宋体"/>
                <w:color w:val="auto"/>
                <w:sz w:val="24"/>
                <w:szCs w:val="24"/>
                <w:shd w:val="clear" w:color="auto" w:fill="FFFFFF"/>
              </w:rPr>
              <w:t xml:space="preserve">28、音频接口数量：≥3（前面板至少2个音频接口）。 </w:t>
            </w:r>
            <w:r>
              <w:rPr>
                <w:rFonts w:hint="eastAsia" w:ascii="宋体" w:hAnsi="宋体" w:eastAsia="宋体" w:cs="宋体"/>
                <w:color w:val="auto"/>
                <w:sz w:val="24"/>
                <w:szCs w:val="24"/>
                <w:shd w:val="clear" w:color="auto" w:fill="FFFFFF"/>
              </w:rPr>
              <w:cr/>
            </w:r>
            <w:r>
              <w:rPr>
                <w:rFonts w:hint="eastAsia" w:ascii="宋体" w:hAnsi="宋体" w:eastAsia="宋体" w:cs="宋体"/>
                <w:color w:val="auto"/>
                <w:sz w:val="24"/>
                <w:szCs w:val="24"/>
                <w:shd w:val="clear" w:color="auto" w:fill="FFFFFF"/>
              </w:rPr>
              <w:t>29、整机结构：</w:t>
            </w:r>
          </w:p>
          <w:p w14:paraId="520E3C1F">
            <w:pPr>
              <w:pStyle w:val="11"/>
              <w:spacing w:line="360" w:lineRule="auto"/>
              <w:jc w:val="both"/>
              <w:rPr>
                <w:rFonts w:hint="eastAsia" w:ascii="宋体" w:hAnsi="宋体" w:eastAsia="宋体" w:cs="宋体"/>
                <w:color w:val="auto"/>
                <w:sz w:val="24"/>
                <w:szCs w:val="24"/>
                <w:shd w:val="clear" w:color="auto" w:fill="FFFFFF"/>
              </w:rPr>
            </w:pPr>
            <w:r>
              <w:rPr>
                <w:rFonts w:hint="eastAsia" w:ascii="宋体" w:hAnsi="宋体" w:eastAsia="宋体" w:cs="宋体"/>
                <w:color w:val="auto"/>
                <w:sz w:val="24"/>
                <w:szCs w:val="24"/>
                <w:shd w:val="clear" w:color="auto" w:fill="FFFFFF"/>
              </w:rPr>
              <w:t>a) 机箱应符合 GB/T 4208、 GB/T 26246的相关规定；</w:t>
            </w:r>
          </w:p>
          <w:p w14:paraId="4BF3C699">
            <w:pPr>
              <w:pStyle w:val="11"/>
              <w:spacing w:line="360" w:lineRule="auto"/>
              <w:jc w:val="both"/>
              <w:rPr>
                <w:rFonts w:hint="eastAsia" w:ascii="宋体" w:hAnsi="宋体" w:eastAsia="宋体" w:cs="宋体"/>
                <w:color w:val="auto"/>
                <w:sz w:val="24"/>
                <w:szCs w:val="24"/>
                <w:shd w:val="clear" w:color="auto" w:fill="FFFFFF"/>
              </w:rPr>
            </w:pPr>
            <w:r>
              <w:rPr>
                <w:rFonts w:hint="eastAsia" w:ascii="宋体" w:hAnsi="宋体" w:eastAsia="宋体" w:cs="宋体"/>
                <w:color w:val="auto"/>
                <w:sz w:val="24"/>
                <w:szCs w:val="24"/>
                <w:shd w:val="clear" w:color="auto" w:fill="FFFFFF"/>
              </w:rPr>
              <w:t>b) 产品内部结构应符合通用部件的安装需求；</w:t>
            </w:r>
          </w:p>
          <w:p w14:paraId="458631A5">
            <w:pPr>
              <w:pStyle w:val="11"/>
              <w:spacing w:line="360" w:lineRule="auto"/>
              <w:jc w:val="both"/>
              <w:rPr>
                <w:rFonts w:hint="eastAsia" w:ascii="宋体" w:hAnsi="宋体" w:eastAsia="宋体" w:cs="宋体"/>
                <w:color w:val="auto"/>
                <w:sz w:val="24"/>
                <w:szCs w:val="24"/>
                <w:shd w:val="clear" w:color="auto" w:fill="FFFFFF"/>
              </w:rPr>
            </w:pPr>
            <w:r>
              <w:rPr>
                <w:rFonts w:hint="eastAsia" w:ascii="宋体" w:hAnsi="宋体" w:eastAsia="宋体" w:cs="宋体"/>
                <w:color w:val="auto"/>
                <w:sz w:val="24"/>
                <w:szCs w:val="24"/>
                <w:shd w:val="clear" w:color="auto" w:fill="FFFFFF"/>
              </w:rPr>
              <w:t>c) 所有输入输出接口应符合相关国家或行业标准；</w:t>
            </w:r>
          </w:p>
          <w:p w14:paraId="0831DDC9">
            <w:pPr>
              <w:pStyle w:val="11"/>
              <w:spacing w:line="360" w:lineRule="auto"/>
              <w:jc w:val="both"/>
              <w:rPr>
                <w:rFonts w:hint="eastAsia" w:ascii="宋体" w:hAnsi="宋体" w:eastAsia="宋体" w:cs="宋体"/>
                <w:color w:val="auto"/>
                <w:sz w:val="24"/>
                <w:szCs w:val="24"/>
                <w:shd w:val="clear" w:color="auto" w:fill="FFFFFF"/>
              </w:rPr>
            </w:pPr>
            <w:r>
              <w:rPr>
                <w:rFonts w:hint="eastAsia" w:ascii="宋体" w:hAnsi="宋体" w:eastAsia="宋体" w:cs="宋体"/>
                <w:color w:val="auto"/>
                <w:sz w:val="24"/>
                <w:szCs w:val="24"/>
                <w:shd w:val="clear" w:color="auto" w:fill="FFFFFF"/>
              </w:rPr>
              <w:t>d) 产品零部件应紧固无松动，可插拔部件应可靠连接，开关、按钮和其它控制部件应灵活可靠，布局应方便使用；</w:t>
            </w:r>
          </w:p>
          <w:p w14:paraId="08D0BA18">
            <w:pPr>
              <w:pStyle w:val="11"/>
              <w:spacing w:line="360" w:lineRule="auto"/>
              <w:jc w:val="both"/>
              <w:rPr>
                <w:rFonts w:hint="eastAsia" w:ascii="宋体" w:hAnsi="宋体" w:eastAsia="宋体" w:cs="宋体"/>
                <w:color w:val="auto"/>
                <w:sz w:val="24"/>
                <w:szCs w:val="24"/>
                <w:shd w:val="clear" w:color="auto" w:fill="FFFFFF"/>
              </w:rPr>
            </w:pPr>
            <w:r>
              <w:rPr>
                <w:rFonts w:hint="eastAsia" w:ascii="宋体" w:hAnsi="宋体" w:eastAsia="宋体" w:cs="宋体"/>
                <w:color w:val="auto"/>
                <w:sz w:val="24"/>
                <w:szCs w:val="24"/>
                <w:shd w:val="clear" w:color="auto" w:fill="FFFFFF"/>
              </w:rPr>
              <w:t>e) 所有I/O连接器及需插接线缆的部位应预留采购人操作空间，方便插拔解锁与插拔线缆；</w:t>
            </w:r>
          </w:p>
          <w:p w14:paraId="23216495">
            <w:pPr>
              <w:pStyle w:val="11"/>
              <w:spacing w:line="360" w:lineRule="auto"/>
              <w:jc w:val="both"/>
              <w:rPr>
                <w:rFonts w:hint="eastAsia" w:ascii="宋体" w:hAnsi="宋体" w:eastAsia="宋体" w:cs="宋体"/>
                <w:color w:val="auto"/>
                <w:sz w:val="24"/>
                <w:szCs w:val="24"/>
                <w:shd w:val="clear" w:color="auto" w:fill="FFFFFF"/>
              </w:rPr>
            </w:pPr>
            <w:r>
              <w:rPr>
                <w:rFonts w:hint="eastAsia" w:ascii="宋体" w:hAnsi="宋体" w:eastAsia="宋体" w:cs="宋体"/>
                <w:color w:val="auto"/>
                <w:sz w:val="24"/>
                <w:szCs w:val="24"/>
                <w:shd w:val="clear" w:color="auto" w:fill="FFFFFF"/>
              </w:rPr>
              <w:t>f) 可插拔板卡插槽部位应预留安装、拆卸或更换板卡空间；</w:t>
            </w:r>
          </w:p>
          <w:p w14:paraId="0B5C4B05">
            <w:pPr>
              <w:pStyle w:val="11"/>
              <w:spacing w:line="360" w:lineRule="auto"/>
              <w:jc w:val="both"/>
              <w:rPr>
                <w:rFonts w:hint="eastAsia" w:ascii="宋体" w:hAnsi="宋体" w:eastAsia="宋体" w:cs="宋体"/>
                <w:color w:val="auto"/>
                <w:sz w:val="24"/>
                <w:szCs w:val="24"/>
                <w:shd w:val="clear" w:color="auto" w:fill="FFFFFF"/>
              </w:rPr>
            </w:pPr>
            <w:r>
              <w:rPr>
                <w:rFonts w:hint="eastAsia" w:ascii="宋体" w:hAnsi="宋体" w:eastAsia="宋体" w:cs="宋体"/>
                <w:color w:val="auto"/>
                <w:sz w:val="24"/>
                <w:szCs w:val="24"/>
                <w:shd w:val="clear" w:color="auto" w:fill="FFFFFF"/>
              </w:rPr>
              <w:t>g) 拆装可能接触到的金属剪口或金属尖角部位应做防划伤处理，以保证安全；</w:t>
            </w:r>
          </w:p>
          <w:p w14:paraId="4476B9F0">
            <w:pPr>
              <w:pStyle w:val="11"/>
              <w:spacing w:line="360" w:lineRule="auto"/>
              <w:jc w:val="both"/>
              <w:rPr>
                <w:rFonts w:hint="eastAsia" w:ascii="宋体" w:hAnsi="宋体" w:eastAsia="宋体" w:cs="宋体"/>
                <w:color w:val="auto"/>
                <w:sz w:val="24"/>
                <w:szCs w:val="24"/>
                <w:shd w:val="clear" w:color="auto" w:fill="FFFFFF"/>
              </w:rPr>
            </w:pPr>
            <w:r>
              <w:rPr>
                <w:rFonts w:hint="eastAsia" w:ascii="宋体" w:hAnsi="宋体" w:eastAsia="宋体" w:cs="宋体"/>
                <w:color w:val="auto"/>
                <w:sz w:val="24"/>
                <w:szCs w:val="24"/>
                <w:shd w:val="clear" w:color="auto" w:fill="FFFFFF"/>
              </w:rPr>
              <w:t>h) 整机内部走线应规整，固线结构和位置要合理可靠并做防割线处理，需便于理线和插拔操作，走线应不影响系统各主要部件组装和拆卸；</w:t>
            </w:r>
          </w:p>
          <w:p w14:paraId="58686123">
            <w:pPr>
              <w:pStyle w:val="11"/>
              <w:spacing w:line="360" w:lineRule="auto"/>
              <w:jc w:val="both"/>
              <w:rPr>
                <w:rFonts w:hint="eastAsia" w:ascii="宋体" w:hAnsi="宋体" w:eastAsia="宋体" w:cs="宋体"/>
                <w:color w:val="auto"/>
                <w:sz w:val="24"/>
                <w:szCs w:val="24"/>
                <w:shd w:val="clear" w:color="auto" w:fill="FFFFFF"/>
              </w:rPr>
            </w:pPr>
            <w:r>
              <w:rPr>
                <w:rFonts w:hint="eastAsia" w:ascii="宋体" w:hAnsi="宋体" w:eastAsia="宋体" w:cs="宋体"/>
                <w:color w:val="auto"/>
                <w:sz w:val="24"/>
                <w:szCs w:val="24"/>
                <w:shd w:val="clear" w:color="auto" w:fill="FFFFFF"/>
              </w:rPr>
              <w:t>i) 如需通过孔走线，过线孔应做防割线处理；</w:t>
            </w:r>
          </w:p>
          <w:p w14:paraId="53FF89B1">
            <w:pPr>
              <w:pStyle w:val="11"/>
              <w:spacing w:line="360" w:lineRule="auto"/>
              <w:jc w:val="both"/>
              <w:rPr>
                <w:rFonts w:hint="eastAsia" w:ascii="宋体" w:hAnsi="宋体" w:eastAsia="宋体" w:cs="宋体"/>
                <w:color w:val="auto"/>
                <w:sz w:val="24"/>
                <w:szCs w:val="24"/>
                <w:shd w:val="clear" w:color="auto" w:fill="FFFFFF"/>
              </w:rPr>
            </w:pPr>
            <w:r>
              <w:rPr>
                <w:rFonts w:hint="eastAsia" w:ascii="宋体" w:hAnsi="宋体" w:eastAsia="宋体" w:cs="宋体"/>
                <w:color w:val="auto"/>
                <w:sz w:val="24"/>
                <w:szCs w:val="24"/>
                <w:shd w:val="clear" w:color="auto" w:fill="FFFFFF"/>
              </w:rPr>
              <w:t>j) 各插头位置和插拔方向应合理，应做到插拔无障碍设计，具备防呆设计，</w:t>
            </w:r>
            <w:r>
              <w:rPr>
                <w:rFonts w:hint="eastAsia" w:ascii="宋体" w:hAnsi="宋体" w:eastAsia="宋体" w:cs="宋体"/>
                <w:color w:val="auto"/>
                <w:sz w:val="24"/>
                <w:szCs w:val="24"/>
                <w:shd w:val="clear" w:color="auto" w:fill="FFFFFF"/>
                <w:lang w:val="en-US" w:eastAsia="zh-CN"/>
              </w:rPr>
              <w:t>能</w:t>
            </w:r>
            <w:r>
              <w:rPr>
                <w:rFonts w:hint="eastAsia" w:ascii="宋体" w:hAnsi="宋体" w:eastAsia="宋体" w:cs="宋体"/>
                <w:color w:val="auto"/>
                <w:sz w:val="24"/>
                <w:szCs w:val="24"/>
                <w:shd w:val="clear" w:color="auto" w:fill="FFFFFF"/>
              </w:rPr>
              <w:t>有效避免误操作；</w:t>
            </w:r>
          </w:p>
          <w:p w14:paraId="3E836D01">
            <w:pPr>
              <w:pStyle w:val="11"/>
              <w:spacing w:line="360" w:lineRule="auto"/>
              <w:jc w:val="both"/>
              <w:rPr>
                <w:rFonts w:hint="eastAsia" w:ascii="宋体" w:hAnsi="宋体" w:eastAsia="宋体" w:cs="宋体"/>
                <w:color w:val="auto"/>
                <w:sz w:val="24"/>
                <w:szCs w:val="24"/>
                <w:shd w:val="clear" w:color="auto" w:fill="FFFFFF"/>
              </w:rPr>
            </w:pPr>
            <w:r>
              <w:rPr>
                <w:rFonts w:hint="eastAsia" w:ascii="宋体" w:hAnsi="宋体" w:eastAsia="宋体" w:cs="宋体"/>
                <w:color w:val="auto"/>
                <w:sz w:val="24"/>
                <w:szCs w:val="24"/>
                <w:shd w:val="clear" w:color="auto" w:fill="FFFFFF"/>
              </w:rPr>
              <w:t>k) 各主要部件拆装无障碍，使用常规工具拆装， 无特殊拆装工具需求；</w:t>
            </w:r>
          </w:p>
          <w:p w14:paraId="67C2646A">
            <w:pPr>
              <w:pStyle w:val="11"/>
              <w:spacing w:line="360" w:lineRule="auto"/>
              <w:jc w:val="both"/>
              <w:rPr>
                <w:rFonts w:hint="eastAsia" w:ascii="宋体" w:hAnsi="宋体" w:eastAsia="宋体" w:cs="宋体"/>
                <w:color w:val="auto"/>
                <w:sz w:val="24"/>
                <w:szCs w:val="24"/>
                <w:shd w:val="clear" w:color="auto" w:fill="FFFFFF"/>
              </w:rPr>
            </w:pPr>
            <w:r>
              <w:rPr>
                <w:rFonts w:hint="eastAsia" w:ascii="宋体" w:hAnsi="宋体" w:eastAsia="宋体" w:cs="宋体"/>
                <w:color w:val="auto"/>
                <w:sz w:val="24"/>
                <w:szCs w:val="24"/>
                <w:shd w:val="clear" w:color="auto" w:fill="FFFFFF"/>
              </w:rPr>
              <w:t>l) 各主要部件拆装步骤要少，各自拆装需避免相互干扰；</w:t>
            </w:r>
          </w:p>
          <w:p w14:paraId="239B9A46">
            <w:pPr>
              <w:pStyle w:val="11"/>
              <w:spacing w:line="360" w:lineRule="auto"/>
              <w:jc w:val="both"/>
              <w:rPr>
                <w:rFonts w:hint="eastAsia" w:ascii="宋体" w:hAnsi="宋体" w:eastAsia="宋体" w:cs="宋体"/>
                <w:color w:val="auto"/>
                <w:sz w:val="24"/>
                <w:szCs w:val="24"/>
                <w:shd w:val="clear" w:color="auto" w:fill="FFFFFF"/>
              </w:rPr>
            </w:pPr>
            <w:r>
              <w:rPr>
                <w:rFonts w:hint="eastAsia" w:ascii="宋体" w:hAnsi="宋体" w:eastAsia="宋体" w:cs="宋体"/>
                <w:color w:val="auto"/>
                <w:sz w:val="24"/>
                <w:szCs w:val="24"/>
                <w:shd w:val="clear" w:color="auto" w:fill="FFFFFF"/>
              </w:rPr>
              <w:t>m) 对于整机或零部件外表面为高亮面的， 应粘贴保护膜，保护膜需粘贴牢固，运输、组装等过程不易脱落，撕下无残留；</w:t>
            </w:r>
          </w:p>
          <w:p w14:paraId="4C1F92D7">
            <w:pPr>
              <w:pStyle w:val="11"/>
              <w:spacing w:line="360" w:lineRule="auto"/>
              <w:jc w:val="both"/>
              <w:rPr>
                <w:rFonts w:hint="eastAsia" w:ascii="宋体" w:hAnsi="宋体" w:eastAsia="宋体" w:cs="宋体"/>
                <w:color w:val="auto"/>
                <w:sz w:val="24"/>
                <w:szCs w:val="24"/>
                <w:shd w:val="clear" w:color="auto" w:fill="FFFFFF"/>
              </w:rPr>
            </w:pPr>
            <w:r>
              <w:rPr>
                <w:rFonts w:hint="eastAsia" w:ascii="宋体" w:hAnsi="宋体" w:eastAsia="宋体" w:cs="宋体"/>
                <w:color w:val="auto"/>
                <w:sz w:val="24"/>
                <w:szCs w:val="24"/>
                <w:shd w:val="clear" w:color="auto" w:fill="FFFFFF"/>
              </w:rPr>
              <w:t>30、操作系统备份及还原功能：支持同品牌硬盘同传还原功能、具有多机房跨网段统一平台管理，远程查看设备运行状态，支持同一分区镜像供多个系统使用。</w:t>
            </w:r>
          </w:p>
          <w:p w14:paraId="6912BBDC">
            <w:pPr>
              <w:pStyle w:val="11"/>
              <w:spacing w:line="360" w:lineRule="auto"/>
              <w:jc w:val="both"/>
              <w:rPr>
                <w:rFonts w:hint="eastAsia" w:ascii="宋体" w:hAnsi="宋体" w:eastAsia="宋体" w:cs="宋体"/>
                <w:color w:val="auto"/>
                <w:sz w:val="24"/>
                <w:szCs w:val="24"/>
                <w:shd w:val="clear" w:color="auto" w:fill="FFFFFF"/>
              </w:rPr>
            </w:pPr>
            <w:r>
              <w:rPr>
                <w:rFonts w:hint="eastAsia" w:ascii="宋体" w:hAnsi="宋体" w:eastAsia="宋体" w:cs="宋体"/>
                <w:color w:val="auto"/>
                <w:sz w:val="24"/>
                <w:szCs w:val="24"/>
                <w:shd w:val="clear" w:color="auto" w:fill="FFFFFF"/>
              </w:rPr>
              <w:t>31、预装操作系统：出厂预装正版操作系统。</w:t>
            </w:r>
          </w:p>
          <w:p w14:paraId="3C47CD16">
            <w:pPr>
              <w:pStyle w:val="11"/>
              <w:spacing w:line="360" w:lineRule="auto"/>
              <w:jc w:val="both"/>
              <w:rPr>
                <w:rFonts w:hint="eastAsia" w:ascii="宋体" w:hAnsi="宋体" w:eastAsia="宋体" w:cs="宋体"/>
                <w:color w:val="auto"/>
                <w:sz w:val="24"/>
                <w:szCs w:val="24"/>
                <w:shd w:val="clear" w:color="auto" w:fill="FFFFFF"/>
              </w:rPr>
            </w:pPr>
            <w:r>
              <w:rPr>
                <w:rFonts w:hint="eastAsia" w:ascii="宋体" w:hAnsi="宋体" w:eastAsia="宋体" w:cs="宋体"/>
                <w:color w:val="auto"/>
                <w:sz w:val="24"/>
                <w:szCs w:val="24"/>
                <w:shd w:val="clear" w:color="auto" w:fill="FFFFFF"/>
              </w:rPr>
              <w:t>32、整机质量服务要求：所投设备原厂原装、非拆改配产品，主机及显示器原厂提供三年及以上免费保修及上门服务（含换件和维修）。</w:t>
            </w:r>
          </w:p>
          <w:p w14:paraId="26F626CB">
            <w:pPr>
              <w:pStyle w:val="11"/>
              <w:spacing w:line="360" w:lineRule="auto"/>
              <w:jc w:val="both"/>
              <w:rPr>
                <w:rFonts w:hint="eastAsia" w:ascii="宋体" w:hAnsi="宋体" w:eastAsia="宋体" w:cs="宋体"/>
                <w:color w:val="auto"/>
                <w:sz w:val="24"/>
                <w:szCs w:val="24"/>
                <w:shd w:val="clear" w:color="auto" w:fill="FFFFFF"/>
              </w:rPr>
            </w:pPr>
            <w:r>
              <w:rPr>
                <w:rFonts w:hint="eastAsia" w:ascii="宋体" w:hAnsi="宋体" w:eastAsia="宋体" w:cs="宋体"/>
                <w:color w:val="auto"/>
                <w:sz w:val="24"/>
                <w:szCs w:val="24"/>
                <w:shd w:val="clear" w:color="auto" w:fill="FFFFFF"/>
              </w:rPr>
              <w:t>3</w:t>
            </w:r>
            <w:r>
              <w:rPr>
                <w:rFonts w:hint="eastAsia" w:ascii="宋体" w:hAnsi="宋体" w:eastAsia="宋体" w:cs="宋体"/>
                <w:color w:val="auto"/>
                <w:sz w:val="24"/>
                <w:szCs w:val="24"/>
                <w:shd w:val="clear" w:color="auto" w:fill="FFFFFF"/>
                <w:lang w:val="en-US" w:eastAsia="zh-CN"/>
              </w:rPr>
              <w:t>3</w:t>
            </w:r>
            <w:r>
              <w:rPr>
                <w:rFonts w:hint="eastAsia" w:ascii="宋体" w:hAnsi="宋体" w:eastAsia="宋体" w:cs="宋体"/>
                <w:color w:val="auto"/>
                <w:sz w:val="24"/>
                <w:szCs w:val="24"/>
                <w:shd w:val="clear" w:color="auto" w:fill="FFFFFF"/>
              </w:rPr>
              <w:t>、产品部件保障：供应商须保障产品主要部件，提供 6 年的原厂上门保修服务（自购买之日起），或提供可兼容原设备的升级换代产品。</w:t>
            </w:r>
          </w:p>
          <w:p w14:paraId="059CB68B">
            <w:pPr>
              <w:pStyle w:val="11"/>
              <w:spacing w:line="360" w:lineRule="auto"/>
              <w:jc w:val="both"/>
              <w:rPr>
                <w:rFonts w:hint="eastAsia" w:ascii="宋体" w:hAnsi="宋体" w:eastAsia="宋体" w:cs="宋体"/>
                <w:color w:val="auto"/>
                <w:sz w:val="24"/>
                <w:szCs w:val="24"/>
                <w:shd w:val="clear" w:color="auto" w:fill="FFFFFF"/>
              </w:rPr>
            </w:pPr>
            <w:r>
              <w:rPr>
                <w:rFonts w:hint="eastAsia" w:ascii="宋体" w:hAnsi="宋体" w:eastAsia="宋体" w:cs="宋体"/>
                <w:color w:val="auto"/>
                <w:sz w:val="24"/>
                <w:szCs w:val="24"/>
                <w:shd w:val="clear" w:color="auto" w:fill="FFFFFF"/>
              </w:rPr>
              <w:t>3</w:t>
            </w:r>
            <w:r>
              <w:rPr>
                <w:rFonts w:hint="eastAsia" w:ascii="宋体" w:hAnsi="宋体" w:eastAsia="宋体" w:cs="宋体"/>
                <w:color w:val="auto"/>
                <w:sz w:val="24"/>
                <w:szCs w:val="24"/>
                <w:shd w:val="clear" w:color="auto" w:fill="FFFFFF"/>
                <w:lang w:val="en-US" w:eastAsia="zh-CN"/>
              </w:rPr>
              <w:t>4</w:t>
            </w:r>
            <w:r>
              <w:rPr>
                <w:rFonts w:hint="eastAsia" w:ascii="宋体" w:hAnsi="宋体" w:eastAsia="宋体" w:cs="宋体"/>
                <w:color w:val="auto"/>
                <w:sz w:val="24"/>
                <w:szCs w:val="24"/>
                <w:shd w:val="clear" w:color="auto" w:fill="FFFFFF"/>
              </w:rPr>
              <w:t>、兼容适配软件下载服务要求：供应商提供兼容适配软件下载渠道</w:t>
            </w:r>
            <w:r>
              <w:rPr>
                <w:rFonts w:hint="eastAsia" w:ascii="宋体" w:hAnsi="宋体" w:eastAsia="宋体" w:cs="宋体"/>
                <w:color w:val="auto"/>
                <w:sz w:val="24"/>
                <w:szCs w:val="24"/>
                <w:shd w:val="clear" w:color="auto" w:fill="FFFFFF"/>
                <w:lang w:eastAsia="zh-CN"/>
              </w:rPr>
              <w:t>，</w:t>
            </w:r>
            <w:r>
              <w:rPr>
                <w:rFonts w:hint="eastAsia" w:ascii="宋体" w:hAnsi="宋体" w:eastAsia="宋体" w:cs="宋体"/>
                <w:color w:val="auto"/>
                <w:sz w:val="24"/>
                <w:szCs w:val="24"/>
                <w:shd w:val="clear" w:color="auto" w:fill="FFFFFF"/>
              </w:rPr>
              <w:t>提供中文版优化软件可一键将计算机的显卡、网卡、电源等部件设置为高性能状态（光盘或网站）。</w:t>
            </w:r>
          </w:p>
          <w:p w14:paraId="363E349B">
            <w:pPr>
              <w:pStyle w:val="11"/>
              <w:spacing w:line="360" w:lineRule="auto"/>
              <w:jc w:val="both"/>
              <w:rPr>
                <w:rFonts w:hint="eastAsia" w:ascii="宋体" w:hAnsi="宋体" w:eastAsia="宋体" w:cs="宋体"/>
                <w:color w:val="auto"/>
                <w:sz w:val="24"/>
                <w:szCs w:val="24"/>
                <w:shd w:val="clear" w:color="auto" w:fill="FFFFFF"/>
              </w:rPr>
            </w:pPr>
            <w:r>
              <w:rPr>
                <w:rFonts w:hint="eastAsia" w:ascii="宋体" w:hAnsi="宋体" w:eastAsia="宋体" w:cs="宋体"/>
                <w:color w:val="auto"/>
                <w:sz w:val="24"/>
                <w:szCs w:val="24"/>
                <w:shd w:val="clear" w:color="auto" w:fill="FFFFFF"/>
              </w:rPr>
              <w:t>35、供应能力证明：</w:t>
            </w:r>
            <w:r>
              <w:rPr>
                <w:rFonts w:hint="eastAsia" w:ascii="宋体" w:hAnsi="宋体" w:eastAsia="宋体" w:cs="宋体"/>
                <w:b/>
                <w:bCs/>
                <w:color w:val="auto"/>
                <w:sz w:val="24"/>
                <w:szCs w:val="24"/>
                <w:shd w:val="clear" w:color="auto" w:fill="FFFFFF"/>
              </w:rPr>
              <w:t>供应商提供加盖供应商</w:t>
            </w:r>
            <w:r>
              <w:rPr>
                <w:rFonts w:hint="eastAsia" w:ascii="宋体" w:hAnsi="宋体" w:eastAsia="宋体" w:cs="宋体"/>
                <w:b/>
                <w:bCs/>
                <w:color w:val="auto"/>
                <w:sz w:val="24"/>
                <w:szCs w:val="24"/>
                <w:highlight w:val="none"/>
                <w:shd w:val="clear" w:color="auto" w:fill="FFFFFF"/>
              </w:rPr>
              <w:t>鲜</w:t>
            </w:r>
            <w:r>
              <w:rPr>
                <w:rFonts w:hint="eastAsia" w:ascii="宋体" w:hAnsi="宋体" w:eastAsia="宋体" w:cs="宋体"/>
                <w:b/>
                <w:bCs/>
                <w:color w:val="auto"/>
                <w:sz w:val="24"/>
                <w:szCs w:val="24"/>
                <w:shd w:val="clear" w:color="auto" w:fill="FFFFFF"/>
              </w:rPr>
              <w:t>章的供应链稳定承诺书，确保产品的部件在产品服务周期内稳定供货。</w:t>
            </w:r>
            <w:r>
              <w:rPr>
                <w:rFonts w:hint="eastAsia" w:ascii="宋体" w:hAnsi="宋体" w:eastAsia="宋体" w:cs="宋体"/>
                <w:b/>
                <w:bCs/>
                <w:color w:val="auto"/>
                <w:kern w:val="2"/>
                <w:sz w:val="24"/>
                <w:szCs w:val="24"/>
                <w:u w:val="single"/>
                <w:lang w:val="en-US" w:eastAsia="zh-CN" w:bidi="ar-SA"/>
              </w:rPr>
              <w:t>响应文件中须提供此承诺函（承诺书格式自拟），否则视为无效响应。</w:t>
            </w:r>
          </w:p>
          <w:p w14:paraId="0E736D69">
            <w:pPr>
              <w:pStyle w:val="11"/>
              <w:spacing w:line="360" w:lineRule="auto"/>
              <w:jc w:val="both"/>
              <w:rPr>
                <w:rFonts w:hint="eastAsia" w:ascii="宋体" w:hAnsi="宋体" w:eastAsia="宋体" w:cs="宋体"/>
                <w:color w:val="auto"/>
                <w:sz w:val="24"/>
                <w:szCs w:val="24"/>
                <w:shd w:val="clear" w:color="auto" w:fill="FFFFFF"/>
              </w:rPr>
            </w:pPr>
            <w:r>
              <w:rPr>
                <w:rFonts w:hint="eastAsia" w:ascii="宋体" w:hAnsi="宋体" w:eastAsia="宋体" w:cs="宋体"/>
                <w:color w:val="auto"/>
                <w:sz w:val="24"/>
                <w:szCs w:val="24"/>
                <w:shd w:val="clear" w:color="auto" w:fill="FFFFFF"/>
              </w:rPr>
              <w:t>36、其他未列明参数必须完全响应或优于“财政部工业和信息化部关于印发《台式计算机政府采购需求标准(2023年版)》的通知（财库〔2023〕29号）”文件要求。</w:t>
            </w:r>
          </w:p>
          <w:p w14:paraId="3AF107EB">
            <w:pPr>
              <w:pStyle w:val="11"/>
              <w:spacing w:line="360" w:lineRule="auto"/>
              <w:jc w:val="both"/>
              <w:rPr>
                <w:rFonts w:hint="eastAsia" w:ascii="宋体" w:hAnsi="宋体" w:eastAsia="宋体" w:cs="宋体"/>
                <w:color w:val="auto"/>
                <w:sz w:val="24"/>
                <w:szCs w:val="24"/>
                <w:shd w:val="clear" w:color="auto" w:fill="FFFFFF"/>
              </w:rPr>
            </w:pPr>
            <w:r>
              <w:rPr>
                <w:rFonts w:hint="eastAsia" w:ascii="仿宋" w:hAnsi="仿宋" w:eastAsia="仿宋" w:cs="仿宋"/>
                <w:b/>
                <w:bCs/>
                <w:color w:val="FF0000"/>
                <w:sz w:val="24"/>
                <w:szCs w:val="24"/>
                <w:shd w:val="clear" w:color="auto" w:fill="FFFFFF"/>
                <w:lang w:val="en-US" w:eastAsia="zh-CN"/>
              </w:rPr>
              <w:t>37、为保证产品使用效果，供应商须在响应文件中提供产品的参数确认函（包括以上36点全部参数）。</w:t>
            </w:r>
          </w:p>
        </w:tc>
      </w:tr>
      <w:tr w14:paraId="4A2FC420">
        <w:tblPrEx>
          <w:tblCellMar>
            <w:top w:w="0" w:type="dxa"/>
            <w:left w:w="0" w:type="dxa"/>
            <w:bottom w:w="0" w:type="dxa"/>
            <w:right w:w="0" w:type="dxa"/>
          </w:tblCellMar>
        </w:tblPrEx>
        <w:trPr>
          <w:trHeight w:val="965" w:hRule="atLeast"/>
          <w:jc w:val="center"/>
        </w:trPr>
        <w:tc>
          <w:tcPr>
            <w:tcW w:w="408" w:type="pct"/>
            <w:tcBorders>
              <w:top w:val="single" w:color="000000" w:sz="4" w:space="0"/>
              <w:left w:val="single" w:color="000000" w:sz="4" w:space="0"/>
              <w:bottom w:val="single" w:color="000000" w:sz="4" w:space="0"/>
              <w:right w:val="single" w:color="000000" w:sz="4" w:space="0"/>
            </w:tcBorders>
            <w:noWrap w:val="0"/>
            <w:vAlign w:val="center"/>
          </w:tcPr>
          <w:p w14:paraId="680862B9">
            <w:pPr>
              <w:spacing w:line="360" w:lineRule="auto"/>
              <w:jc w:val="center"/>
              <w:rPr>
                <w:rFonts w:hint="eastAsia" w:ascii="宋体" w:hAnsi="宋体" w:eastAsia="宋体" w:cs="宋体"/>
                <w:color w:val="auto"/>
                <w:sz w:val="24"/>
                <w:szCs w:val="24"/>
              </w:rPr>
            </w:pPr>
            <w:r>
              <w:rPr>
                <w:rFonts w:hint="eastAsia" w:ascii="宋体" w:hAnsi="宋体" w:eastAsia="宋体" w:cs="宋体"/>
                <w:color w:val="auto"/>
                <w:sz w:val="24"/>
                <w:szCs w:val="24"/>
              </w:rPr>
              <w:t>4</w:t>
            </w:r>
          </w:p>
        </w:tc>
        <w:tc>
          <w:tcPr>
            <w:tcW w:w="535" w:type="pct"/>
            <w:tcBorders>
              <w:top w:val="single" w:color="000000" w:sz="4" w:space="0"/>
              <w:left w:val="single" w:color="000000" w:sz="4" w:space="0"/>
              <w:bottom w:val="single" w:color="000000" w:sz="4" w:space="0"/>
              <w:right w:val="single" w:color="000000" w:sz="4" w:space="0"/>
            </w:tcBorders>
            <w:noWrap w:val="0"/>
            <w:vAlign w:val="center"/>
          </w:tcPr>
          <w:p w14:paraId="1E05FF59">
            <w:pPr>
              <w:spacing w:line="360" w:lineRule="auto"/>
              <w:jc w:val="center"/>
              <w:rPr>
                <w:rFonts w:hint="eastAsia" w:ascii="宋体" w:hAnsi="宋体" w:eastAsia="宋体" w:cs="宋体"/>
                <w:color w:val="auto"/>
                <w:sz w:val="24"/>
                <w:szCs w:val="24"/>
                <w:highlight w:val="yellow"/>
              </w:rPr>
            </w:pPr>
            <w:r>
              <w:rPr>
                <w:rFonts w:hint="eastAsia" w:ascii="宋体" w:hAnsi="宋体" w:eastAsia="宋体" w:cs="宋体"/>
                <w:color w:val="auto"/>
                <w:sz w:val="24"/>
                <w:szCs w:val="24"/>
              </w:rPr>
              <w:t>教学管理软件</w:t>
            </w:r>
          </w:p>
        </w:tc>
        <w:tc>
          <w:tcPr>
            <w:tcW w:w="4055" w:type="pct"/>
            <w:tcBorders>
              <w:top w:val="single" w:color="000000" w:sz="4" w:space="0"/>
              <w:left w:val="single" w:color="000000" w:sz="4" w:space="0"/>
              <w:bottom w:val="single" w:color="000000" w:sz="4" w:space="0"/>
              <w:right w:val="single" w:color="000000" w:sz="4" w:space="0"/>
            </w:tcBorders>
            <w:noWrap w:val="0"/>
            <w:vAlign w:val="center"/>
          </w:tcPr>
          <w:p w14:paraId="7DA72512">
            <w:pPr>
              <w:pStyle w:val="11"/>
              <w:spacing w:line="460" w:lineRule="exact"/>
              <w:jc w:val="both"/>
              <w:rPr>
                <w:rFonts w:hint="eastAsia" w:ascii="宋体" w:hAnsi="宋体" w:eastAsia="宋体" w:cs="宋体"/>
                <w:color w:val="auto"/>
                <w:sz w:val="24"/>
                <w:szCs w:val="24"/>
                <w:shd w:val="clear" w:color="auto" w:fill="FFFFFF"/>
              </w:rPr>
            </w:pPr>
            <w:r>
              <w:rPr>
                <w:rFonts w:hint="eastAsia" w:ascii="宋体" w:hAnsi="宋体" w:eastAsia="宋体" w:cs="宋体"/>
                <w:color w:val="auto"/>
                <w:sz w:val="24"/>
                <w:szCs w:val="24"/>
                <w:shd w:val="clear" w:color="auto" w:fill="FFFFFF"/>
              </w:rPr>
              <w:t>1.整体要求为：X86架构，分布式，可快速实现云终端的操作系统虚拟及应用环境虚拟。整体集中控制、集中管理、快速高效、安全可靠。</w:t>
            </w:r>
          </w:p>
          <w:p w14:paraId="7A242063">
            <w:pPr>
              <w:pStyle w:val="11"/>
              <w:spacing w:line="460" w:lineRule="exact"/>
              <w:jc w:val="both"/>
              <w:rPr>
                <w:rFonts w:hint="eastAsia" w:ascii="宋体" w:hAnsi="宋体" w:eastAsia="宋体" w:cs="宋体"/>
                <w:color w:val="auto"/>
                <w:sz w:val="24"/>
                <w:szCs w:val="24"/>
                <w:shd w:val="clear" w:color="auto" w:fill="FFFFFF"/>
              </w:rPr>
            </w:pPr>
            <w:r>
              <w:rPr>
                <w:rFonts w:hint="eastAsia" w:ascii="宋体" w:hAnsi="宋体" w:eastAsia="宋体" w:cs="宋体"/>
                <w:color w:val="auto"/>
                <w:sz w:val="24"/>
                <w:szCs w:val="24"/>
                <w:shd w:val="clear" w:color="auto" w:fill="FFFFFF"/>
              </w:rPr>
              <w:t>2.云桌面管理平台需是B/S和C/S双架构，桌面更新模式需具备自动更新和手动更新两种。</w:t>
            </w:r>
          </w:p>
          <w:p w14:paraId="75F9ACBD">
            <w:pPr>
              <w:pStyle w:val="11"/>
              <w:spacing w:line="460" w:lineRule="exact"/>
              <w:jc w:val="both"/>
              <w:rPr>
                <w:rFonts w:hint="eastAsia" w:ascii="宋体" w:hAnsi="宋体" w:eastAsia="宋体" w:cs="宋体"/>
                <w:color w:val="auto"/>
                <w:sz w:val="24"/>
                <w:szCs w:val="24"/>
                <w:shd w:val="clear" w:color="auto" w:fill="FFFFFF"/>
              </w:rPr>
            </w:pPr>
            <w:r>
              <w:rPr>
                <w:rFonts w:hint="eastAsia" w:ascii="宋体" w:hAnsi="宋体" w:eastAsia="宋体" w:cs="宋体"/>
                <w:color w:val="auto"/>
                <w:sz w:val="24"/>
                <w:szCs w:val="24"/>
                <w:shd w:val="clear" w:color="auto" w:fill="FFFFFF"/>
              </w:rPr>
              <w:t>3.云桌面管理平台需具备BT服务端设置和BT客户端设置功能，避免影响当前业务使用。</w:t>
            </w:r>
          </w:p>
          <w:p w14:paraId="3D0ACE62">
            <w:pPr>
              <w:pStyle w:val="11"/>
              <w:spacing w:line="460" w:lineRule="exact"/>
              <w:jc w:val="both"/>
              <w:rPr>
                <w:rFonts w:hint="eastAsia" w:ascii="宋体" w:hAnsi="宋体" w:eastAsia="宋体" w:cs="宋体"/>
                <w:color w:val="auto"/>
                <w:sz w:val="24"/>
                <w:szCs w:val="24"/>
                <w:shd w:val="clear" w:color="auto" w:fill="FFFFFF"/>
              </w:rPr>
            </w:pPr>
            <w:r>
              <w:rPr>
                <w:rFonts w:hint="eastAsia" w:ascii="宋体" w:hAnsi="宋体" w:eastAsia="宋体" w:cs="宋体"/>
                <w:color w:val="auto"/>
                <w:sz w:val="24"/>
                <w:szCs w:val="24"/>
                <w:shd w:val="clear" w:color="auto" w:fill="FFFFFF"/>
              </w:rPr>
              <w:t>4.WEB管理界面可管控云终端状态：在线时长、IP地址、MAC地址、机器名、网关，并能进行增、改、删等操作。</w:t>
            </w:r>
          </w:p>
          <w:p w14:paraId="0F77341B">
            <w:pPr>
              <w:pStyle w:val="11"/>
              <w:spacing w:line="460" w:lineRule="exact"/>
              <w:jc w:val="both"/>
              <w:rPr>
                <w:rFonts w:hint="eastAsia" w:ascii="宋体" w:hAnsi="宋体" w:eastAsia="宋体" w:cs="宋体"/>
                <w:color w:val="auto"/>
                <w:sz w:val="24"/>
                <w:szCs w:val="24"/>
                <w:shd w:val="clear" w:color="auto" w:fill="FFFFFF"/>
              </w:rPr>
            </w:pPr>
            <w:r>
              <w:rPr>
                <w:rFonts w:hint="eastAsia" w:ascii="宋体" w:hAnsi="宋体" w:eastAsia="宋体" w:cs="宋体"/>
                <w:color w:val="auto"/>
                <w:sz w:val="24"/>
                <w:szCs w:val="24"/>
                <w:shd w:val="clear" w:color="auto" w:fill="FFFFFF"/>
              </w:rPr>
              <w:t>5.可管控云终端信息：主板、CPU、内存、硬盘、显卡等资产配置及变更信息，同时可监控CPU、硬盘温度。</w:t>
            </w:r>
          </w:p>
          <w:p w14:paraId="71EB91E2">
            <w:pPr>
              <w:pStyle w:val="11"/>
              <w:spacing w:line="460" w:lineRule="exact"/>
              <w:jc w:val="both"/>
              <w:rPr>
                <w:rFonts w:hint="eastAsia" w:ascii="宋体" w:hAnsi="宋体" w:eastAsia="宋体" w:cs="宋体"/>
                <w:color w:val="auto"/>
                <w:sz w:val="24"/>
                <w:szCs w:val="24"/>
                <w:shd w:val="clear" w:color="auto" w:fill="FFFFFF"/>
              </w:rPr>
            </w:pPr>
            <w:r>
              <w:rPr>
                <w:rFonts w:hint="eastAsia" w:ascii="宋体" w:hAnsi="宋体" w:eastAsia="宋体" w:cs="宋体"/>
                <w:color w:val="auto"/>
                <w:sz w:val="24"/>
                <w:szCs w:val="24"/>
                <w:shd w:val="clear" w:color="auto" w:fill="FFFFFF"/>
              </w:rPr>
              <w:t>6.可实现云终端自主快速恢复和还原，需1分钟内将系统回溯到健康状态。可分配个人数据盘并设定重启是否还原。</w:t>
            </w:r>
          </w:p>
          <w:p w14:paraId="68AC4506">
            <w:pPr>
              <w:pStyle w:val="11"/>
              <w:spacing w:line="460" w:lineRule="exact"/>
              <w:jc w:val="both"/>
              <w:rPr>
                <w:rFonts w:hint="eastAsia" w:ascii="宋体" w:hAnsi="宋体" w:eastAsia="宋体" w:cs="宋体"/>
                <w:color w:val="auto"/>
                <w:sz w:val="24"/>
                <w:szCs w:val="24"/>
                <w:shd w:val="clear" w:color="auto" w:fill="FFFFFF"/>
              </w:rPr>
            </w:pPr>
            <w:r>
              <w:rPr>
                <w:rFonts w:hint="eastAsia" w:ascii="宋体" w:hAnsi="宋体" w:eastAsia="宋体" w:cs="宋体"/>
                <w:color w:val="auto"/>
                <w:sz w:val="24"/>
                <w:szCs w:val="24"/>
                <w:shd w:val="clear" w:color="auto" w:fill="FFFFFF"/>
              </w:rPr>
              <w:t>7.所有计算、显示等处理均利用云终端本地硬件资源（内存、CPU、显卡等）。能够流畅运行视频制作、图像处理、高清视频播放等大型应用。</w:t>
            </w:r>
          </w:p>
          <w:p w14:paraId="7B164416">
            <w:pPr>
              <w:pStyle w:val="11"/>
              <w:spacing w:line="460" w:lineRule="exact"/>
              <w:jc w:val="both"/>
              <w:rPr>
                <w:rFonts w:hint="eastAsia" w:ascii="宋体" w:hAnsi="宋体" w:eastAsia="宋体" w:cs="宋体"/>
                <w:color w:val="auto"/>
                <w:sz w:val="24"/>
                <w:szCs w:val="24"/>
                <w:shd w:val="clear" w:color="auto" w:fill="FFFFFF"/>
              </w:rPr>
            </w:pPr>
            <w:r>
              <w:rPr>
                <w:rFonts w:hint="eastAsia" w:ascii="宋体" w:hAnsi="宋体" w:eastAsia="宋体" w:cs="宋体"/>
                <w:color w:val="auto"/>
                <w:sz w:val="24"/>
                <w:szCs w:val="24"/>
                <w:shd w:val="clear" w:color="auto" w:fill="FFFFFF"/>
              </w:rPr>
              <w:t>8.可实现云终端远程开机、重启、关机及发送消息，可自定义编写、保存、下发各种系统命令至云终端执行。</w:t>
            </w:r>
          </w:p>
          <w:p w14:paraId="59CFADE0">
            <w:pPr>
              <w:pStyle w:val="11"/>
              <w:spacing w:line="460" w:lineRule="exact"/>
              <w:jc w:val="both"/>
              <w:rPr>
                <w:rFonts w:hint="eastAsia" w:ascii="宋体" w:hAnsi="宋体" w:eastAsia="宋体" w:cs="宋体"/>
                <w:color w:val="auto"/>
                <w:sz w:val="24"/>
                <w:szCs w:val="24"/>
                <w:shd w:val="clear" w:color="auto" w:fill="FFFFFF"/>
              </w:rPr>
            </w:pPr>
            <w:r>
              <w:rPr>
                <w:rFonts w:hint="eastAsia" w:ascii="宋体" w:hAnsi="宋体" w:eastAsia="宋体" w:cs="宋体"/>
                <w:color w:val="auto"/>
                <w:sz w:val="24"/>
                <w:szCs w:val="24"/>
                <w:shd w:val="clear" w:color="auto" w:fill="FFFFFF"/>
              </w:rPr>
              <w:t>9.支持.vhd虚拟盘格式，保证系统兼容性(Win7，win10)。</w:t>
            </w:r>
          </w:p>
          <w:p w14:paraId="292AD517">
            <w:pPr>
              <w:pStyle w:val="11"/>
              <w:spacing w:line="460" w:lineRule="exact"/>
              <w:jc w:val="both"/>
              <w:rPr>
                <w:rFonts w:hint="eastAsia" w:ascii="宋体" w:hAnsi="宋体" w:eastAsia="宋体" w:cs="宋体"/>
                <w:color w:val="auto"/>
                <w:sz w:val="24"/>
                <w:szCs w:val="24"/>
                <w:shd w:val="clear" w:color="auto" w:fill="FFFFFF"/>
              </w:rPr>
            </w:pPr>
            <w:r>
              <w:rPr>
                <w:rFonts w:hint="eastAsia" w:ascii="宋体" w:hAnsi="宋体" w:eastAsia="宋体" w:cs="宋体"/>
                <w:color w:val="auto"/>
                <w:sz w:val="24"/>
                <w:szCs w:val="24"/>
                <w:shd w:val="clear" w:color="auto" w:fill="FFFFFF"/>
              </w:rPr>
              <w:t>10.</w:t>
            </w:r>
            <w:r>
              <w:rPr>
                <w:rFonts w:hint="eastAsia" w:ascii="宋体" w:hAnsi="宋体" w:eastAsia="宋体" w:cs="宋体"/>
                <w:color w:val="auto"/>
                <w:sz w:val="24"/>
                <w:szCs w:val="24"/>
                <w:shd w:val="clear" w:color="auto" w:fill="FFFFFF"/>
              </w:rPr>
              <w:tab/>
            </w:r>
            <w:r>
              <w:rPr>
                <w:rFonts w:hint="eastAsia" w:ascii="宋体" w:hAnsi="宋体" w:eastAsia="宋体" w:cs="宋体"/>
                <w:color w:val="auto"/>
                <w:sz w:val="24"/>
                <w:szCs w:val="24"/>
                <w:shd w:val="clear" w:color="auto" w:fill="FFFFFF"/>
              </w:rPr>
              <w:t>采用本地硬盘扇区缓存（LocaCache）技术，并具备写入模式和只读模式。</w:t>
            </w:r>
          </w:p>
          <w:p w14:paraId="56AEA665">
            <w:pPr>
              <w:pStyle w:val="11"/>
              <w:spacing w:line="460" w:lineRule="exact"/>
              <w:jc w:val="both"/>
              <w:rPr>
                <w:rFonts w:hint="eastAsia" w:ascii="宋体" w:hAnsi="宋体" w:eastAsia="宋体" w:cs="宋体"/>
                <w:color w:val="auto"/>
                <w:sz w:val="24"/>
                <w:szCs w:val="24"/>
                <w:shd w:val="clear" w:color="auto" w:fill="FFFFFF"/>
              </w:rPr>
            </w:pPr>
            <w:r>
              <w:rPr>
                <w:rFonts w:hint="eastAsia" w:ascii="宋体" w:hAnsi="宋体" w:eastAsia="宋体" w:cs="宋体"/>
                <w:color w:val="auto"/>
                <w:sz w:val="24"/>
                <w:szCs w:val="24"/>
                <w:shd w:val="clear" w:color="auto" w:fill="FFFFFF"/>
              </w:rPr>
              <w:t>11.</w:t>
            </w:r>
            <w:r>
              <w:rPr>
                <w:rFonts w:hint="eastAsia" w:ascii="宋体" w:hAnsi="宋体" w:eastAsia="宋体" w:cs="宋体"/>
                <w:color w:val="auto"/>
                <w:sz w:val="24"/>
                <w:szCs w:val="24"/>
                <w:shd w:val="clear" w:color="auto" w:fill="FFFFFF"/>
              </w:rPr>
              <w:tab/>
            </w:r>
            <w:r>
              <w:rPr>
                <w:rFonts w:hint="eastAsia" w:ascii="宋体" w:hAnsi="宋体" w:eastAsia="宋体" w:cs="宋体"/>
                <w:color w:val="auto"/>
                <w:sz w:val="24"/>
                <w:szCs w:val="24"/>
                <w:shd w:val="clear" w:color="auto" w:fill="FFFFFF"/>
              </w:rPr>
              <w:t>需具备差异盘的功能，依据客户需求提供不同的虚拟硬盘。</w:t>
            </w:r>
          </w:p>
          <w:p w14:paraId="00EA118D">
            <w:pPr>
              <w:pStyle w:val="11"/>
              <w:spacing w:line="460" w:lineRule="exact"/>
              <w:jc w:val="both"/>
              <w:rPr>
                <w:rFonts w:hint="eastAsia" w:ascii="宋体" w:hAnsi="宋体" w:eastAsia="宋体" w:cs="宋体"/>
                <w:color w:val="auto"/>
                <w:sz w:val="24"/>
                <w:szCs w:val="24"/>
                <w:shd w:val="clear" w:color="auto" w:fill="FFFFFF"/>
              </w:rPr>
            </w:pPr>
            <w:r>
              <w:rPr>
                <w:rFonts w:hint="eastAsia" w:ascii="宋体" w:hAnsi="宋体" w:eastAsia="宋体" w:cs="宋体"/>
                <w:color w:val="auto"/>
                <w:sz w:val="24"/>
                <w:szCs w:val="24"/>
                <w:shd w:val="clear" w:color="auto" w:fill="FFFFFF"/>
              </w:rPr>
              <w:t>12.</w:t>
            </w:r>
            <w:r>
              <w:rPr>
                <w:rFonts w:hint="eastAsia" w:ascii="宋体" w:hAnsi="宋体" w:eastAsia="宋体" w:cs="宋体"/>
                <w:color w:val="auto"/>
                <w:sz w:val="24"/>
                <w:szCs w:val="24"/>
                <w:shd w:val="clear" w:color="auto" w:fill="FFFFFF"/>
              </w:rPr>
              <w:tab/>
            </w:r>
            <w:r>
              <w:rPr>
                <w:rFonts w:hint="eastAsia" w:ascii="宋体" w:hAnsi="宋体" w:eastAsia="宋体" w:cs="宋体"/>
                <w:color w:val="auto"/>
                <w:sz w:val="24"/>
                <w:szCs w:val="24"/>
                <w:shd w:val="clear" w:color="auto" w:fill="FFFFFF"/>
              </w:rPr>
              <w:t>在断网、管理端宕机的情况下可正常教学，支持四个以上的教学环境使用。</w:t>
            </w:r>
          </w:p>
          <w:p w14:paraId="732A89C4">
            <w:pPr>
              <w:pStyle w:val="11"/>
              <w:spacing w:line="460" w:lineRule="exact"/>
              <w:jc w:val="both"/>
              <w:rPr>
                <w:rFonts w:hint="eastAsia" w:ascii="宋体" w:hAnsi="宋体" w:eastAsia="宋体" w:cs="宋体"/>
                <w:color w:val="auto"/>
                <w:sz w:val="24"/>
                <w:szCs w:val="24"/>
                <w:shd w:val="clear" w:color="auto" w:fill="FFFFFF"/>
              </w:rPr>
            </w:pPr>
            <w:r>
              <w:rPr>
                <w:rFonts w:hint="eastAsia" w:ascii="宋体" w:hAnsi="宋体" w:eastAsia="宋体" w:cs="宋体"/>
                <w:color w:val="auto"/>
                <w:sz w:val="24"/>
                <w:szCs w:val="24"/>
                <w:shd w:val="clear" w:color="auto" w:fill="FFFFFF"/>
              </w:rPr>
              <w:t>13.</w:t>
            </w:r>
            <w:r>
              <w:rPr>
                <w:rFonts w:hint="eastAsia" w:ascii="宋体" w:hAnsi="宋体" w:eastAsia="宋体" w:cs="宋体"/>
                <w:color w:val="auto"/>
                <w:sz w:val="24"/>
                <w:szCs w:val="24"/>
                <w:shd w:val="clear" w:color="auto" w:fill="FFFFFF"/>
              </w:rPr>
              <w:tab/>
            </w:r>
            <w:r>
              <w:rPr>
                <w:rFonts w:hint="eastAsia" w:ascii="宋体" w:hAnsi="宋体" w:eastAsia="宋体" w:cs="宋体"/>
                <w:color w:val="auto"/>
                <w:sz w:val="24"/>
                <w:szCs w:val="24"/>
                <w:shd w:val="clear" w:color="auto" w:fill="FFFFFF"/>
              </w:rPr>
              <w:t>支持背景更新、方案排程、带宽预设、增量更新。新老系统环境可独立存在且无继承关系。</w:t>
            </w:r>
          </w:p>
          <w:p w14:paraId="6224B2E6">
            <w:pPr>
              <w:pStyle w:val="11"/>
              <w:spacing w:line="460" w:lineRule="exact"/>
              <w:jc w:val="both"/>
              <w:rPr>
                <w:rFonts w:hint="eastAsia" w:ascii="宋体" w:hAnsi="宋体" w:eastAsia="宋体" w:cs="宋体"/>
                <w:color w:val="auto"/>
                <w:sz w:val="24"/>
                <w:szCs w:val="24"/>
                <w:shd w:val="clear" w:color="auto" w:fill="FFFFFF"/>
              </w:rPr>
            </w:pPr>
            <w:r>
              <w:rPr>
                <w:rFonts w:hint="eastAsia" w:ascii="宋体" w:hAnsi="宋体" w:eastAsia="宋体" w:cs="宋体"/>
                <w:color w:val="auto"/>
                <w:sz w:val="24"/>
                <w:szCs w:val="24"/>
                <w:shd w:val="clear" w:color="auto" w:fill="FFFFFF"/>
              </w:rPr>
              <w:t>14.</w:t>
            </w:r>
            <w:r>
              <w:rPr>
                <w:rFonts w:hint="eastAsia" w:ascii="宋体" w:hAnsi="宋体" w:eastAsia="宋体" w:cs="宋体"/>
                <w:color w:val="auto"/>
                <w:sz w:val="24"/>
                <w:szCs w:val="24"/>
                <w:shd w:val="clear" w:color="auto" w:fill="FFFFFF"/>
              </w:rPr>
              <w:tab/>
            </w:r>
            <w:r>
              <w:rPr>
                <w:rFonts w:hint="eastAsia" w:ascii="宋体" w:hAnsi="宋体" w:eastAsia="宋体" w:cs="宋体"/>
                <w:color w:val="auto"/>
                <w:sz w:val="24"/>
                <w:szCs w:val="24"/>
                <w:shd w:val="clear" w:color="auto" w:fill="FFFFFF"/>
              </w:rPr>
              <w:t>需具备使用时间设置功能，方便云终端的管理。</w:t>
            </w:r>
          </w:p>
          <w:p w14:paraId="6FB76E8D">
            <w:pPr>
              <w:pStyle w:val="11"/>
              <w:spacing w:line="460" w:lineRule="exact"/>
              <w:jc w:val="both"/>
              <w:rPr>
                <w:rFonts w:hint="eastAsia" w:ascii="宋体" w:hAnsi="宋体" w:eastAsia="宋体" w:cs="宋体"/>
                <w:color w:val="auto"/>
                <w:sz w:val="24"/>
                <w:szCs w:val="24"/>
                <w:shd w:val="clear" w:color="auto" w:fill="FFFFFF"/>
              </w:rPr>
            </w:pPr>
            <w:r>
              <w:rPr>
                <w:rFonts w:hint="eastAsia" w:ascii="宋体" w:hAnsi="宋体" w:eastAsia="宋体" w:cs="宋体"/>
                <w:color w:val="auto"/>
                <w:sz w:val="24"/>
                <w:szCs w:val="24"/>
                <w:shd w:val="clear" w:color="auto" w:fill="FFFFFF"/>
              </w:rPr>
              <w:t>15.</w:t>
            </w:r>
            <w:r>
              <w:rPr>
                <w:rFonts w:hint="eastAsia" w:ascii="宋体" w:hAnsi="宋体" w:eastAsia="宋体" w:cs="宋体"/>
                <w:color w:val="auto"/>
                <w:sz w:val="24"/>
                <w:szCs w:val="24"/>
                <w:shd w:val="clear" w:color="auto" w:fill="FFFFFF"/>
              </w:rPr>
              <w:tab/>
            </w:r>
            <w:r>
              <w:rPr>
                <w:rFonts w:hint="eastAsia" w:ascii="宋体" w:hAnsi="宋体" w:eastAsia="宋体" w:cs="宋体"/>
                <w:color w:val="auto"/>
                <w:sz w:val="24"/>
                <w:szCs w:val="24"/>
                <w:shd w:val="clear" w:color="auto" w:fill="FFFFFF"/>
              </w:rPr>
              <w:t>支持服务端分层管理，各分支机构、分校可通过IO管理端为终端提供桌面服务。</w:t>
            </w:r>
          </w:p>
          <w:p w14:paraId="0FE6593A">
            <w:pPr>
              <w:pStyle w:val="11"/>
              <w:spacing w:line="460" w:lineRule="exact"/>
              <w:jc w:val="both"/>
              <w:rPr>
                <w:rFonts w:hint="eastAsia" w:ascii="宋体" w:hAnsi="宋体" w:eastAsia="宋体" w:cs="宋体"/>
                <w:color w:val="auto"/>
                <w:sz w:val="24"/>
                <w:szCs w:val="24"/>
                <w:shd w:val="clear" w:color="auto" w:fill="FFFFFF"/>
              </w:rPr>
            </w:pPr>
            <w:r>
              <w:rPr>
                <w:rFonts w:hint="eastAsia" w:ascii="宋体" w:hAnsi="宋体" w:eastAsia="宋体" w:cs="宋体"/>
                <w:color w:val="auto"/>
                <w:sz w:val="24"/>
                <w:szCs w:val="24"/>
                <w:shd w:val="clear" w:color="auto" w:fill="FFFFFF"/>
              </w:rPr>
              <w:t>16.</w:t>
            </w:r>
            <w:r>
              <w:rPr>
                <w:rFonts w:hint="eastAsia" w:ascii="宋体" w:hAnsi="宋体" w:eastAsia="宋体" w:cs="宋体"/>
                <w:color w:val="auto"/>
                <w:sz w:val="24"/>
                <w:szCs w:val="24"/>
                <w:shd w:val="clear" w:color="auto" w:fill="FFFFFF"/>
              </w:rPr>
              <w:tab/>
            </w:r>
            <w:r>
              <w:rPr>
                <w:rFonts w:hint="eastAsia" w:ascii="宋体" w:hAnsi="宋体" w:eastAsia="宋体" w:cs="宋体"/>
                <w:color w:val="auto"/>
                <w:sz w:val="24"/>
                <w:szCs w:val="24"/>
                <w:shd w:val="clear" w:color="auto" w:fill="FFFFFF"/>
              </w:rPr>
              <w:t>具备权限管理功能，可创建多个账号，自定义管理权限。</w:t>
            </w:r>
          </w:p>
          <w:p w14:paraId="75EA80EA">
            <w:pPr>
              <w:spacing w:line="360" w:lineRule="auto"/>
              <w:jc w:val="both"/>
              <w:rPr>
                <w:rFonts w:hint="eastAsia" w:ascii="宋体" w:hAnsi="宋体" w:eastAsia="宋体" w:cs="宋体"/>
                <w:color w:val="auto"/>
                <w:sz w:val="24"/>
                <w:szCs w:val="24"/>
              </w:rPr>
            </w:pPr>
            <w:r>
              <w:rPr>
                <w:rFonts w:hint="eastAsia" w:ascii="宋体" w:hAnsi="宋体" w:eastAsia="宋体" w:cs="宋体"/>
                <w:b/>
                <w:bCs/>
                <w:color w:val="auto"/>
                <w:sz w:val="24"/>
                <w:szCs w:val="24"/>
                <w:shd w:val="clear" w:color="auto" w:fill="FFFFFF"/>
              </w:rPr>
              <w:t>17.</w:t>
            </w:r>
            <w:r>
              <w:rPr>
                <w:rFonts w:hint="eastAsia" w:ascii="宋体" w:hAnsi="宋体" w:eastAsia="宋体" w:cs="宋体"/>
                <w:b/>
                <w:bCs/>
                <w:color w:val="auto"/>
                <w:sz w:val="24"/>
                <w:szCs w:val="24"/>
                <w:shd w:val="clear" w:color="auto" w:fill="FFFFFF"/>
              </w:rPr>
              <w:tab/>
            </w:r>
            <w:r>
              <w:rPr>
                <w:rFonts w:hint="eastAsia" w:ascii="宋体" w:hAnsi="宋体" w:eastAsia="宋体" w:cs="宋体"/>
                <w:b/>
                <w:bCs/>
                <w:color w:val="auto"/>
                <w:sz w:val="24"/>
                <w:szCs w:val="24"/>
                <w:shd w:val="clear" w:color="auto" w:fill="FFFFFF"/>
                <w:lang w:val="en-US" w:eastAsia="zh-CN"/>
              </w:rPr>
              <w:t>为保证产品的合法性，云桌面需具有软件著作权证书，</w:t>
            </w:r>
            <w:r>
              <w:rPr>
                <w:rFonts w:hint="eastAsia" w:ascii="宋体" w:hAnsi="宋体" w:eastAsia="宋体" w:cs="宋体"/>
                <w:b/>
                <w:bCs/>
                <w:color w:val="auto"/>
                <w:sz w:val="24"/>
                <w:szCs w:val="24"/>
                <w:u w:val="single"/>
                <w:shd w:val="clear" w:color="auto" w:fill="FFFFFF"/>
                <w:lang w:val="en-US" w:eastAsia="zh-CN"/>
              </w:rPr>
              <w:t>响应文件中</w:t>
            </w:r>
            <w:r>
              <w:rPr>
                <w:rFonts w:hint="eastAsia" w:ascii="宋体" w:hAnsi="宋体" w:eastAsia="宋体" w:cs="宋体"/>
                <w:b/>
                <w:bCs/>
                <w:color w:val="auto"/>
                <w:sz w:val="24"/>
                <w:szCs w:val="24"/>
                <w:u w:val="single"/>
                <w:shd w:val="clear" w:color="auto" w:fill="FFFFFF"/>
              </w:rPr>
              <w:t>需提供</w:t>
            </w:r>
            <w:r>
              <w:rPr>
                <w:rFonts w:hint="eastAsia" w:ascii="宋体" w:hAnsi="宋体" w:eastAsia="宋体" w:cs="宋体"/>
                <w:b/>
                <w:bCs/>
                <w:color w:val="auto"/>
                <w:sz w:val="24"/>
                <w:szCs w:val="24"/>
                <w:u w:val="single"/>
                <w:shd w:val="clear" w:color="auto" w:fill="FFFFFF"/>
                <w:lang w:val="en-US" w:eastAsia="zh-CN"/>
              </w:rPr>
              <w:t>所投</w:t>
            </w:r>
            <w:r>
              <w:rPr>
                <w:rFonts w:hint="eastAsia" w:ascii="宋体" w:hAnsi="宋体" w:eastAsia="宋体" w:cs="宋体"/>
                <w:b/>
                <w:bCs/>
                <w:color w:val="auto"/>
                <w:sz w:val="24"/>
                <w:szCs w:val="24"/>
                <w:u w:val="single"/>
                <w:shd w:val="clear" w:color="auto" w:fill="FFFFFF"/>
              </w:rPr>
              <w:t>云桌面的软件的著作权登记证书</w:t>
            </w:r>
            <w:r>
              <w:rPr>
                <w:rFonts w:hint="eastAsia" w:ascii="宋体" w:hAnsi="宋体" w:eastAsia="宋体" w:cs="宋体"/>
                <w:b/>
                <w:bCs/>
                <w:color w:val="auto"/>
                <w:sz w:val="24"/>
                <w:szCs w:val="24"/>
                <w:u w:val="single"/>
                <w:shd w:val="clear" w:color="auto" w:fill="FFFFFF"/>
                <w:lang w:val="en-US" w:eastAsia="zh-CN"/>
              </w:rPr>
              <w:t>扫描件加盖供应商公章佐证，否则视为无效响应</w:t>
            </w:r>
            <w:r>
              <w:rPr>
                <w:rFonts w:hint="eastAsia" w:ascii="宋体" w:hAnsi="宋体" w:eastAsia="宋体" w:cs="宋体"/>
                <w:b/>
                <w:bCs/>
                <w:color w:val="auto"/>
                <w:sz w:val="24"/>
                <w:szCs w:val="24"/>
                <w:u w:val="single"/>
                <w:shd w:val="clear" w:color="auto" w:fill="FFFFFF"/>
              </w:rPr>
              <w:t>。</w:t>
            </w:r>
          </w:p>
        </w:tc>
      </w:tr>
      <w:tr w14:paraId="0B765939">
        <w:tblPrEx>
          <w:tblCellMar>
            <w:top w:w="0" w:type="dxa"/>
            <w:left w:w="0" w:type="dxa"/>
            <w:bottom w:w="0" w:type="dxa"/>
            <w:right w:w="0" w:type="dxa"/>
          </w:tblCellMar>
        </w:tblPrEx>
        <w:trPr>
          <w:trHeight w:val="965" w:hRule="atLeast"/>
          <w:jc w:val="center"/>
        </w:trPr>
        <w:tc>
          <w:tcPr>
            <w:tcW w:w="408" w:type="pct"/>
            <w:tcBorders>
              <w:top w:val="single" w:color="000000" w:sz="4" w:space="0"/>
              <w:left w:val="single" w:color="000000" w:sz="4" w:space="0"/>
              <w:bottom w:val="single" w:color="000000" w:sz="4" w:space="0"/>
              <w:right w:val="single" w:color="000000" w:sz="4" w:space="0"/>
            </w:tcBorders>
            <w:noWrap w:val="0"/>
            <w:vAlign w:val="center"/>
          </w:tcPr>
          <w:p w14:paraId="6DDA73F6">
            <w:pPr>
              <w:spacing w:line="360" w:lineRule="auto"/>
              <w:jc w:val="center"/>
              <w:rPr>
                <w:rFonts w:hint="eastAsia" w:ascii="宋体" w:hAnsi="宋体" w:eastAsia="宋体" w:cs="宋体"/>
                <w:color w:val="auto"/>
                <w:sz w:val="24"/>
                <w:szCs w:val="24"/>
              </w:rPr>
            </w:pPr>
            <w:r>
              <w:rPr>
                <w:rFonts w:hint="eastAsia" w:ascii="宋体" w:hAnsi="宋体" w:eastAsia="宋体" w:cs="宋体"/>
                <w:color w:val="auto"/>
                <w:sz w:val="24"/>
                <w:szCs w:val="24"/>
              </w:rPr>
              <w:t>5</w:t>
            </w:r>
          </w:p>
        </w:tc>
        <w:tc>
          <w:tcPr>
            <w:tcW w:w="535" w:type="pct"/>
            <w:tcBorders>
              <w:top w:val="single" w:color="000000" w:sz="4" w:space="0"/>
              <w:left w:val="single" w:color="000000" w:sz="4" w:space="0"/>
              <w:bottom w:val="single" w:color="000000" w:sz="4" w:space="0"/>
              <w:right w:val="single" w:color="000000" w:sz="4" w:space="0"/>
            </w:tcBorders>
            <w:noWrap w:val="0"/>
            <w:vAlign w:val="center"/>
          </w:tcPr>
          <w:p w14:paraId="1FEF3999">
            <w:pPr>
              <w:spacing w:line="360" w:lineRule="auto"/>
              <w:jc w:val="center"/>
              <w:rPr>
                <w:rFonts w:hint="eastAsia" w:ascii="宋体" w:hAnsi="宋体" w:eastAsia="宋体" w:cs="宋体"/>
                <w:color w:val="auto"/>
                <w:sz w:val="24"/>
                <w:szCs w:val="24"/>
                <w:highlight w:val="yellow"/>
              </w:rPr>
            </w:pPr>
            <w:r>
              <w:rPr>
                <w:rFonts w:hint="eastAsia" w:ascii="宋体" w:hAnsi="宋体" w:eastAsia="宋体" w:cs="宋体"/>
                <w:color w:val="auto"/>
                <w:sz w:val="24"/>
                <w:szCs w:val="24"/>
              </w:rPr>
              <w:t>交换机</w:t>
            </w:r>
          </w:p>
        </w:tc>
        <w:tc>
          <w:tcPr>
            <w:tcW w:w="4055" w:type="pct"/>
            <w:tcBorders>
              <w:top w:val="single" w:color="000000" w:sz="4" w:space="0"/>
              <w:left w:val="single" w:color="000000" w:sz="4" w:space="0"/>
              <w:bottom w:val="single" w:color="000000" w:sz="4" w:space="0"/>
              <w:right w:val="single" w:color="000000" w:sz="4" w:space="0"/>
            </w:tcBorders>
            <w:noWrap w:val="0"/>
            <w:vAlign w:val="center"/>
          </w:tcPr>
          <w:p w14:paraId="4F9EFA9A">
            <w:pPr>
              <w:pStyle w:val="11"/>
              <w:spacing w:line="460" w:lineRule="exact"/>
              <w:jc w:val="both"/>
              <w:rPr>
                <w:rFonts w:hint="eastAsia" w:ascii="宋体" w:hAnsi="宋体" w:eastAsia="宋体" w:cs="宋体"/>
                <w:bCs/>
                <w:color w:val="auto"/>
                <w:sz w:val="24"/>
                <w:szCs w:val="24"/>
                <w:shd w:val="clear" w:color="auto" w:fill="FFFFFF"/>
              </w:rPr>
            </w:pPr>
            <w:r>
              <w:rPr>
                <w:rFonts w:hint="eastAsia" w:ascii="宋体" w:hAnsi="宋体" w:eastAsia="宋体" w:cs="宋体"/>
                <w:bCs/>
                <w:color w:val="auto"/>
                <w:sz w:val="24"/>
                <w:szCs w:val="24"/>
                <w:shd w:val="clear" w:color="auto" w:fill="FFFFFF"/>
              </w:rPr>
              <w:t>1.支持1G全双工电口≥56个，10G全双工光口≥4个（含配光口转换电口模块）；</w:t>
            </w:r>
          </w:p>
          <w:p w14:paraId="0B08616E">
            <w:pPr>
              <w:pStyle w:val="11"/>
              <w:spacing w:line="460" w:lineRule="exact"/>
              <w:jc w:val="both"/>
              <w:rPr>
                <w:rFonts w:hint="eastAsia" w:ascii="宋体" w:hAnsi="宋体" w:eastAsia="宋体" w:cs="宋体"/>
                <w:bCs/>
                <w:color w:val="auto"/>
                <w:sz w:val="24"/>
                <w:szCs w:val="24"/>
                <w:shd w:val="clear" w:color="auto" w:fill="FFFFFF"/>
              </w:rPr>
            </w:pPr>
            <w:r>
              <w:rPr>
                <w:rFonts w:hint="eastAsia" w:ascii="宋体" w:hAnsi="宋体" w:eastAsia="宋体" w:cs="宋体"/>
                <w:bCs/>
                <w:color w:val="auto"/>
                <w:sz w:val="24"/>
                <w:szCs w:val="24"/>
                <w:shd w:val="clear" w:color="auto" w:fill="FFFFFF"/>
              </w:rPr>
              <w:t>2.交换容量≥420Gbps（交换芯片容量），包转发率≥230Mpps；</w:t>
            </w:r>
          </w:p>
          <w:p w14:paraId="37412F73">
            <w:pPr>
              <w:pStyle w:val="11"/>
              <w:spacing w:line="460" w:lineRule="exact"/>
              <w:jc w:val="both"/>
              <w:rPr>
                <w:rFonts w:hint="eastAsia" w:ascii="宋体" w:hAnsi="宋体" w:eastAsia="宋体" w:cs="宋体"/>
                <w:color w:val="auto"/>
                <w:sz w:val="24"/>
                <w:szCs w:val="24"/>
                <w:shd w:val="clear" w:color="auto" w:fill="FFFFFF"/>
              </w:rPr>
            </w:pPr>
            <w:r>
              <w:rPr>
                <w:rFonts w:hint="eastAsia" w:ascii="宋体" w:hAnsi="宋体" w:eastAsia="宋体" w:cs="宋体"/>
                <w:color w:val="auto"/>
                <w:sz w:val="24"/>
                <w:szCs w:val="24"/>
                <w:shd w:val="clear" w:color="auto" w:fill="FFFFFF"/>
              </w:rPr>
              <w:t>3.支持1xConsole、1xMGMT 、1xUSB管理接口，风扇模块≥3；MAC表项≥32K，ARP表项≥12K；</w:t>
            </w:r>
          </w:p>
          <w:p w14:paraId="15C7A104">
            <w:pPr>
              <w:pStyle w:val="11"/>
              <w:spacing w:line="460" w:lineRule="exact"/>
              <w:jc w:val="both"/>
              <w:rPr>
                <w:rFonts w:hint="eastAsia" w:ascii="宋体" w:hAnsi="宋体" w:eastAsia="宋体" w:cs="宋体"/>
                <w:color w:val="auto"/>
                <w:sz w:val="24"/>
                <w:szCs w:val="24"/>
                <w:shd w:val="clear" w:color="auto" w:fill="FFFFFF"/>
              </w:rPr>
            </w:pPr>
            <w:r>
              <w:rPr>
                <w:rFonts w:hint="eastAsia" w:ascii="宋体" w:hAnsi="宋体" w:eastAsia="宋体" w:cs="宋体"/>
                <w:color w:val="auto"/>
                <w:sz w:val="24"/>
                <w:szCs w:val="24"/>
                <w:shd w:val="clear" w:color="auto" w:fill="FFFFFF"/>
              </w:rPr>
              <w:t>4.支持低功耗的ARM处理器，运行开源开放的网络操作系统；</w:t>
            </w:r>
          </w:p>
          <w:p w14:paraId="0F1A58F8">
            <w:pPr>
              <w:pStyle w:val="11"/>
              <w:spacing w:line="460" w:lineRule="exact"/>
              <w:jc w:val="both"/>
              <w:rPr>
                <w:rFonts w:hint="eastAsia" w:ascii="宋体" w:hAnsi="宋体" w:eastAsia="宋体" w:cs="宋体"/>
                <w:color w:val="auto"/>
                <w:sz w:val="24"/>
                <w:szCs w:val="24"/>
                <w:shd w:val="clear" w:color="auto" w:fill="FFFFFF"/>
              </w:rPr>
            </w:pPr>
            <w:r>
              <w:rPr>
                <w:rFonts w:hint="eastAsia" w:ascii="宋体" w:hAnsi="宋体" w:eastAsia="宋体" w:cs="宋体"/>
                <w:color w:val="auto"/>
                <w:sz w:val="24"/>
                <w:szCs w:val="24"/>
                <w:shd w:val="clear" w:color="auto" w:fill="FFFFFF"/>
              </w:rPr>
              <w:t>5.支持良好的系统扩展能力，新功能模块或第三方软件能以容器方式运行；</w:t>
            </w:r>
          </w:p>
          <w:p w14:paraId="3E7169CC">
            <w:pPr>
              <w:pStyle w:val="11"/>
              <w:spacing w:line="460" w:lineRule="exact"/>
              <w:jc w:val="both"/>
              <w:rPr>
                <w:rFonts w:hint="eastAsia" w:ascii="宋体" w:hAnsi="宋体" w:eastAsia="宋体" w:cs="宋体"/>
                <w:color w:val="auto"/>
                <w:sz w:val="24"/>
                <w:szCs w:val="24"/>
                <w:shd w:val="clear" w:color="auto" w:fill="FFFFFF"/>
              </w:rPr>
            </w:pPr>
            <w:r>
              <w:rPr>
                <w:rFonts w:hint="eastAsia" w:ascii="宋体" w:hAnsi="宋体" w:eastAsia="宋体" w:cs="宋体"/>
                <w:color w:val="auto"/>
                <w:sz w:val="24"/>
                <w:szCs w:val="24"/>
                <w:shd w:val="clear" w:color="auto" w:fill="FFFFFF"/>
              </w:rPr>
              <w:t>6.功能模块故障时，支持热补丁一键修复，且不影响系统正常运行；</w:t>
            </w:r>
          </w:p>
          <w:p w14:paraId="0B2F650F">
            <w:pPr>
              <w:pStyle w:val="11"/>
              <w:spacing w:line="460" w:lineRule="exact"/>
              <w:jc w:val="both"/>
              <w:rPr>
                <w:rFonts w:hint="eastAsia" w:ascii="宋体" w:hAnsi="宋体" w:eastAsia="宋体" w:cs="宋体"/>
                <w:color w:val="auto"/>
                <w:sz w:val="24"/>
                <w:szCs w:val="24"/>
                <w:shd w:val="clear" w:color="auto" w:fill="FFFFFF"/>
              </w:rPr>
            </w:pPr>
            <w:r>
              <w:rPr>
                <w:rFonts w:hint="eastAsia" w:ascii="宋体" w:hAnsi="宋体" w:eastAsia="宋体" w:cs="宋体"/>
                <w:color w:val="auto"/>
                <w:sz w:val="24"/>
                <w:szCs w:val="24"/>
                <w:shd w:val="clear" w:color="auto" w:fill="FFFFFF"/>
              </w:rPr>
              <w:t>7.基于用户个性化需求，具备快速开发能力；</w:t>
            </w:r>
          </w:p>
          <w:p w14:paraId="33F3482B">
            <w:pPr>
              <w:pStyle w:val="11"/>
              <w:spacing w:line="460" w:lineRule="exact"/>
              <w:jc w:val="both"/>
              <w:rPr>
                <w:rFonts w:hint="eastAsia" w:ascii="宋体" w:hAnsi="宋体" w:eastAsia="宋体" w:cs="宋体"/>
                <w:color w:val="auto"/>
                <w:sz w:val="24"/>
                <w:szCs w:val="24"/>
                <w:shd w:val="clear" w:color="auto" w:fill="FFFFFF"/>
              </w:rPr>
            </w:pPr>
            <w:r>
              <w:rPr>
                <w:rFonts w:hint="eastAsia" w:ascii="宋体" w:hAnsi="宋体" w:eastAsia="宋体" w:cs="宋体"/>
                <w:color w:val="auto"/>
                <w:sz w:val="24"/>
                <w:szCs w:val="24"/>
                <w:shd w:val="clear" w:color="auto" w:fill="FFFFFF"/>
              </w:rPr>
              <w:t>8.支持端口镜像功能，镜像源端口和目的端口可以是物理口或VLAN，且没有镜像端口数量限制；</w:t>
            </w:r>
          </w:p>
          <w:p w14:paraId="012B449C">
            <w:pPr>
              <w:pStyle w:val="11"/>
              <w:spacing w:line="460" w:lineRule="exact"/>
              <w:jc w:val="both"/>
              <w:rPr>
                <w:rFonts w:hint="eastAsia" w:ascii="宋体" w:hAnsi="宋体" w:eastAsia="宋体" w:cs="宋体"/>
                <w:color w:val="auto"/>
                <w:sz w:val="24"/>
                <w:szCs w:val="24"/>
                <w:shd w:val="clear" w:color="auto" w:fill="FFFFFF"/>
              </w:rPr>
            </w:pPr>
            <w:r>
              <w:rPr>
                <w:rFonts w:hint="eastAsia" w:ascii="宋体" w:hAnsi="宋体" w:eastAsia="宋体" w:cs="宋体"/>
                <w:color w:val="auto"/>
                <w:sz w:val="24"/>
                <w:szCs w:val="24"/>
                <w:shd w:val="clear" w:color="auto" w:fill="FFFFFF"/>
              </w:rPr>
              <w:t>9.支持根据终端APR报文信息自动生成32位主机路由，简化网络配置和部署；</w:t>
            </w:r>
          </w:p>
          <w:p w14:paraId="0806E409">
            <w:pPr>
              <w:pStyle w:val="11"/>
              <w:spacing w:line="460" w:lineRule="exact"/>
              <w:jc w:val="both"/>
              <w:rPr>
                <w:rFonts w:hint="eastAsia" w:ascii="宋体" w:hAnsi="宋体" w:eastAsia="宋体" w:cs="宋体"/>
                <w:color w:val="auto"/>
                <w:sz w:val="24"/>
                <w:szCs w:val="24"/>
                <w:shd w:val="clear" w:color="auto" w:fill="FFFFFF"/>
              </w:rPr>
            </w:pPr>
            <w:r>
              <w:rPr>
                <w:rFonts w:hint="eastAsia" w:ascii="宋体" w:hAnsi="宋体" w:eastAsia="宋体" w:cs="宋体"/>
                <w:color w:val="auto"/>
                <w:sz w:val="24"/>
                <w:szCs w:val="24"/>
                <w:shd w:val="clear" w:color="auto" w:fill="FFFFFF"/>
              </w:rPr>
              <w:t>10.支持静态路由和BGP、OSPF、ISIS动态路由协议；</w:t>
            </w:r>
          </w:p>
          <w:p w14:paraId="71AC09D4">
            <w:pPr>
              <w:pStyle w:val="11"/>
              <w:spacing w:line="460" w:lineRule="exact"/>
              <w:jc w:val="both"/>
              <w:rPr>
                <w:rFonts w:hint="eastAsia" w:ascii="宋体" w:hAnsi="宋体" w:eastAsia="宋体" w:cs="宋体"/>
                <w:color w:val="auto"/>
                <w:sz w:val="24"/>
                <w:szCs w:val="24"/>
                <w:shd w:val="clear" w:color="auto" w:fill="FFFFFF"/>
              </w:rPr>
            </w:pPr>
            <w:r>
              <w:rPr>
                <w:rFonts w:hint="eastAsia" w:ascii="宋体" w:hAnsi="宋体" w:eastAsia="宋体" w:cs="宋体"/>
                <w:color w:val="auto"/>
                <w:sz w:val="24"/>
                <w:szCs w:val="24"/>
                <w:shd w:val="clear" w:color="auto" w:fill="FFFFFF"/>
              </w:rPr>
              <w:t>11.支持DHCP v4/v6 Server/Relay/Snooping功能；</w:t>
            </w:r>
          </w:p>
          <w:p w14:paraId="5FEF97E2">
            <w:pPr>
              <w:pStyle w:val="11"/>
              <w:spacing w:line="460" w:lineRule="exact"/>
              <w:jc w:val="both"/>
              <w:rPr>
                <w:rFonts w:hint="eastAsia" w:ascii="宋体" w:hAnsi="宋体" w:eastAsia="宋体" w:cs="宋体"/>
                <w:color w:val="auto"/>
                <w:sz w:val="24"/>
                <w:szCs w:val="24"/>
                <w:shd w:val="clear" w:color="auto" w:fill="FFFFFF"/>
              </w:rPr>
            </w:pPr>
            <w:r>
              <w:rPr>
                <w:rFonts w:hint="eastAsia" w:ascii="宋体" w:hAnsi="宋体" w:eastAsia="宋体" w:cs="宋体"/>
                <w:color w:val="auto"/>
                <w:sz w:val="24"/>
                <w:szCs w:val="24"/>
                <w:shd w:val="clear" w:color="auto" w:fill="FFFFFF"/>
              </w:rPr>
              <w:t>12.支持动态ARP检测功能；</w:t>
            </w:r>
          </w:p>
          <w:p w14:paraId="3235B1A1">
            <w:pPr>
              <w:pStyle w:val="11"/>
              <w:spacing w:line="460" w:lineRule="exact"/>
              <w:jc w:val="both"/>
              <w:rPr>
                <w:rFonts w:hint="eastAsia" w:ascii="宋体" w:hAnsi="宋体" w:eastAsia="宋体" w:cs="宋体"/>
                <w:color w:val="auto"/>
                <w:sz w:val="24"/>
                <w:szCs w:val="24"/>
                <w:shd w:val="clear" w:color="auto" w:fill="FFFFFF"/>
              </w:rPr>
            </w:pPr>
            <w:r>
              <w:rPr>
                <w:rFonts w:hint="eastAsia" w:ascii="宋体" w:hAnsi="宋体" w:eastAsia="宋体" w:cs="宋体"/>
                <w:color w:val="auto"/>
                <w:sz w:val="24"/>
                <w:szCs w:val="24"/>
                <w:shd w:val="clear" w:color="auto" w:fill="FFFFFF"/>
              </w:rPr>
              <w:t>13.支持IPSG v4/v6保护功能；</w:t>
            </w:r>
          </w:p>
          <w:p w14:paraId="7D590606">
            <w:pPr>
              <w:pStyle w:val="11"/>
              <w:spacing w:line="460" w:lineRule="exact"/>
              <w:jc w:val="both"/>
              <w:rPr>
                <w:rFonts w:hint="eastAsia" w:ascii="宋体" w:hAnsi="宋体" w:eastAsia="宋体" w:cs="宋体"/>
                <w:color w:val="auto"/>
                <w:sz w:val="24"/>
                <w:szCs w:val="24"/>
                <w:shd w:val="clear" w:color="auto" w:fill="FFFFFF"/>
              </w:rPr>
            </w:pPr>
            <w:r>
              <w:rPr>
                <w:rFonts w:hint="eastAsia" w:ascii="宋体" w:hAnsi="宋体" w:eastAsia="宋体" w:cs="宋体"/>
                <w:color w:val="auto"/>
                <w:sz w:val="24"/>
                <w:szCs w:val="24"/>
                <w:shd w:val="clear" w:color="auto" w:fill="FFFFFF"/>
              </w:rPr>
              <w:t>14.支持CPU保护策略，防止高速数据流导致CPU占用率过高；</w:t>
            </w:r>
          </w:p>
          <w:p w14:paraId="2649F923">
            <w:pPr>
              <w:spacing w:line="360" w:lineRule="auto"/>
              <w:jc w:val="both"/>
              <w:rPr>
                <w:rFonts w:hint="eastAsia" w:ascii="宋体" w:hAnsi="宋体" w:eastAsia="宋体" w:cs="宋体"/>
                <w:color w:val="auto"/>
                <w:sz w:val="24"/>
                <w:szCs w:val="24"/>
              </w:rPr>
            </w:pPr>
            <w:r>
              <w:rPr>
                <w:rFonts w:hint="eastAsia" w:ascii="宋体" w:hAnsi="宋体" w:eastAsia="宋体" w:cs="宋体"/>
                <w:color w:val="auto"/>
                <w:sz w:val="24"/>
                <w:szCs w:val="24"/>
                <w:shd w:val="clear" w:color="auto" w:fill="FFFFFF"/>
              </w:rPr>
              <w:t>15.支持从远端服务器自动加载预配置文件实现设备快速上线。</w:t>
            </w:r>
          </w:p>
        </w:tc>
      </w:tr>
      <w:tr w14:paraId="1DE9FDF0">
        <w:tblPrEx>
          <w:tblCellMar>
            <w:top w:w="0" w:type="dxa"/>
            <w:left w:w="0" w:type="dxa"/>
            <w:bottom w:w="0" w:type="dxa"/>
            <w:right w:w="0" w:type="dxa"/>
          </w:tblCellMar>
        </w:tblPrEx>
        <w:trPr>
          <w:trHeight w:val="446" w:hRule="atLeast"/>
          <w:jc w:val="center"/>
        </w:trPr>
        <w:tc>
          <w:tcPr>
            <w:tcW w:w="408" w:type="pct"/>
            <w:tcBorders>
              <w:top w:val="single" w:color="000000" w:sz="4" w:space="0"/>
              <w:left w:val="single" w:color="000000" w:sz="4" w:space="0"/>
              <w:bottom w:val="single" w:color="000000" w:sz="4" w:space="0"/>
              <w:right w:val="single" w:color="000000" w:sz="4" w:space="0"/>
            </w:tcBorders>
            <w:noWrap w:val="0"/>
            <w:vAlign w:val="center"/>
          </w:tcPr>
          <w:p w14:paraId="72DACE56">
            <w:pPr>
              <w:spacing w:line="360" w:lineRule="auto"/>
              <w:jc w:val="center"/>
              <w:rPr>
                <w:rFonts w:hint="eastAsia" w:ascii="宋体" w:hAnsi="宋体" w:eastAsia="宋体" w:cs="宋体"/>
                <w:color w:val="auto"/>
                <w:sz w:val="24"/>
                <w:szCs w:val="24"/>
              </w:rPr>
            </w:pPr>
            <w:r>
              <w:rPr>
                <w:rFonts w:hint="eastAsia" w:ascii="宋体" w:hAnsi="宋体" w:eastAsia="宋体" w:cs="宋体"/>
                <w:color w:val="auto"/>
                <w:sz w:val="24"/>
                <w:szCs w:val="24"/>
              </w:rPr>
              <w:t>6</w:t>
            </w:r>
          </w:p>
        </w:tc>
        <w:tc>
          <w:tcPr>
            <w:tcW w:w="535" w:type="pct"/>
            <w:tcBorders>
              <w:top w:val="single" w:color="000000" w:sz="4" w:space="0"/>
              <w:left w:val="single" w:color="000000" w:sz="4" w:space="0"/>
              <w:bottom w:val="single" w:color="000000" w:sz="4" w:space="0"/>
              <w:right w:val="single" w:color="000000" w:sz="4" w:space="0"/>
            </w:tcBorders>
            <w:noWrap w:val="0"/>
            <w:vAlign w:val="center"/>
          </w:tcPr>
          <w:p w14:paraId="3BC4039C">
            <w:pPr>
              <w:spacing w:line="360" w:lineRule="auto"/>
              <w:jc w:val="center"/>
              <w:rPr>
                <w:rFonts w:hint="eastAsia" w:ascii="宋体" w:hAnsi="宋体" w:eastAsia="宋体" w:cs="宋体"/>
                <w:color w:val="auto"/>
                <w:sz w:val="24"/>
                <w:szCs w:val="24"/>
                <w:highlight w:val="yellow"/>
              </w:rPr>
            </w:pPr>
            <w:r>
              <w:rPr>
                <w:rFonts w:hint="eastAsia" w:ascii="宋体" w:hAnsi="宋体" w:eastAsia="宋体" w:cs="宋体"/>
                <w:color w:val="auto"/>
                <w:sz w:val="24"/>
                <w:szCs w:val="24"/>
              </w:rPr>
              <w:t>路由器</w:t>
            </w:r>
          </w:p>
        </w:tc>
        <w:tc>
          <w:tcPr>
            <w:tcW w:w="4055" w:type="pct"/>
            <w:tcBorders>
              <w:top w:val="single" w:color="000000" w:sz="4" w:space="0"/>
              <w:left w:val="single" w:color="000000" w:sz="4" w:space="0"/>
              <w:bottom w:val="single" w:color="000000" w:sz="4" w:space="0"/>
              <w:right w:val="single" w:color="000000" w:sz="4" w:space="0"/>
            </w:tcBorders>
            <w:noWrap w:val="0"/>
            <w:vAlign w:val="center"/>
          </w:tcPr>
          <w:p w14:paraId="1E1F5BEA">
            <w:pPr>
              <w:spacing w:line="360" w:lineRule="auto"/>
              <w:jc w:val="both"/>
              <w:rPr>
                <w:rFonts w:hint="eastAsia" w:ascii="宋体" w:hAnsi="宋体" w:eastAsia="宋体" w:cs="宋体"/>
                <w:color w:val="auto"/>
                <w:sz w:val="24"/>
                <w:szCs w:val="24"/>
              </w:rPr>
            </w:pPr>
            <w:r>
              <w:rPr>
                <w:rFonts w:hint="eastAsia" w:ascii="宋体" w:hAnsi="宋体" w:eastAsia="宋体" w:cs="宋体"/>
                <w:color w:val="auto"/>
                <w:sz w:val="24"/>
                <w:szCs w:val="24"/>
              </w:rPr>
              <w:t>设备应为企业级双频Wi-Fi 6无线路由器，无线总速率≥2976Mbps，2.4G≥574Mbps、5G≥2402Mbps，支持160MHz 频宽；配备≥4个千兆自适应网口，支持 WAN/LAN自适应；支持OFDMA、WPA3、易展组网、VPN、防火墙、带宽控制及上网行为管理；采用无风扇自然散热，适配教学办公场景稳定运行。</w:t>
            </w:r>
          </w:p>
        </w:tc>
      </w:tr>
      <w:tr w14:paraId="7040FFE9">
        <w:tblPrEx>
          <w:tblCellMar>
            <w:top w:w="0" w:type="dxa"/>
            <w:left w:w="0" w:type="dxa"/>
            <w:bottom w:w="0" w:type="dxa"/>
            <w:right w:w="0" w:type="dxa"/>
          </w:tblCellMar>
        </w:tblPrEx>
        <w:trPr>
          <w:trHeight w:val="618" w:hRule="atLeast"/>
          <w:jc w:val="center"/>
        </w:trPr>
        <w:tc>
          <w:tcPr>
            <w:tcW w:w="408" w:type="pct"/>
            <w:tcBorders>
              <w:top w:val="single" w:color="000000" w:sz="4" w:space="0"/>
              <w:left w:val="single" w:color="000000" w:sz="4" w:space="0"/>
              <w:bottom w:val="single" w:color="000000" w:sz="4" w:space="0"/>
              <w:right w:val="single" w:color="000000" w:sz="4" w:space="0"/>
            </w:tcBorders>
            <w:noWrap w:val="0"/>
            <w:vAlign w:val="center"/>
          </w:tcPr>
          <w:p w14:paraId="689CBF88">
            <w:pPr>
              <w:spacing w:line="360" w:lineRule="auto"/>
              <w:jc w:val="center"/>
              <w:rPr>
                <w:rFonts w:hint="eastAsia" w:ascii="宋体" w:hAnsi="宋体" w:eastAsia="宋体" w:cs="宋体"/>
                <w:color w:val="auto"/>
                <w:sz w:val="24"/>
                <w:szCs w:val="24"/>
              </w:rPr>
            </w:pPr>
            <w:r>
              <w:rPr>
                <w:rFonts w:hint="eastAsia" w:ascii="宋体" w:hAnsi="宋体" w:eastAsia="宋体" w:cs="宋体"/>
                <w:color w:val="auto"/>
                <w:sz w:val="24"/>
                <w:szCs w:val="24"/>
              </w:rPr>
              <w:t>7</w:t>
            </w:r>
          </w:p>
        </w:tc>
        <w:tc>
          <w:tcPr>
            <w:tcW w:w="535" w:type="pct"/>
            <w:tcBorders>
              <w:top w:val="single" w:color="000000" w:sz="4" w:space="0"/>
              <w:left w:val="single" w:color="000000" w:sz="4" w:space="0"/>
              <w:bottom w:val="single" w:color="000000" w:sz="4" w:space="0"/>
              <w:right w:val="single" w:color="000000" w:sz="4" w:space="0"/>
            </w:tcBorders>
            <w:noWrap w:val="0"/>
            <w:vAlign w:val="center"/>
          </w:tcPr>
          <w:p w14:paraId="6A10C2A6">
            <w:pPr>
              <w:spacing w:line="360" w:lineRule="auto"/>
              <w:jc w:val="center"/>
              <w:rPr>
                <w:rFonts w:hint="eastAsia" w:ascii="宋体" w:hAnsi="宋体" w:eastAsia="宋体" w:cs="宋体"/>
                <w:color w:val="auto"/>
                <w:sz w:val="24"/>
                <w:szCs w:val="24"/>
                <w:highlight w:val="yellow"/>
              </w:rPr>
            </w:pPr>
            <w:r>
              <w:rPr>
                <w:rFonts w:hint="eastAsia" w:ascii="宋体" w:hAnsi="宋体" w:eastAsia="宋体" w:cs="宋体"/>
                <w:color w:val="auto"/>
                <w:sz w:val="24"/>
                <w:szCs w:val="24"/>
              </w:rPr>
              <w:t>机柜</w:t>
            </w:r>
          </w:p>
        </w:tc>
        <w:tc>
          <w:tcPr>
            <w:tcW w:w="4055" w:type="pct"/>
            <w:tcBorders>
              <w:top w:val="single" w:color="000000" w:sz="4" w:space="0"/>
              <w:left w:val="single" w:color="000000" w:sz="4" w:space="0"/>
              <w:bottom w:val="single" w:color="000000" w:sz="4" w:space="0"/>
              <w:right w:val="single" w:color="000000" w:sz="4" w:space="0"/>
            </w:tcBorders>
            <w:noWrap w:val="0"/>
            <w:vAlign w:val="center"/>
          </w:tcPr>
          <w:p w14:paraId="19C57034">
            <w:pPr>
              <w:spacing w:line="360" w:lineRule="auto"/>
              <w:jc w:val="both"/>
              <w:rPr>
                <w:rFonts w:hint="eastAsia" w:ascii="宋体" w:hAnsi="宋体" w:eastAsia="宋体" w:cs="宋体"/>
                <w:color w:val="auto"/>
                <w:sz w:val="24"/>
                <w:szCs w:val="24"/>
              </w:rPr>
            </w:pPr>
            <w:r>
              <w:rPr>
                <w:rFonts w:hint="eastAsia" w:ascii="宋体" w:hAnsi="宋体" w:eastAsia="宋体" w:cs="宋体"/>
                <w:color w:val="auto"/>
                <w:sz w:val="24"/>
                <w:szCs w:val="24"/>
              </w:rPr>
              <w:t>6U壁挂网络机柜，需与所购接入交换机匹配。</w:t>
            </w:r>
          </w:p>
        </w:tc>
      </w:tr>
      <w:tr w14:paraId="2E5525F2">
        <w:tblPrEx>
          <w:tblCellMar>
            <w:top w:w="0" w:type="dxa"/>
            <w:left w:w="0" w:type="dxa"/>
            <w:bottom w:w="0" w:type="dxa"/>
            <w:right w:w="0" w:type="dxa"/>
          </w:tblCellMar>
        </w:tblPrEx>
        <w:trPr>
          <w:trHeight w:val="965" w:hRule="atLeast"/>
          <w:jc w:val="center"/>
        </w:trPr>
        <w:tc>
          <w:tcPr>
            <w:tcW w:w="408" w:type="pct"/>
            <w:tcBorders>
              <w:top w:val="single" w:color="000000" w:sz="4" w:space="0"/>
              <w:left w:val="single" w:color="000000" w:sz="4" w:space="0"/>
              <w:bottom w:val="single" w:color="000000" w:sz="4" w:space="0"/>
              <w:right w:val="single" w:color="000000" w:sz="4" w:space="0"/>
            </w:tcBorders>
            <w:noWrap w:val="0"/>
            <w:vAlign w:val="center"/>
          </w:tcPr>
          <w:p w14:paraId="2B53C1BE">
            <w:pPr>
              <w:spacing w:line="360" w:lineRule="auto"/>
              <w:jc w:val="center"/>
              <w:rPr>
                <w:rFonts w:hint="eastAsia" w:ascii="宋体" w:hAnsi="宋体" w:eastAsia="宋体" w:cs="宋体"/>
                <w:color w:val="auto"/>
                <w:sz w:val="24"/>
                <w:szCs w:val="24"/>
              </w:rPr>
            </w:pPr>
            <w:r>
              <w:rPr>
                <w:rFonts w:hint="eastAsia" w:ascii="宋体" w:hAnsi="宋体" w:eastAsia="宋体" w:cs="宋体"/>
                <w:color w:val="auto"/>
                <w:sz w:val="24"/>
                <w:szCs w:val="24"/>
              </w:rPr>
              <w:t>8</w:t>
            </w:r>
          </w:p>
        </w:tc>
        <w:tc>
          <w:tcPr>
            <w:tcW w:w="535" w:type="pct"/>
            <w:tcBorders>
              <w:top w:val="single" w:color="000000" w:sz="4" w:space="0"/>
              <w:left w:val="single" w:color="000000" w:sz="4" w:space="0"/>
              <w:bottom w:val="single" w:color="000000" w:sz="4" w:space="0"/>
              <w:right w:val="single" w:color="000000" w:sz="4" w:space="0"/>
            </w:tcBorders>
            <w:noWrap w:val="0"/>
            <w:vAlign w:val="center"/>
          </w:tcPr>
          <w:p w14:paraId="306FC827">
            <w:pPr>
              <w:spacing w:line="360" w:lineRule="auto"/>
              <w:jc w:val="center"/>
              <w:rPr>
                <w:rFonts w:hint="eastAsia" w:ascii="宋体" w:hAnsi="宋体" w:eastAsia="宋体" w:cs="宋体"/>
                <w:color w:val="auto"/>
                <w:sz w:val="24"/>
                <w:szCs w:val="24"/>
                <w:highlight w:val="yellow"/>
              </w:rPr>
            </w:pPr>
            <w:r>
              <w:rPr>
                <w:rFonts w:hint="eastAsia" w:ascii="宋体" w:hAnsi="宋体" w:eastAsia="宋体" w:cs="宋体"/>
                <w:color w:val="auto"/>
                <w:sz w:val="24"/>
                <w:szCs w:val="24"/>
              </w:rPr>
              <w:t>辅材</w:t>
            </w:r>
          </w:p>
        </w:tc>
        <w:tc>
          <w:tcPr>
            <w:tcW w:w="4055" w:type="pct"/>
            <w:tcBorders>
              <w:top w:val="single" w:color="000000" w:sz="4" w:space="0"/>
              <w:left w:val="single" w:color="000000" w:sz="4" w:space="0"/>
              <w:bottom w:val="single" w:color="000000" w:sz="4" w:space="0"/>
              <w:right w:val="single" w:color="000000" w:sz="4" w:space="0"/>
            </w:tcBorders>
            <w:noWrap w:val="0"/>
            <w:vAlign w:val="center"/>
          </w:tcPr>
          <w:p w14:paraId="592EE0F3">
            <w:pPr>
              <w:spacing w:line="360" w:lineRule="auto"/>
              <w:jc w:val="both"/>
              <w:rPr>
                <w:rFonts w:hint="eastAsia" w:ascii="宋体" w:hAnsi="宋体" w:eastAsia="宋体" w:cs="宋体"/>
                <w:color w:val="auto"/>
                <w:sz w:val="24"/>
                <w:szCs w:val="24"/>
              </w:rPr>
            </w:pPr>
            <w:r>
              <w:rPr>
                <w:rFonts w:hint="eastAsia" w:ascii="宋体" w:hAnsi="宋体" w:eastAsia="宋体" w:cs="宋体"/>
                <w:color w:val="auto"/>
                <w:sz w:val="24"/>
                <w:szCs w:val="24"/>
              </w:rPr>
              <w:t>共2间学生机房，根据室内环境和设备使用情况，</w:t>
            </w:r>
            <w:r>
              <w:rPr>
                <w:rFonts w:hint="eastAsia" w:ascii="宋体" w:hAnsi="宋体" w:eastAsia="宋体" w:cs="宋体"/>
                <w:b/>
                <w:bCs/>
                <w:color w:val="auto"/>
                <w:sz w:val="24"/>
                <w:szCs w:val="24"/>
                <w:lang w:val="en-US" w:eastAsia="zh-CN"/>
              </w:rPr>
              <w:t>完成</w:t>
            </w:r>
            <w:r>
              <w:rPr>
                <w:rFonts w:hint="eastAsia" w:ascii="宋体" w:hAnsi="宋体" w:eastAsia="宋体" w:cs="宋体"/>
                <w:b/>
                <w:bCs/>
                <w:color w:val="auto"/>
                <w:sz w:val="24"/>
                <w:szCs w:val="24"/>
              </w:rPr>
              <w:t>布线施工安装调试等。</w:t>
            </w:r>
            <w:r>
              <w:rPr>
                <w:rFonts w:hint="eastAsia" w:ascii="宋体" w:hAnsi="宋体" w:eastAsia="宋体" w:cs="宋体"/>
                <w:color w:val="auto"/>
                <w:sz w:val="24"/>
                <w:szCs w:val="24"/>
              </w:rPr>
              <w:t>每间机房布设相应的强弱电，满足学校上课需求（含国标CAT6类纯铜线芯六类网线（0.57±0.02mm）、国标六类水晶头、国标电源线、国标品牌排插、PVC 槽板，服务期内，每学期协助学院提供、安装、调试教学软件。</w:t>
            </w:r>
            <w:r>
              <w:rPr>
                <w:rFonts w:hint="eastAsia" w:ascii="宋体" w:hAnsi="宋体" w:eastAsia="宋体" w:cs="宋体"/>
                <w:b/>
                <w:bCs/>
                <w:color w:val="auto"/>
                <w:sz w:val="24"/>
                <w:szCs w:val="24"/>
                <w:u w:val="single"/>
              </w:rPr>
              <w:t>本项目为交钥匙工程,此项目报价包括与本项目所有费用。</w:t>
            </w:r>
          </w:p>
        </w:tc>
      </w:tr>
    </w:tbl>
    <w:p w14:paraId="157F10EE">
      <w:pPr>
        <w:pStyle w:val="89"/>
        <w:spacing w:line="360" w:lineRule="auto"/>
        <w:ind w:left="1080" w:hanging="1080" w:firstLineChars="0"/>
        <w:rPr>
          <w:rFonts w:hint="eastAsia" w:ascii="宋体" w:hAnsi="宋体" w:eastAsia="宋体" w:cs="宋体"/>
          <w:b/>
          <w:bCs w:val="0"/>
          <w:color w:val="auto"/>
          <w:sz w:val="24"/>
        </w:rPr>
      </w:pPr>
      <w:r>
        <w:rPr>
          <w:rFonts w:hint="eastAsia" w:ascii="宋体" w:hAnsi="宋体" w:eastAsia="宋体" w:cs="宋体"/>
          <w:b/>
          <w:bCs w:val="0"/>
          <w:color w:val="auto"/>
          <w:sz w:val="24"/>
          <w:lang w:val="en-US" w:eastAsia="zh-CN"/>
        </w:rPr>
        <w:t>注</w:t>
      </w:r>
      <w:r>
        <w:rPr>
          <w:rFonts w:hint="eastAsia" w:ascii="宋体" w:hAnsi="宋体" w:eastAsia="宋体" w:cs="宋体"/>
          <w:b/>
          <w:bCs w:val="0"/>
          <w:color w:val="auto"/>
          <w:sz w:val="24"/>
        </w:rPr>
        <w:t>1、上述采购</w:t>
      </w:r>
      <w:r>
        <w:rPr>
          <w:rFonts w:hint="eastAsia" w:ascii="宋体" w:hAnsi="宋体" w:eastAsia="宋体" w:cs="宋体"/>
          <w:b/>
          <w:bCs w:val="0"/>
          <w:color w:val="auto"/>
          <w:sz w:val="24"/>
          <w:szCs w:val="24"/>
        </w:rPr>
        <w:t>技术规格需求</w:t>
      </w:r>
      <w:r>
        <w:rPr>
          <w:rFonts w:hint="eastAsia" w:ascii="宋体" w:hAnsi="宋体" w:eastAsia="宋体" w:cs="宋体"/>
          <w:b/>
          <w:bCs w:val="0"/>
          <w:color w:val="auto"/>
          <w:sz w:val="24"/>
        </w:rPr>
        <w:t>是最低限度的要求，投标人提供的货物及服务应达</w:t>
      </w:r>
    </w:p>
    <w:p w14:paraId="69F0DD7E">
      <w:pPr>
        <w:pStyle w:val="89"/>
        <w:spacing w:line="360" w:lineRule="auto"/>
        <w:ind w:left="1080" w:hanging="1080" w:firstLineChars="0"/>
        <w:rPr>
          <w:rFonts w:hint="eastAsia" w:ascii="宋体" w:hAnsi="宋体" w:eastAsia="宋体" w:cs="宋体"/>
          <w:b/>
          <w:bCs w:val="0"/>
          <w:color w:val="auto"/>
          <w:sz w:val="24"/>
        </w:rPr>
      </w:pPr>
      <w:r>
        <w:rPr>
          <w:rFonts w:hint="eastAsia" w:ascii="宋体" w:hAnsi="宋体" w:eastAsia="宋体" w:cs="宋体"/>
          <w:b/>
          <w:bCs w:val="0"/>
          <w:color w:val="auto"/>
          <w:sz w:val="24"/>
        </w:rPr>
        <w:t>到或优于本招标文件要求，且符合国家现行有关标准和规范要求，否则将以无</w:t>
      </w:r>
    </w:p>
    <w:p w14:paraId="46FDFC66">
      <w:pPr>
        <w:pStyle w:val="89"/>
        <w:spacing w:line="360" w:lineRule="auto"/>
        <w:ind w:left="1080" w:hanging="1080" w:firstLineChars="0"/>
        <w:rPr>
          <w:rFonts w:ascii="宋体" w:hAnsi="宋体" w:eastAsia="宋体" w:cs="宋体"/>
          <w:b/>
          <w:bCs w:val="0"/>
          <w:color w:val="auto"/>
          <w:sz w:val="24"/>
        </w:rPr>
      </w:pPr>
      <w:r>
        <w:rPr>
          <w:rFonts w:hint="eastAsia" w:ascii="宋体" w:hAnsi="宋体" w:eastAsia="宋体" w:cs="宋体"/>
          <w:b/>
          <w:bCs w:val="0"/>
          <w:color w:val="auto"/>
          <w:sz w:val="24"/>
        </w:rPr>
        <w:t>效标处理。</w:t>
      </w:r>
    </w:p>
    <w:p w14:paraId="44C23DF0">
      <w:pPr>
        <w:tabs>
          <w:tab w:val="left" w:pos="570"/>
        </w:tabs>
        <w:adjustRightInd w:val="0"/>
        <w:spacing w:line="360" w:lineRule="auto"/>
        <w:rPr>
          <w:rFonts w:hint="eastAsia" w:ascii="宋体" w:hAnsi="宋体" w:cs="宋体"/>
          <w:b/>
          <w:color w:val="auto"/>
          <w:sz w:val="24"/>
          <w:szCs w:val="24"/>
        </w:rPr>
      </w:pPr>
    </w:p>
    <w:p w14:paraId="6FC4EF00">
      <w:pPr>
        <w:tabs>
          <w:tab w:val="left" w:pos="570"/>
        </w:tabs>
        <w:adjustRightInd w:val="0"/>
        <w:spacing w:line="360" w:lineRule="auto"/>
        <w:rPr>
          <w:rFonts w:hint="eastAsia" w:ascii="宋体" w:hAnsi="宋体" w:cs="宋体"/>
          <w:b/>
          <w:color w:val="auto"/>
          <w:sz w:val="24"/>
          <w:szCs w:val="24"/>
        </w:rPr>
      </w:pPr>
      <w:r>
        <w:rPr>
          <w:rFonts w:hint="eastAsia" w:ascii="宋体" w:hAnsi="宋体" w:cs="宋体"/>
          <w:b/>
          <w:color w:val="auto"/>
          <w:sz w:val="24"/>
          <w:szCs w:val="24"/>
        </w:rPr>
        <w:t>（二）商务条款</w:t>
      </w:r>
    </w:p>
    <w:tbl>
      <w:tblPr>
        <w:tblStyle w:val="32"/>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09"/>
        <w:gridCol w:w="1487"/>
        <w:gridCol w:w="6320"/>
      </w:tblGrid>
      <w:tr w14:paraId="69DB4B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1" w:hRule="atLeast"/>
          <w:jc w:val="center"/>
        </w:trPr>
        <w:tc>
          <w:tcPr>
            <w:tcW w:w="416" w:type="pct"/>
            <w:vAlign w:val="center"/>
          </w:tcPr>
          <w:p w14:paraId="3D4416F4">
            <w:pPr>
              <w:spacing w:line="460" w:lineRule="exact"/>
              <w:jc w:val="center"/>
              <w:rPr>
                <w:rFonts w:hint="eastAsia" w:ascii="宋体" w:hAnsi="宋体" w:eastAsia="宋体" w:cs="宋体"/>
                <w:b/>
                <w:color w:val="auto"/>
                <w:sz w:val="24"/>
                <w:szCs w:val="24"/>
              </w:rPr>
            </w:pPr>
            <w:r>
              <w:rPr>
                <w:rFonts w:hint="eastAsia" w:ascii="宋体" w:hAnsi="宋体" w:eastAsia="宋体" w:cs="宋体"/>
                <w:b/>
                <w:color w:val="auto"/>
                <w:sz w:val="24"/>
                <w:szCs w:val="24"/>
              </w:rPr>
              <w:t>序号</w:t>
            </w:r>
          </w:p>
        </w:tc>
        <w:tc>
          <w:tcPr>
            <w:tcW w:w="873" w:type="pct"/>
            <w:vAlign w:val="center"/>
          </w:tcPr>
          <w:p w14:paraId="27E2BE32">
            <w:pPr>
              <w:spacing w:line="460" w:lineRule="exact"/>
              <w:jc w:val="center"/>
              <w:rPr>
                <w:rFonts w:hint="eastAsia" w:ascii="宋体" w:hAnsi="宋体" w:eastAsia="宋体" w:cs="宋体"/>
                <w:b/>
                <w:color w:val="auto"/>
                <w:sz w:val="24"/>
                <w:szCs w:val="24"/>
              </w:rPr>
            </w:pPr>
            <w:r>
              <w:rPr>
                <w:rFonts w:hint="eastAsia" w:ascii="宋体" w:hAnsi="宋体" w:eastAsia="宋体" w:cs="宋体"/>
                <w:b/>
                <w:color w:val="auto"/>
                <w:sz w:val="24"/>
                <w:szCs w:val="24"/>
              </w:rPr>
              <w:t>条款名称</w:t>
            </w:r>
          </w:p>
        </w:tc>
        <w:tc>
          <w:tcPr>
            <w:tcW w:w="3710" w:type="pct"/>
          </w:tcPr>
          <w:p w14:paraId="1CF30AD2">
            <w:pPr>
              <w:spacing w:line="460" w:lineRule="exact"/>
              <w:jc w:val="center"/>
              <w:rPr>
                <w:rFonts w:hint="eastAsia" w:ascii="宋体" w:hAnsi="宋体" w:eastAsia="宋体" w:cs="宋体"/>
                <w:b/>
                <w:color w:val="auto"/>
                <w:sz w:val="24"/>
                <w:szCs w:val="24"/>
              </w:rPr>
            </w:pPr>
            <w:r>
              <w:rPr>
                <w:rFonts w:hint="eastAsia" w:ascii="宋体" w:hAnsi="宋体" w:eastAsia="宋体" w:cs="宋体"/>
                <w:b/>
                <w:color w:val="auto"/>
                <w:sz w:val="24"/>
                <w:szCs w:val="24"/>
              </w:rPr>
              <w:t>条款内容</w:t>
            </w:r>
          </w:p>
        </w:tc>
      </w:tr>
      <w:tr w14:paraId="1A2F99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1" w:hRule="atLeast"/>
          <w:jc w:val="center"/>
        </w:trPr>
        <w:tc>
          <w:tcPr>
            <w:tcW w:w="416" w:type="pct"/>
            <w:vAlign w:val="center"/>
          </w:tcPr>
          <w:p w14:paraId="16473CD5">
            <w:pPr>
              <w:spacing w:line="460" w:lineRule="exact"/>
              <w:jc w:val="center"/>
              <w:rPr>
                <w:rFonts w:hint="eastAsia" w:ascii="宋体" w:hAnsi="宋体" w:eastAsia="宋体" w:cs="宋体"/>
                <w:bCs/>
                <w:color w:val="auto"/>
                <w:sz w:val="24"/>
                <w:szCs w:val="24"/>
              </w:rPr>
            </w:pPr>
            <w:r>
              <w:rPr>
                <w:rFonts w:hint="eastAsia" w:ascii="宋体" w:hAnsi="宋体" w:eastAsia="宋体" w:cs="宋体"/>
                <w:bCs/>
                <w:color w:val="auto"/>
                <w:sz w:val="24"/>
                <w:szCs w:val="24"/>
              </w:rPr>
              <w:t>1</w:t>
            </w:r>
          </w:p>
        </w:tc>
        <w:tc>
          <w:tcPr>
            <w:tcW w:w="873" w:type="pct"/>
            <w:vAlign w:val="center"/>
          </w:tcPr>
          <w:p w14:paraId="40B362CA">
            <w:pPr>
              <w:spacing w:line="460" w:lineRule="exact"/>
              <w:jc w:val="center"/>
              <w:rPr>
                <w:rFonts w:hint="eastAsia" w:ascii="宋体" w:hAnsi="宋体" w:eastAsia="宋体" w:cs="宋体"/>
                <w:bCs/>
                <w:color w:val="auto"/>
                <w:sz w:val="24"/>
                <w:szCs w:val="24"/>
              </w:rPr>
            </w:pPr>
            <w:r>
              <w:rPr>
                <w:rFonts w:hint="eastAsia" w:ascii="宋体" w:hAnsi="宋体" w:eastAsia="宋体" w:cs="宋体"/>
                <w:bCs/>
                <w:color w:val="auto"/>
                <w:sz w:val="24"/>
                <w:szCs w:val="24"/>
                <w:highlight w:val="none"/>
              </w:rPr>
              <w:t>付款方式</w:t>
            </w:r>
            <w:r>
              <w:rPr>
                <w:rFonts w:hint="eastAsia" w:ascii="宋体" w:hAnsi="宋体" w:eastAsia="宋体" w:cs="宋体"/>
                <w:bCs/>
                <w:color w:val="auto"/>
                <w:sz w:val="24"/>
                <w:szCs w:val="24"/>
                <w:highlight w:val="none"/>
                <w:lang w:eastAsia="zh-CN"/>
              </w:rPr>
              <w:t>（</w:t>
            </w:r>
            <w:r>
              <w:rPr>
                <w:rFonts w:hint="eastAsia" w:ascii="宋体" w:hAnsi="宋体" w:eastAsia="宋体" w:cs="宋体"/>
                <w:bCs/>
                <w:color w:val="auto"/>
                <w:sz w:val="24"/>
                <w:szCs w:val="24"/>
                <w:highlight w:val="none"/>
                <w:lang w:val="en-US" w:eastAsia="zh-CN"/>
              </w:rPr>
              <w:t>进度和方式</w:t>
            </w:r>
            <w:r>
              <w:rPr>
                <w:rFonts w:hint="eastAsia" w:ascii="宋体" w:hAnsi="宋体" w:eastAsia="宋体" w:cs="宋体"/>
                <w:bCs/>
                <w:color w:val="auto"/>
                <w:sz w:val="24"/>
                <w:szCs w:val="24"/>
                <w:highlight w:val="none"/>
                <w:lang w:eastAsia="zh-CN"/>
              </w:rPr>
              <w:t>）</w:t>
            </w:r>
          </w:p>
        </w:tc>
        <w:tc>
          <w:tcPr>
            <w:tcW w:w="3710" w:type="pct"/>
          </w:tcPr>
          <w:p w14:paraId="13E11191">
            <w:pPr>
              <w:spacing w:line="460" w:lineRule="exact"/>
              <w:rPr>
                <w:rFonts w:hint="eastAsia" w:ascii="宋体" w:hAnsi="宋体" w:eastAsia="宋体" w:cs="宋体"/>
                <w:color w:val="auto"/>
                <w:sz w:val="24"/>
                <w:szCs w:val="24"/>
              </w:rPr>
            </w:pPr>
            <w:r>
              <w:rPr>
                <w:rFonts w:hint="eastAsia" w:ascii="宋体" w:hAnsi="宋体" w:eastAsia="宋体" w:cs="宋体"/>
                <w:color w:val="auto"/>
                <w:sz w:val="24"/>
                <w:szCs w:val="24"/>
                <w:lang w:val="en-US" w:eastAsia="zh-CN"/>
              </w:rPr>
              <w:t>项目验收合格之后，采购人以国库集中支付方式，将100%的合同款项支付到合同约定的成交供应商账户。（如本项目适用《南昌市落实优化营商环境“一号工程”推进政府采购工作实施方案》，则按该方案要求的付款条件执行）。</w:t>
            </w:r>
          </w:p>
        </w:tc>
      </w:tr>
      <w:tr w14:paraId="07EA7C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1" w:hRule="atLeast"/>
          <w:jc w:val="center"/>
        </w:trPr>
        <w:tc>
          <w:tcPr>
            <w:tcW w:w="416" w:type="pct"/>
            <w:vAlign w:val="center"/>
          </w:tcPr>
          <w:p w14:paraId="33A9C903">
            <w:pPr>
              <w:spacing w:line="460" w:lineRule="exact"/>
              <w:jc w:val="center"/>
              <w:rPr>
                <w:rFonts w:hint="eastAsia" w:ascii="宋体" w:hAnsi="宋体" w:eastAsia="宋体" w:cs="宋体"/>
                <w:bCs/>
                <w:color w:val="auto"/>
                <w:sz w:val="24"/>
                <w:szCs w:val="24"/>
              </w:rPr>
            </w:pPr>
            <w:r>
              <w:rPr>
                <w:rFonts w:hint="eastAsia" w:ascii="宋体" w:hAnsi="宋体" w:eastAsia="宋体" w:cs="宋体"/>
                <w:bCs/>
                <w:color w:val="auto"/>
                <w:sz w:val="24"/>
                <w:szCs w:val="24"/>
              </w:rPr>
              <w:t>2</w:t>
            </w:r>
          </w:p>
        </w:tc>
        <w:tc>
          <w:tcPr>
            <w:tcW w:w="873" w:type="pct"/>
            <w:vAlign w:val="center"/>
          </w:tcPr>
          <w:p w14:paraId="6351D436">
            <w:pPr>
              <w:pageBreakBefore w:val="0"/>
              <w:kinsoku/>
              <w:wordWrap/>
              <w:overflowPunct/>
              <w:topLinePunct w:val="0"/>
              <w:autoSpaceDE/>
              <w:autoSpaceDN/>
              <w:bidi w:val="0"/>
              <w:adjustRightInd/>
              <w:snapToGrid/>
              <w:spacing w:line="500" w:lineRule="exact"/>
              <w:jc w:val="center"/>
              <w:rPr>
                <w:rFonts w:hint="eastAsia" w:ascii="宋体" w:hAnsi="宋体" w:eastAsia="宋体" w:cs="宋体"/>
                <w:bCs/>
                <w:color w:val="auto"/>
                <w:sz w:val="24"/>
                <w:szCs w:val="24"/>
                <w:highlight w:val="none"/>
              </w:rPr>
            </w:pPr>
            <w:r>
              <w:rPr>
                <w:rFonts w:hint="eastAsia" w:ascii="宋体" w:hAnsi="宋体" w:eastAsia="宋体" w:cs="宋体"/>
                <w:bCs/>
                <w:color w:val="auto"/>
                <w:sz w:val="24"/>
                <w:szCs w:val="24"/>
                <w:highlight w:val="none"/>
              </w:rPr>
              <w:t>合同履行期</w:t>
            </w:r>
          </w:p>
          <w:p w14:paraId="6C8ECAF1">
            <w:pPr>
              <w:spacing w:line="460" w:lineRule="exact"/>
              <w:jc w:val="center"/>
              <w:rPr>
                <w:rFonts w:hint="eastAsia" w:ascii="宋体" w:hAnsi="宋体" w:eastAsia="宋体" w:cs="宋体"/>
                <w:bCs/>
                <w:color w:val="auto"/>
                <w:sz w:val="24"/>
                <w:szCs w:val="24"/>
              </w:rPr>
            </w:pPr>
            <w:r>
              <w:rPr>
                <w:rFonts w:hint="eastAsia" w:ascii="宋体" w:hAnsi="宋体" w:eastAsia="宋体" w:cs="宋体"/>
                <w:bCs/>
                <w:color w:val="auto"/>
                <w:sz w:val="24"/>
                <w:szCs w:val="24"/>
                <w:highlight w:val="none"/>
              </w:rPr>
              <w:t>（交货期</w:t>
            </w:r>
            <w:r>
              <w:rPr>
                <w:rFonts w:hint="eastAsia" w:ascii="宋体" w:hAnsi="宋体" w:eastAsia="宋体" w:cs="宋体"/>
                <w:bCs/>
                <w:color w:val="auto"/>
                <w:sz w:val="24"/>
                <w:szCs w:val="24"/>
                <w:highlight w:val="none"/>
                <w:lang w:val="en-US" w:eastAsia="zh-CN"/>
              </w:rPr>
              <w:t>/交付时间</w:t>
            </w:r>
            <w:r>
              <w:rPr>
                <w:rFonts w:hint="eastAsia" w:ascii="宋体" w:hAnsi="宋体" w:eastAsia="宋体" w:cs="宋体"/>
                <w:bCs/>
                <w:color w:val="auto"/>
                <w:sz w:val="24"/>
                <w:szCs w:val="24"/>
                <w:highlight w:val="none"/>
              </w:rPr>
              <w:t>）</w:t>
            </w:r>
          </w:p>
        </w:tc>
        <w:tc>
          <w:tcPr>
            <w:tcW w:w="3710" w:type="pct"/>
          </w:tcPr>
          <w:p w14:paraId="6DED55E2">
            <w:pPr>
              <w:spacing w:line="360" w:lineRule="auto"/>
              <w:rPr>
                <w:rFonts w:hint="eastAsia" w:ascii="宋体" w:hAnsi="宋体" w:eastAsia="宋体" w:cs="宋体"/>
                <w:color w:val="auto"/>
                <w:sz w:val="24"/>
                <w:szCs w:val="24"/>
              </w:rPr>
            </w:pPr>
            <w:r>
              <w:rPr>
                <w:rFonts w:hint="eastAsia" w:ascii="宋体" w:hAnsi="宋体" w:eastAsia="宋体" w:cs="宋体"/>
                <w:color w:val="auto"/>
                <w:sz w:val="24"/>
                <w:szCs w:val="24"/>
              </w:rPr>
              <w:t>本项目为交钥匙项目</w:t>
            </w:r>
            <w:r>
              <w:rPr>
                <w:rFonts w:hint="eastAsia" w:ascii="宋体" w:hAnsi="宋体" w:eastAsia="宋体" w:cs="宋体"/>
                <w:color w:val="auto"/>
                <w:sz w:val="24"/>
                <w:szCs w:val="24"/>
                <w:lang w:eastAsia="zh-CN"/>
              </w:rPr>
              <w:t>，</w:t>
            </w:r>
            <w:r>
              <w:rPr>
                <w:rFonts w:hint="eastAsia" w:ascii="宋体" w:hAnsi="宋体" w:eastAsia="宋体" w:cs="宋体"/>
                <w:color w:val="auto"/>
                <w:sz w:val="24"/>
                <w:szCs w:val="24"/>
              </w:rPr>
              <w:t>合同签订后</w:t>
            </w:r>
            <w:r>
              <w:rPr>
                <w:rFonts w:hint="eastAsia" w:ascii="宋体" w:hAnsi="宋体" w:eastAsia="宋体" w:cs="宋体"/>
                <w:color w:val="auto"/>
                <w:sz w:val="24"/>
                <w:szCs w:val="24"/>
                <w:lang w:val="en-US" w:eastAsia="zh-CN"/>
              </w:rPr>
              <w:t>30</w:t>
            </w:r>
            <w:r>
              <w:rPr>
                <w:rFonts w:hint="eastAsia" w:ascii="宋体" w:hAnsi="宋体" w:eastAsia="宋体" w:cs="宋体"/>
                <w:color w:val="auto"/>
                <w:sz w:val="24"/>
                <w:szCs w:val="24"/>
              </w:rPr>
              <w:t xml:space="preserve">个日历日内完成项目全部货物的交付、安装、调试等工作并直接交付使用。 </w:t>
            </w:r>
          </w:p>
          <w:p w14:paraId="62B64517">
            <w:pPr>
              <w:spacing w:line="460" w:lineRule="exact"/>
              <w:rPr>
                <w:rFonts w:hint="eastAsia" w:ascii="宋体" w:hAnsi="宋体" w:eastAsia="宋体" w:cs="宋体"/>
                <w:color w:val="auto"/>
                <w:sz w:val="24"/>
                <w:szCs w:val="24"/>
              </w:rPr>
            </w:pPr>
            <w:r>
              <w:rPr>
                <w:rFonts w:hint="eastAsia" w:ascii="宋体" w:hAnsi="宋体" w:eastAsia="宋体" w:cs="宋体"/>
                <w:color w:val="auto"/>
                <w:sz w:val="24"/>
                <w:szCs w:val="24"/>
              </w:rPr>
              <w:t>注：如为中小企业成交双方应在15日内完成合同签订。</w:t>
            </w:r>
          </w:p>
        </w:tc>
      </w:tr>
      <w:tr w14:paraId="065DEC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5" w:hRule="atLeast"/>
          <w:jc w:val="center"/>
        </w:trPr>
        <w:tc>
          <w:tcPr>
            <w:tcW w:w="416" w:type="pct"/>
            <w:vAlign w:val="center"/>
          </w:tcPr>
          <w:p w14:paraId="4809EFE5">
            <w:pPr>
              <w:spacing w:line="460" w:lineRule="exact"/>
              <w:jc w:val="center"/>
              <w:rPr>
                <w:rFonts w:hint="eastAsia" w:ascii="宋体" w:hAnsi="宋体" w:eastAsia="宋体" w:cs="宋体"/>
                <w:bCs/>
                <w:color w:val="auto"/>
                <w:sz w:val="24"/>
                <w:szCs w:val="24"/>
              </w:rPr>
            </w:pPr>
            <w:r>
              <w:rPr>
                <w:rFonts w:hint="eastAsia" w:ascii="宋体" w:hAnsi="宋体" w:eastAsia="宋体" w:cs="宋体"/>
                <w:bCs/>
                <w:color w:val="auto"/>
                <w:sz w:val="24"/>
                <w:szCs w:val="24"/>
              </w:rPr>
              <w:t>3</w:t>
            </w:r>
          </w:p>
        </w:tc>
        <w:tc>
          <w:tcPr>
            <w:tcW w:w="873" w:type="pct"/>
            <w:vAlign w:val="center"/>
          </w:tcPr>
          <w:p w14:paraId="1940CFEF">
            <w:pPr>
              <w:spacing w:line="460" w:lineRule="exact"/>
              <w:jc w:val="center"/>
              <w:rPr>
                <w:rFonts w:hint="eastAsia" w:ascii="宋体" w:hAnsi="宋体" w:eastAsia="宋体" w:cs="宋体"/>
                <w:bCs/>
                <w:color w:val="auto"/>
                <w:sz w:val="24"/>
                <w:szCs w:val="24"/>
              </w:rPr>
            </w:pPr>
            <w:r>
              <w:rPr>
                <w:rFonts w:hint="eastAsia" w:ascii="宋体" w:hAnsi="宋体" w:eastAsia="宋体" w:cs="宋体"/>
                <w:bCs/>
                <w:color w:val="auto"/>
                <w:sz w:val="24"/>
                <w:szCs w:val="24"/>
              </w:rPr>
              <w:t>交货地点</w:t>
            </w:r>
          </w:p>
        </w:tc>
        <w:tc>
          <w:tcPr>
            <w:tcW w:w="3710" w:type="pct"/>
            <w:vAlign w:val="center"/>
          </w:tcPr>
          <w:p w14:paraId="01C9F5EE">
            <w:pPr>
              <w:spacing w:line="460" w:lineRule="exact"/>
              <w:jc w:val="left"/>
              <w:rPr>
                <w:rFonts w:hint="eastAsia" w:ascii="宋体" w:hAnsi="宋体" w:eastAsia="宋体" w:cs="宋体"/>
                <w:color w:val="auto"/>
                <w:sz w:val="24"/>
                <w:szCs w:val="24"/>
              </w:rPr>
            </w:pPr>
            <w:r>
              <w:rPr>
                <w:rFonts w:hint="eastAsia" w:ascii="宋体" w:hAnsi="宋体" w:eastAsia="宋体" w:cs="宋体"/>
                <w:color w:val="auto"/>
                <w:sz w:val="24"/>
                <w:szCs w:val="24"/>
              </w:rPr>
              <w:t>交货地点：南昌市洪都中学新校区。</w:t>
            </w:r>
          </w:p>
        </w:tc>
      </w:tr>
      <w:tr w14:paraId="411AD7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1" w:hRule="atLeast"/>
          <w:jc w:val="center"/>
        </w:trPr>
        <w:tc>
          <w:tcPr>
            <w:tcW w:w="416" w:type="pct"/>
            <w:vAlign w:val="center"/>
          </w:tcPr>
          <w:p w14:paraId="537237EF">
            <w:pPr>
              <w:spacing w:line="460" w:lineRule="exact"/>
              <w:jc w:val="center"/>
              <w:rPr>
                <w:rFonts w:hint="eastAsia" w:ascii="宋体" w:hAnsi="宋体" w:eastAsia="宋体" w:cs="宋体"/>
                <w:bCs/>
                <w:color w:val="auto"/>
                <w:sz w:val="24"/>
                <w:szCs w:val="24"/>
              </w:rPr>
            </w:pPr>
            <w:r>
              <w:rPr>
                <w:rFonts w:hint="eastAsia" w:ascii="宋体" w:hAnsi="宋体" w:eastAsia="宋体" w:cs="宋体"/>
                <w:bCs/>
                <w:color w:val="auto"/>
                <w:sz w:val="24"/>
                <w:szCs w:val="24"/>
              </w:rPr>
              <w:t>4</w:t>
            </w:r>
          </w:p>
        </w:tc>
        <w:tc>
          <w:tcPr>
            <w:tcW w:w="873" w:type="pct"/>
            <w:vAlign w:val="center"/>
          </w:tcPr>
          <w:p w14:paraId="1FAE9173">
            <w:pPr>
              <w:spacing w:line="460" w:lineRule="exact"/>
              <w:jc w:val="center"/>
              <w:rPr>
                <w:rFonts w:hint="eastAsia" w:ascii="宋体" w:hAnsi="宋体" w:eastAsia="宋体" w:cs="宋体"/>
                <w:bCs/>
                <w:color w:val="auto"/>
                <w:sz w:val="24"/>
                <w:szCs w:val="24"/>
              </w:rPr>
            </w:pPr>
            <w:r>
              <w:rPr>
                <w:rFonts w:hint="eastAsia" w:ascii="宋体" w:hAnsi="宋体" w:eastAsia="宋体" w:cs="宋体"/>
                <w:bCs/>
                <w:color w:val="auto"/>
                <w:sz w:val="24"/>
                <w:szCs w:val="24"/>
              </w:rPr>
              <w:t>质保和售后服务要求</w:t>
            </w:r>
          </w:p>
        </w:tc>
        <w:tc>
          <w:tcPr>
            <w:tcW w:w="3710" w:type="pct"/>
          </w:tcPr>
          <w:p w14:paraId="4C8BDBC5">
            <w:pPr>
              <w:numPr>
                <w:ilvl w:val="0"/>
                <w:numId w:val="0"/>
              </w:numPr>
              <w:spacing w:line="360" w:lineRule="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rPr>
              <w:t>1.</w:t>
            </w:r>
            <w:r>
              <w:rPr>
                <w:rFonts w:hint="eastAsia" w:ascii="宋体" w:hAnsi="宋体" w:eastAsia="宋体" w:cs="宋体"/>
                <w:color w:val="auto"/>
                <w:sz w:val="24"/>
                <w:szCs w:val="24"/>
                <w:lang w:val="en-US" w:eastAsia="zh-CN"/>
              </w:rPr>
              <w:t>产品质保期：电脑整机由原厂提供至少三年免费保修及上门服务（含换件和维修），电脑产品的主要部件提供至少六年的原厂上门保修服务（自购买之日起），软件及配件由成交供应商提供至少三年保修维护服务，</w:t>
            </w:r>
            <w:r>
              <w:rPr>
                <w:rFonts w:hint="eastAsia" w:ascii="宋体" w:hAnsi="宋体" w:eastAsia="宋体" w:cs="宋体"/>
                <w:b/>
                <w:bCs/>
                <w:color w:val="auto"/>
                <w:sz w:val="24"/>
                <w:szCs w:val="24"/>
                <w:u w:val="single"/>
                <w:lang w:val="en-US" w:eastAsia="zh-CN"/>
              </w:rPr>
              <w:t>如供应商承诺更优的，以供应商承诺为准。</w:t>
            </w:r>
            <w:r>
              <w:rPr>
                <w:rFonts w:hint="eastAsia" w:ascii="宋体" w:hAnsi="宋体" w:eastAsia="宋体" w:cs="宋体"/>
                <w:color w:val="auto"/>
                <w:sz w:val="24"/>
                <w:szCs w:val="24"/>
                <w:lang w:val="en-US" w:eastAsia="zh-CN"/>
              </w:rPr>
              <w:t xml:space="preserve"> </w:t>
            </w:r>
          </w:p>
          <w:p w14:paraId="6B297FE0">
            <w:pPr>
              <w:numPr>
                <w:ilvl w:val="0"/>
                <w:numId w:val="0"/>
              </w:numPr>
              <w:spacing w:line="360" w:lineRule="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2.质保期内的质保服务含原厂质保服务均须由成交供应商全权负责，</w:t>
            </w:r>
            <w:r>
              <w:rPr>
                <w:rFonts w:hint="eastAsia" w:ascii="宋体" w:hAnsi="宋体" w:eastAsia="宋体" w:cs="宋体"/>
                <w:b w:val="0"/>
                <w:bCs w:val="0"/>
                <w:color w:val="auto"/>
                <w:sz w:val="24"/>
                <w:szCs w:val="24"/>
                <w:shd w:val="clear" w:color="auto" w:fill="FFFFFF"/>
                <w:lang w:val="en-US" w:eastAsia="zh-CN"/>
              </w:rPr>
              <w:t>供应商需配备专属运维团队，接采购人通知后4小时内响应，故障解决时间≤24小时，提供7×24小时技术支持热线。</w:t>
            </w:r>
            <w:r>
              <w:rPr>
                <w:rFonts w:hint="eastAsia" w:ascii="宋体" w:hAnsi="宋体" w:eastAsia="宋体" w:cs="宋体"/>
                <w:color w:val="auto"/>
                <w:sz w:val="24"/>
                <w:szCs w:val="24"/>
                <w:lang w:val="en-US" w:eastAsia="zh-CN"/>
              </w:rPr>
              <w:t xml:space="preserve">其中原厂质保范围内的报修须由成交供应商负责与原厂沟通并跟进直至完成售后服务任务。质量保证期自本合同项目安装调试并最终验收合格之日起算（需求中另有规定的按规定执行）。 </w:t>
            </w:r>
          </w:p>
          <w:p w14:paraId="4733D601">
            <w:pPr>
              <w:spacing w:line="360" w:lineRule="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3.为防范供应商、生产商通过恶意拼装、拼凑组件等方式虚假满足技术参数要求，成交供应商须提供原厂原装整机电脑，且保证货物是全新未使用过的，并完全符合合同规定的质量、规格和性能的要求。严禁使用组装机、改装机、贴牌机等非原厂整机；严禁中标后针对本项目另行定制生产、拼装或全新研发未上市机型。</w:t>
            </w:r>
          </w:p>
          <w:p w14:paraId="128342B8">
            <w:pPr>
              <w:numPr>
                <w:ilvl w:val="0"/>
                <w:numId w:val="0"/>
              </w:numPr>
              <w:spacing w:line="360" w:lineRule="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4.巡检服务：成交供应商应在质保期内，每个学期对所供产品进行一次巡检，巡检内容包含但不限于系统清理、杀毒等。</w:t>
            </w:r>
          </w:p>
          <w:p w14:paraId="0ECC9969">
            <w:pPr>
              <w:spacing w:line="460" w:lineRule="exact"/>
              <w:jc w:val="left"/>
              <w:rPr>
                <w:rFonts w:hint="eastAsia" w:ascii="宋体" w:hAnsi="宋体" w:eastAsia="宋体" w:cs="宋体"/>
                <w:color w:val="auto"/>
                <w:sz w:val="24"/>
                <w:szCs w:val="24"/>
              </w:rPr>
            </w:pPr>
            <w:r>
              <w:rPr>
                <w:rFonts w:hint="eastAsia" w:ascii="宋体" w:hAnsi="宋体" w:eastAsia="宋体" w:cs="宋体"/>
                <w:color w:val="auto"/>
                <w:sz w:val="24"/>
                <w:szCs w:val="24"/>
                <w:lang w:val="en-US" w:eastAsia="zh-CN"/>
              </w:rPr>
              <w:t>5.在质保期内，成交供应商修维电脑时需为采购人提供备用机，保障采购人的电脑使用需求。</w:t>
            </w:r>
          </w:p>
        </w:tc>
      </w:tr>
      <w:tr w14:paraId="39BC84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1" w:hRule="atLeast"/>
          <w:jc w:val="center"/>
        </w:trPr>
        <w:tc>
          <w:tcPr>
            <w:tcW w:w="416" w:type="pct"/>
            <w:vAlign w:val="center"/>
          </w:tcPr>
          <w:p w14:paraId="30F931D8">
            <w:pPr>
              <w:spacing w:line="460" w:lineRule="exact"/>
              <w:jc w:val="center"/>
              <w:rPr>
                <w:rFonts w:hint="eastAsia" w:ascii="宋体" w:hAnsi="宋体" w:eastAsia="宋体" w:cs="宋体"/>
                <w:bCs/>
                <w:color w:val="auto"/>
                <w:sz w:val="24"/>
                <w:szCs w:val="24"/>
              </w:rPr>
            </w:pPr>
            <w:r>
              <w:rPr>
                <w:rFonts w:hint="eastAsia" w:ascii="宋体" w:hAnsi="宋体" w:eastAsia="宋体" w:cs="宋体"/>
                <w:bCs/>
                <w:color w:val="auto"/>
                <w:sz w:val="24"/>
                <w:szCs w:val="24"/>
              </w:rPr>
              <w:t>5</w:t>
            </w:r>
          </w:p>
        </w:tc>
        <w:tc>
          <w:tcPr>
            <w:tcW w:w="873" w:type="pct"/>
            <w:vAlign w:val="center"/>
          </w:tcPr>
          <w:p w14:paraId="7845E9DA">
            <w:pPr>
              <w:spacing w:line="460" w:lineRule="exact"/>
              <w:jc w:val="center"/>
              <w:rPr>
                <w:rFonts w:hint="eastAsia" w:ascii="宋体" w:hAnsi="宋体" w:eastAsia="宋体" w:cs="宋体"/>
                <w:bCs/>
                <w:color w:val="auto"/>
                <w:sz w:val="24"/>
                <w:szCs w:val="24"/>
              </w:rPr>
            </w:pPr>
            <w:r>
              <w:rPr>
                <w:rFonts w:hint="eastAsia" w:ascii="宋体" w:hAnsi="宋体" w:eastAsia="宋体" w:cs="宋体"/>
                <w:bCs/>
                <w:color w:val="auto"/>
                <w:sz w:val="24"/>
                <w:szCs w:val="24"/>
              </w:rPr>
              <w:t>交货包装、运输要求</w:t>
            </w:r>
          </w:p>
        </w:tc>
        <w:tc>
          <w:tcPr>
            <w:tcW w:w="3710" w:type="pct"/>
          </w:tcPr>
          <w:p w14:paraId="79386916">
            <w:pPr>
              <w:spacing w:line="460" w:lineRule="exact"/>
              <w:rPr>
                <w:rFonts w:hint="eastAsia" w:ascii="宋体" w:hAnsi="宋体" w:eastAsia="宋体" w:cs="宋体"/>
                <w:color w:val="auto"/>
                <w:sz w:val="24"/>
                <w:szCs w:val="24"/>
              </w:rPr>
            </w:pPr>
            <w:r>
              <w:rPr>
                <w:rFonts w:hint="eastAsia" w:ascii="宋体" w:hAnsi="宋体" w:eastAsia="宋体" w:cs="宋体"/>
                <w:color w:val="auto"/>
                <w:sz w:val="24"/>
                <w:szCs w:val="24"/>
                <w:lang w:val="en-US" w:eastAsia="zh-CN"/>
              </w:rPr>
              <w:t>依照《商品包装政府采购需求标准（试行）》（财办库〔2020〕 123 号）、《快递包装政府采购需求标准（试行）》执行。</w:t>
            </w:r>
          </w:p>
        </w:tc>
      </w:tr>
      <w:tr w14:paraId="6E0824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4" w:hRule="atLeast"/>
          <w:jc w:val="center"/>
        </w:trPr>
        <w:tc>
          <w:tcPr>
            <w:tcW w:w="416" w:type="pct"/>
            <w:vAlign w:val="center"/>
          </w:tcPr>
          <w:p w14:paraId="6665FB99">
            <w:pPr>
              <w:spacing w:line="460" w:lineRule="exact"/>
              <w:jc w:val="center"/>
              <w:rPr>
                <w:rFonts w:hint="eastAsia" w:ascii="宋体" w:hAnsi="宋体" w:eastAsia="宋体" w:cs="宋体"/>
                <w:bCs/>
                <w:color w:val="auto"/>
                <w:sz w:val="24"/>
                <w:szCs w:val="24"/>
              </w:rPr>
            </w:pPr>
            <w:r>
              <w:rPr>
                <w:rFonts w:hint="eastAsia" w:ascii="宋体" w:hAnsi="宋体" w:eastAsia="宋体" w:cs="宋体"/>
                <w:bCs/>
                <w:color w:val="auto"/>
                <w:sz w:val="24"/>
                <w:szCs w:val="24"/>
              </w:rPr>
              <w:t>6</w:t>
            </w:r>
          </w:p>
        </w:tc>
        <w:tc>
          <w:tcPr>
            <w:tcW w:w="1739" w:type="dxa"/>
            <w:vAlign w:val="center"/>
          </w:tcPr>
          <w:p w14:paraId="4EB3623D">
            <w:pPr>
              <w:spacing w:line="460" w:lineRule="exact"/>
              <w:jc w:val="center"/>
              <w:rPr>
                <w:rFonts w:hint="eastAsia" w:ascii="宋体" w:hAnsi="宋体" w:eastAsia="宋体" w:cs="宋体"/>
                <w:bCs/>
                <w:color w:val="auto"/>
                <w:sz w:val="24"/>
                <w:szCs w:val="24"/>
              </w:rPr>
            </w:pPr>
            <w:r>
              <w:rPr>
                <w:rFonts w:hint="eastAsia" w:ascii="宋体" w:hAnsi="宋体" w:eastAsia="宋体" w:cs="宋体"/>
                <w:bCs/>
                <w:color w:val="auto"/>
                <w:sz w:val="24"/>
                <w:szCs w:val="24"/>
              </w:rPr>
              <w:t>安装、验收</w:t>
            </w:r>
          </w:p>
        </w:tc>
        <w:tc>
          <w:tcPr>
            <w:tcW w:w="7389" w:type="dxa"/>
          </w:tcPr>
          <w:p w14:paraId="5753A67F">
            <w:pPr>
              <w:numPr>
                <w:ilvl w:val="0"/>
                <w:numId w:val="0"/>
              </w:numPr>
              <w:spacing w:line="360" w:lineRule="auto"/>
              <w:rPr>
                <w:rFonts w:hint="eastAsia" w:ascii="宋体" w:hAnsi="宋体" w:eastAsia="宋体" w:cs="宋体"/>
                <w:color w:val="auto"/>
                <w:sz w:val="24"/>
                <w:szCs w:val="24"/>
                <w:lang w:val="en-US" w:eastAsia="zh-CN"/>
              </w:rPr>
            </w:pPr>
            <w:r>
              <w:rPr>
                <w:rFonts w:hint="eastAsia" w:ascii="宋体" w:hAnsi="宋体" w:cs="宋体"/>
                <w:color w:val="auto"/>
                <w:sz w:val="24"/>
                <w:szCs w:val="24"/>
                <w:lang w:val="en-US" w:eastAsia="zh-CN"/>
              </w:rPr>
              <w:t>1、</w:t>
            </w:r>
            <w:r>
              <w:rPr>
                <w:rFonts w:hint="eastAsia" w:ascii="宋体" w:hAnsi="宋体" w:eastAsia="宋体" w:cs="宋体"/>
                <w:color w:val="auto"/>
                <w:sz w:val="24"/>
                <w:szCs w:val="24"/>
                <w:lang w:val="en-US" w:eastAsia="zh-CN"/>
              </w:rPr>
              <w:t xml:space="preserve">验收时间和条件：货物安装、调试完成，并正常运行5个工作日后由供应商向采购人提出书面验收申请。 </w:t>
            </w:r>
          </w:p>
          <w:p w14:paraId="21D620B5">
            <w:pPr>
              <w:numPr>
                <w:ilvl w:val="0"/>
                <w:numId w:val="0"/>
              </w:numPr>
              <w:spacing w:line="360" w:lineRule="auto"/>
              <w:rPr>
                <w:rFonts w:hint="eastAsia" w:ascii="宋体" w:hAnsi="宋体" w:eastAsia="宋体" w:cs="宋体"/>
                <w:color w:val="auto"/>
                <w:sz w:val="24"/>
                <w:szCs w:val="24"/>
                <w:lang w:val="en-US" w:eastAsia="zh-CN"/>
              </w:rPr>
            </w:pPr>
            <w:r>
              <w:rPr>
                <w:rFonts w:hint="eastAsia" w:ascii="宋体" w:hAnsi="宋体" w:cs="宋体"/>
                <w:color w:val="auto"/>
                <w:sz w:val="24"/>
                <w:szCs w:val="24"/>
                <w:lang w:val="en-US" w:eastAsia="zh-CN"/>
              </w:rPr>
              <w:t>2、</w:t>
            </w:r>
            <w:r>
              <w:rPr>
                <w:rFonts w:hint="eastAsia" w:ascii="宋体" w:hAnsi="宋体" w:eastAsia="宋体" w:cs="宋体"/>
                <w:color w:val="auto"/>
                <w:sz w:val="24"/>
                <w:szCs w:val="24"/>
                <w:lang w:val="en-US" w:eastAsia="zh-CN"/>
              </w:rPr>
              <w:t xml:space="preserve">验收标准： </w:t>
            </w:r>
          </w:p>
          <w:p w14:paraId="18D0F2A6">
            <w:pPr>
              <w:numPr>
                <w:ilvl w:val="0"/>
                <w:numId w:val="0"/>
              </w:numPr>
              <w:spacing w:line="360" w:lineRule="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2.1符合中华人民共和国国家安全质量标准、环保标准或行业标准；</w:t>
            </w:r>
          </w:p>
          <w:p w14:paraId="23EDB0B8">
            <w:pPr>
              <w:numPr>
                <w:ilvl w:val="0"/>
                <w:numId w:val="0"/>
              </w:numPr>
              <w:spacing w:line="360" w:lineRule="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2.2符合采购文件和响应承诺中的各项要求；</w:t>
            </w:r>
          </w:p>
          <w:p w14:paraId="5D03B67E">
            <w:pPr>
              <w:numPr>
                <w:ilvl w:val="0"/>
                <w:numId w:val="0"/>
              </w:numPr>
              <w:spacing w:line="360" w:lineRule="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 xml:space="preserve">2.3如采购文件或响应承诺的技术要求高于国家或行业标准，以高的标准进行验收。 </w:t>
            </w:r>
          </w:p>
          <w:p w14:paraId="149CAEAF">
            <w:pPr>
              <w:spacing w:line="360" w:lineRule="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3</w:t>
            </w:r>
            <w:r>
              <w:rPr>
                <w:rFonts w:hint="eastAsia" w:ascii="宋体" w:hAnsi="宋体" w:cs="宋体"/>
                <w:color w:val="auto"/>
                <w:sz w:val="24"/>
                <w:szCs w:val="24"/>
                <w:lang w:val="en-US" w:eastAsia="zh-CN"/>
              </w:rPr>
              <w:t>、</w:t>
            </w:r>
            <w:r>
              <w:rPr>
                <w:rFonts w:hint="eastAsia" w:ascii="宋体" w:hAnsi="宋体" w:eastAsia="宋体" w:cs="宋体"/>
                <w:color w:val="auto"/>
                <w:sz w:val="24"/>
                <w:szCs w:val="24"/>
                <w:lang w:val="en-US" w:eastAsia="zh-CN"/>
              </w:rPr>
              <w:t>成交供应商安装调试完毕后，采购人有权邀请第三方人员及检测机构根据采购文件技术要求对电脑产品进行验收或破坏性检测。涉及第三方检测机构检测的应由成交供应商作为委托方，采购人作为抽检和送检过程的监督方，检测对象由校纪检部门随机抽取。验收环节所产生的所有检测费用、验收小组评审费及其他相关费用均由成交供应商承担。若被检测货物不符合采购文件的技术要求，成交供应商应及时更换直至达标，成交供应商须在采购人指定时间内将被送检产品补齐数量并确保是合格产品，并承担由此发生的一切费用和损失；</w:t>
            </w:r>
            <w:r>
              <w:rPr>
                <w:rFonts w:hint="eastAsia" w:ascii="宋体" w:hAnsi="宋体" w:eastAsia="宋体" w:cs="宋体"/>
                <w:b/>
                <w:bCs/>
                <w:color w:val="auto"/>
                <w:sz w:val="24"/>
                <w:szCs w:val="24"/>
                <w:u w:val="single"/>
                <w:lang w:val="en-US" w:eastAsia="zh-CN"/>
              </w:rPr>
              <w:t>否则采购人视为验收不合格。</w:t>
            </w:r>
          </w:p>
          <w:p w14:paraId="60529A11">
            <w:pPr>
              <w:spacing w:line="360" w:lineRule="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4）验收不合格产生的后果：</w:t>
            </w:r>
          </w:p>
          <w:p w14:paraId="7157975B">
            <w:pPr>
              <w:spacing w:line="360" w:lineRule="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①采购人有权单方面终止合同。</w:t>
            </w:r>
          </w:p>
          <w:p w14:paraId="4C5B3E4A">
            <w:pPr>
              <w:spacing w:line="360" w:lineRule="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②采购人有权不予支付本次成交合同款项并没收成交供应商的履约保证金，如给采购人造成不利后果，将追究成交供应商的经济责任和法律责任。</w:t>
            </w:r>
          </w:p>
          <w:p w14:paraId="03CF2E54">
            <w:pPr>
              <w:spacing w:line="460" w:lineRule="exact"/>
              <w:jc w:val="left"/>
              <w:rPr>
                <w:rFonts w:hint="eastAsia" w:ascii="宋体" w:hAnsi="宋体" w:eastAsia="宋体" w:cs="宋体"/>
                <w:color w:val="auto"/>
                <w:sz w:val="24"/>
                <w:szCs w:val="24"/>
              </w:rPr>
            </w:pPr>
            <w:r>
              <w:rPr>
                <w:rFonts w:hint="eastAsia" w:ascii="宋体" w:hAnsi="宋体" w:eastAsia="宋体" w:cs="宋体"/>
                <w:color w:val="auto"/>
                <w:sz w:val="24"/>
                <w:szCs w:val="24"/>
                <w:lang w:val="en-US" w:eastAsia="zh-CN"/>
              </w:rPr>
              <w:t>5）在进行最终验收之前，成交供应商必须将所有相关技术资料（包含并不仅限于：所提供产品的使用说明书、合格证、服务手册等）交采购人留存备案。</w:t>
            </w:r>
          </w:p>
        </w:tc>
      </w:tr>
      <w:tr w14:paraId="0BCBA1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78" w:hRule="atLeast"/>
          <w:jc w:val="center"/>
        </w:trPr>
        <w:tc>
          <w:tcPr>
            <w:tcW w:w="416" w:type="pct"/>
            <w:vAlign w:val="center"/>
          </w:tcPr>
          <w:p w14:paraId="1FBDE1A4">
            <w:pPr>
              <w:spacing w:line="460" w:lineRule="exact"/>
              <w:jc w:val="center"/>
              <w:rPr>
                <w:rFonts w:hint="eastAsia" w:ascii="宋体" w:hAnsi="宋体" w:eastAsia="宋体" w:cs="宋体"/>
                <w:bCs/>
                <w:color w:val="auto"/>
                <w:sz w:val="24"/>
                <w:szCs w:val="24"/>
              </w:rPr>
            </w:pPr>
            <w:r>
              <w:rPr>
                <w:rFonts w:hint="eastAsia" w:ascii="宋体" w:hAnsi="宋体" w:eastAsia="宋体" w:cs="宋体"/>
                <w:bCs/>
                <w:color w:val="auto"/>
                <w:sz w:val="24"/>
                <w:szCs w:val="24"/>
              </w:rPr>
              <w:t>7</w:t>
            </w:r>
          </w:p>
        </w:tc>
        <w:tc>
          <w:tcPr>
            <w:tcW w:w="873" w:type="pct"/>
            <w:vAlign w:val="center"/>
          </w:tcPr>
          <w:p w14:paraId="0C935D45">
            <w:pPr>
              <w:spacing w:line="460" w:lineRule="exact"/>
              <w:jc w:val="center"/>
              <w:rPr>
                <w:rFonts w:hint="eastAsia" w:ascii="宋体" w:hAnsi="宋体" w:eastAsia="宋体" w:cs="宋体"/>
                <w:bCs/>
                <w:color w:val="auto"/>
                <w:sz w:val="24"/>
                <w:szCs w:val="24"/>
              </w:rPr>
            </w:pPr>
            <w:r>
              <w:rPr>
                <w:rFonts w:hint="eastAsia" w:ascii="宋体" w:hAnsi="宋体" w:eastAsia="宋体" w:cs="宋体"/>
                <w:bCs/>
                <w:color w:val="auto"/>
                <w:sz w:val="24"/>
                <w:szCs w:val="24"/>
              </w:rPr>
              <w:t>培训要求</w:t>
            </w:r>
          </w:p>
        </w:tc>
        <w:tc>
          <w:tcPr>
            <w:tcW w:w="3710" w:type="pct"/>
          </w:tcPr>
          <w:p w14:paraId="7ABB0D5F">
            <w:pPr>
              <w:numPr>
                <w:ilvl w:val="0"/>
                <w:numId w:val="0"/>
              </w:numPr>
              <w:spacing w:line="360" w:lineRule="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rPr>
              <w:t>1．</w:t>
            </w:r>
            <w:r>
              <w:rPr>
                <w:rFonts w:hint="eastAsia" w:ascii="宋体" w:hAnsi="宋体" w:eastAsia="宋体" w:cs="宋体"/>
                <w:color w:val="auto"/>
                <w:sz w:val="24"/>
                <w:szCs w:val="24"/>
                <w:lang w:val="en-US" w:eastAsia="zh-CN"/>
              </w:rPr>
              <w:t xml:space="preserve">成交供应商应派遣其精通业务的、健康的、合格的技术人员到合同货物的安装现场提供技术服务。 </w:t>
            </w:r>
          </w:p>
          <w:p w14:paraId="2888C1CE">
            <w:pPr>
              <w:spacing w:line="460" w:lineRule="exact"/>
              <w:jc w:val="left"/>
              <w:rPr>
                <w:rFonts w:hint="eastAsia" w:ascii="宋体" w:hAnsi="宋体" w:eastAsia="宋体" w:cs="宋体"/>
                <w:color w:val="auto"/>
                <w:sz w:val="24"/>
                <w:szCs w:val="24"/>
              </w:rPr>
            </w:pPr>
            <w:r>
              <w:rPr>
                <w:rFonts w:hint="eastAsia" w:ascii="宋体" w:hAnsi="宋体" w:eastAsia="宋体" w:cs="宋体"/>
                <w:color w:val="auto"/>
                <w:sz w:val="24"/>
                <w:szCs w:val="24"/>
                <w:lang w:val="en-US" w:eastAsia="zh-CN"/>
              </w:rPr>
              <w:t>2.成交供应商须对其所提供的设备及采用的相关技术进行 免费现场演示培训，以满足采购人在日常存储、使用、操作等方面的需求。因培训而产生的一切费用均由成交供应商承担。</w:t>
            </w:r>
          </w:p>
        </w:tc>
      </w:tr>
      <w:tr w14:paraId="785DF3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29" w:hRule="atLeast"/>
          <w:jc w:val="center"/>
        </w:trPr>
        <w:tc>
          <w:tcPr>
            <w:tcW w:w="416" w:type="pct"/>
            <w:vAlign w:val="center"/>
          </w:tcPr>
          <w:p w14:paraId="142361E7">
            <w:pPr>
              <w:spacing w:line="460" w:lineRule="exact"/>
              <w:jc w:val="center"/>
              <w:rPr>
                <w:rFonts w:hint="eastAsia" w:ascii="宋体" w:hAnsi="宋体" w:eastAsia="宋体" w:cs="宋体"/>
                <w:bCs/>
                <w:color w:val="auto"/>
                <w:sz w:val="24"/>
                <w:szCs w:val="24"/>
              </w:rPr>
            </w:pPr>
            <w:r>
              <w:rPr>
                <w:rFonts w:hint="eastAsia" w:ascii="宋体" w:hAnsi="宋体" w:eastAsia="宋体" w:cs="宋体"/>
                <w:bCs/>
                <w:color w:val="auto"/>
                <w:sz w:val="24"/>
                <w:szCs w:val="24"/>
              </w:rPr>
              <w:t>8</w:t>
            </w:r>
          </w:p>
        </w:tc>
        <w:tc>
          <w:tcPr>
            <w:tcW w:w="1739" w:type="dxa"/>
            <w:vAlign w:val="center"/>
          </w:tcPr>
          <w:p w14:paraId="40EDFB7D">
            <w:pPr>
              <w:spacing w:line="500" w:lineRule="exact"/>
              <w:jc w:val="center"/>
              <w:rPr>
                <w:rFonts w:hint="eastAsia" w:ascii="宋体" w:hAnsi="宋体" w:eastAsia="宋体" w:cs="宋体"/>
                <w:bCs/>
                <w:color w:val="auto"/>
                <w:sz w:val="24"/>
                <w:szCs w:val="24"/>
              </w:rPr>
            </w:pPr>
            <w:r>
              <w:rPr>
                <w:rFonts w:hint="eastAsia" w:ascii="宋体" w:hAnsi="宋体" w:eastAsia="宋体" w:cs="宋体"/>
                <w:bCs/>
                <w:color w:val="auto"/>
                <w:sz w:val="24"/>
                <w:szCs w:val="24"/>
              </w:rPr>
              <w:t>履约保证金</w:t>
            </w:r>
          </w:p>
        </w:tc>
        <w:tc>
          <w:tcPr>
            <w:tcW w:w="7389" w:type="dxa"/>
          </w:tcPr>
          <w:p w14:paraId="53E802F5">
            <w:pPr>
              <w:spacing w:line="360" w:lineRule="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rPr>
              <w:t>1.</w:t>
            </w:r>
            <w:r>
              <w:rPr>
                <w:rFonts w:hint="eastAsia" w:ascii="宋体" w:hAnsi="宋体" w:eastAsia="宋体" w:cs="宋体"/>
                <w:color w:val="auto"/>
                <w:sz w:val="24"/>
                <w:szCs w:val="24"/>
                <w:lang w:val="en-US" w:eastAsia="zh-CN"/>
              </w:rPr>
              <w:t xml:space="preserve">本项目的履约保证金为成交总金额的5%； </w:t>
            </w:r>
          </w:p>
          <w:p w14:paraId="6B989FF0">
            <w:pPr>
              <w:spacing w:line="360" w:lineRule="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 xml:space="preserve">2.履约保证金的缴纳时间和缴纳方式：成交供应商应在项目实施前自主选择采用转账或者金融机构出具的保函方式等非现金形式提交至采购人； </w:t>
            </w:r>
          </w:p>
          <w:p w14:paraId="009C27F3">
            <w:pPr>
              <w:spacing w:line="360" w:lineRule="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 xml:space="preserve">3.履约保证金的退还：所有货物、服务验收合格后如无质量问题，采购人在十个工作日内按原缴纳方式退还； </w:t>
            </w:r>
          </w:p>
          <w:p w14:paraId="6F232E69">
            <w:pPr>
              <w:spacing w:line="360" w:lineRule="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4.履约保证金不予退还情形：①成交供应商不履行与采购人订立的合同的，履约保证金不予退还，给采购人造成的损失超过履约保证金数额的，还应当对超过部分予以赔偿。②其他违反国家相关法律法规的情形。</w:t>
            </w:r>
          </w:p>
          <w:p w14:paraId="75549227">
            <w:pPr>
              <w:spacing w:line="360" w:lineRule="auto"/>
              <w:rPr>
                <w:rFonts w:hint="eastAsia" w:ascii="宋体" w:hAnsi="宋体" w:eastAsia="宋体" w:cs="宋体"/>
                <w:color w:val="auto"/>
                <w:sz w:val="24"/>
                <w:szCs w:val="24"/>
                <w:lang w:val="en-US" w:eastAsia="zh-CN"/>
              </w:rPr>
            </w:pPr>
            <w:r>
              <w:rPr>
                <w:rFonts w:hint="default" w:ascii="宋体" w:hAnsi="宋体" w:eastAsia="宋体" w:cs="宋体"/>
                <w:color w:val="auto"/>
                <w:sz w:val="24"/>
                <w:szCs w:val="24"/>
                <w:lang w:val="en-US" w:eastAsia="zh-CN"/>
              </w:rPr>
              <w:t>③采购人逾期退还履约保证金的，应按合同约定对中标（成交）人受到损失予以补偿。</w:t>
            </w:r>
          </w:p>
        </w:tc>
      </w:tr>
      <w:tr w14:paraId="5C913F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29" w:hRule="atLeast"/>
          <w:jc w:val="center"/>
        </w:trPr>
        <w:tc>
          <w:tcPr>
            <w:tcW w:w="416" w:type="pct"/>
            <w:vAlign w:val="center"/>
          </w:tcPr>
          <w:p w14:paraId="14DD8E83">
            <w:pPr>
              <w:spacing w:line="460" w:lineRule="exact"/>
              <w:jc w:val="center"/>
              <w:rPr>
                <w:rFonts w:hint="eastAsia" w:ascii="宋体" w:hAnsi="宋体" w:eastAsia="宋体" w:cs="宋体"/>
                <w:bCs/>
                <w:color w:val="auto"/>
                <w:sz w:val="24"/>
                <w:szCs w:val="24"/>
                <w:lang w:val="en-US" w:eastAsia="zh-CN"/>
              </w:rPr>
            </w:pPr>
            <w:r>
              <w:rPr>
                <w:rFonts w:hint="eastAsia" w:ascii="宋体" w:hAnsi="宋体" w:eastAsia="宋体" w:cs="宋体"/>
                <w:bCs/>
                <w:color w:val="auto"/>
                <w:sz w:val="24"/>
                <w:szCs w:val="24"/>
                <w:lang w:val="en-US" w:eastAsia="zh-CN"/>
              </w:rPr>
              <w:t>9</w:t>
            </w:r>
          </w:p>
        </w:tc>
        <w:tc>
          <w:tcPr>
            <w:tcW w:w="1739" w:type="dxa"/>
            <w:vAlign w:val="center"/>
          </w:tcPr>
          <w:p w14:paraId="75057C03">
            <w:pPr>
              <w:pageBreakBefore w:val="0"/>
              <w:kinsoku/>
              <w:wordWrap/>
              <w:overflowPunct/>
              <w:topLinePunct w:val="0"/>
              <w:autoSpaceDE/>
              <w:autoSpaceDN/>
              <w:bidi w:val="0"/>
              <w:adjustRightInd/>
              <w:snapToGrid/>
              <w:spacing w:line="500" w:lineRule="exact"/>
              <w:jc w:val="center"/>
              <w:rPr>
                <w:rFonts w:hint="eastAsia" w:ascii="宋体" w:hAnsi="宋体" w:eastAsia="宋体" w:cs="宋体"/>
                <w:bCs/>
                <w:color w:val="auto"/>
                <w:sz w:val="24"/>
                <w:szCs w:val="24"/>
              </w:rPr>
            </w:pPr>
            <w:r>
              <w:rPr>
                <w:rFonts w:hint="eastAsia" w:ascii="宋体" w:hAnsi="宋体" w:eastAsia="宋体" w:cs="宋体"/>
                <w:bCs/>
                <w:color w:val="auto"/>
                <w:sz w:val="24"/>
                <w:szCs w:val="24"/>
                <w:highlight w:val="none"/>
              </w:rPr>
              <w:t>其它要求</w:t>
            </w:r>
          </w:p>
        </w:tc>
        <w:tc>
          <w:tcPr>
            <w:tcW w:w="7389" w:type="dxa"/>
            <w:vAlign w:val="top"/>
          </w:tcPr>
          <w:p w14:paraId="44400AA4">
            <w:pPr>
              <w:numPr>
                <w:ilvl w:val="0"/>
                <w:numId w:val="4"/>
              </w:numPr>
              <w:spacing w:line="360" w:lineRule="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知识产权</w:t>
            </w:r>
          </w:p>
          <w:p w14:paraId="5584DBDD">
            <w:pPr>
              <w:spacing w:line="360" w:lineRule="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成交供应商须保障采购人在使用该产品及所属服务或其任何一部分时不受到第三方关于侵犯专利权、商标权或工业设计权等知识产权的指控。如果任何第三方提出侵权指控与采购人无关，供应商须与第三方交涉并承担可能发生的责任与一切费用。如采购人因此而遭致损失的，成交供应商应赔偿该损失。</w:t>
            </w:r>
          </w:p>
        </w:tc>
      </w:tr>
    </w:tbl>
    <w:p w14:paraId="44215D94">
      <w:pPr>
        <w:spacing w:line="360" w:lineRule="auto"/>
        <w:rPr>
          <w:rFonts w:hint="eastAsia" w:ascii="宋体" w:hAnsi="宋体" w:cs="宋体"/>
          <w:color w:val="auto"/>
        </w:rPr>
      </w:pPr>
      <w:r>
        <w:rPr>
          <w:rFonts w:hint="eastAsia" w:ascii="宋体" w:hAnsi="宋体" w:cs="宋体"/>
          <w:b/>
          <w:color w:val="auto"/>
          <w:sz w:val="24"/>
        </w:rPr>
        <w:t>注：以上商务条款为必须满足项，否则作无效响应处理。</w:t>
      </w:r>
    </w:p>
    <w:sectPr>
      <w:headerReference r:id="rId3" w:type="default"/>
      <w:footerReference r:id="rId4" w:type="default"/>
      <w:pgSz w:w="11906" w:h="16838"/>
      <w:pgMar w:top="1440" w:right="1803" w:bottom="1440" w:left="1803" w:header="851" w:footer="992" w:gutter="0"/>
      <w:cols w:space="720" w:num="1"/>
      <w:docGrid w:type="lines" w:linePitch="319"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8"/>
    <w:family w:val="modern"/>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楷体_GB2312">
    <w:panose1 w:val="02010609030101010101"/>
    <w:charset w:val="86"/>
    <w:family w:val="modern"/>
    <w:pitch w:val="default"/>
    <w:sig w:usb0="00000001" w:usb1="080E0000" w:usb2="00000000" w:usb3="00000000" w:csb0="00040000" w:csb1="00000000"/>
  </w:font>
  <w:font w:name="Cambria">
    <w:panose1 w:val="02040503050406030204"/>
    <w:charset w:val="00"/>
    <w:family w:val="roman"/>
    <w:pitch w:val="default"/>
    <w:sig w:usb0="E00006FF" w:usb1="420024FF" w:usb2="02000000" w:usb3="00000000" w:csb0="2000019F" w:csb1="00000000"/>
  </w:font>
  <w:font w:name="monospace">
    <w:altName w:val="Segoe Print"/>
    <w:panose1 w:val="00000000000000000000"/>
    <w:charset w:val="00"/>
    <w:family w:val="auto"/>
    <w:pitch w:val="default"/>
    <w:sig w:usb0="00000000" w:usb1="00000000" w:usb2="00000000" w:usb3="00000000" w:csb0="00040001" w:csb1="00000000"/>
  </w:font>
  <w:font w:name="Segoe Print">
    <w:panose1 w:val="02000600000000000000"/>
    <w:charset w:val="00"/>
    <w:family w:val="auto"/>
    <w:pitch w:val="default"/>
    <w:sig w:usb0="0000028F" w:usb1="00000000" w:usb2="00000000" w:usb3="00000000" w:csb0="2000009F" w:csb1="47010000"/>
  </w:font>
  <w:font w:name="仿宋_GB2312">
    <w:panose1 w:val="02010609030101010101"/>
    <w:charset w:val="86"/>
    <w:family w:val="modern"/>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 w:name="华文楷体">
    <w:panose1 w:val="02010600040101010101"/>
    <w:charset w:val="86"/>
    <w:family w:val="auto"/>
    <w:pitch w:val="default"/>
    <w:sig w:usb0="00000287" w:usb1="080F0000" w:usb2="00000000" w:usb3="00000000" w:csb0="0004009F" w:csb1="DFD70000"/>
  </w:font>
  <w:font w:name="华文中宋">
    <w:panose1 w:val="02010600040101010101"/>
    <w:charset w:val="86"/>
    <w:family w:val="auto"/>
    <w:pitch w:val="default"/>
    <w:sig w:usb0="00000287" w:usb1="080F0000" w:usb2="00000000" w:usb3="00000000" w:csb0="0004009F" w:csb1="DFD70000"/>
  </w:font>
  <w:font w:name="Wingdings 2">
    <w:panose1 w:val="05020102010507070707"/>
    <w:charset w:val="00"/>
    <w:family w:val="auto"/>
    <w:pitch w:val="default"/>
    <w:sig w:usb0="00000000" w:usb1="00000000" w:usb2="00000000" w:usb3="00000000" w:csb0="80000000" w:csb1="00000000"/>
  </w:font>
  <w:font w:name="Cambria Math">
    <w:panose1 w:val="02040503050406030204"/>
    <w:charset w:val="00"/>
    <w:family w:val="auto"/>
    <w:pitch w:val="default"/>
    <w:sig w:usb0="E00006FF" w:usb1="420024FF" w:usb2="02000000" w:usb3="00000000" w:csb0="2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32FB2F5">
    <w:pPr>
      <w:pStyle w:val="20"/>
      <w:framePr w:wrap="around" w:vAnchor="text" w:hAnchor="margin" w:xAlign="center" w:y="1"/>
      <w:rPr>
        <w:rStyle w:val="36"/>
      </w:rPr>
    </w:pPr>
    <w:r>
      <w:fldChar w:fldCharType="begin"/>
    </w:r>
    <w:r>
      <w:rPr>
        <w:rStyle w:val="36"/>
      </w:rPr>
      <w:instrText xml:space="preserve">PAGE  </w:instrText>
    </w:r>
    <w:r>
      <w:fldChar w:fldCharType="separate"/>
    </w:r>
    <w:r>
      <w:rPr>
        <w:rStyle w:val="36"/>
      </w:rPr>
      <w:t>69</w:t>
    </w:r>
    <w:r>
      <w:fldChar w:fldCharType="end"/>
    </w:r>
  </w:p>
  <w:p w14:paraId="5918CFBE">
    <w:pPr>
      <w:pStyle w:val="20"/>
      <w:ind w:right="360"/>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66705DE">
    <w:pPr>
      <w:pStyle w:val="21"/>
      <w:pBdr>
        <w:bottom w:val="none" w:color="auto" w:sz="0" w:space="0"/>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BD0F232B"/>
    <w:multiLevelType w:val="singleLevel"/>
    <w:tmpl w:val="BD0F232B"/>
    <w:lvl w:ilvl="0" w:tentative="0">
      <w:start w:val="1"/>
      <w:numFmt w:val="decimal"/>
      <w:suff w:val="nothing"/>
      <w:lvlText w:val="%1、"/>
      <w:lvlJc w:val="left"/>
    </w:lvl>
  </w:abstractNum>
  <w:abstractNum w:abstractNumId="1">
    <w:nsid w:val="DCBC4B2C"/>
    <w:multiLevelType w:val="singleLevel"/>
    <w:tmpl w:val="DCBC4B2C"/>
    <w:lvl w:ilvl="0" w:tentative="0">
      <w:start w:val="31"/>
      <w:numFmt w:val="decimal"/>
      <w:suff w:val="nothing"/>
      <w:lvlText w:val="%1、"/>
      <w:lvlJc w:val="left"/>
    </w:lvl>
  </w:abstractNum>
  <w:abstractNum w:abstractNumId="2">
    <w:nsid w:val="00D3040F"/>
    <w:multiLevelType w:val="singleLevel"/>
    <w:tmpl w:val="00D3040F"/>
    <w:lvl w:ilvl="0" w:tentative="0">
      <w:start w:val="1"/>
      <w:numFmt w:val="decimal"/>
      <w:suff w:val="nothing"/>
      <w:lvlText w:val="%1）"/>
      <w:lvlJc w:val="left"/>
    </w:lvl>
  </w:abstractNum>
  <w:abstractNum w:abstractNumId="3">
    <w:nsid w:val="16112E78"/>
    <w:multiLevelType w:val="multilevel"/>
    <w:tmpl w:val="16112E78"/>
    <w:lvl w:ilvl="0" w:tentative="0">
      <w:start w:val="1"/>
      <w:numFmt w:val="japaneseCounting"/>
      <w:lvlText w:val="%1、"/>
      <w:lvlJc w:val="left"/>
      <w:pPr>
        <w:tabs>
          <w:tab w:val="left" w:pos="570"/>
        </w:tabs>
        <w:ind w:left="570" w:hanging="570"/>
      </w:pPr>
      <w:rPr>
        <w:rFonts w:hint="default"/>
      </w:r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num w:numId="1">
    <w:abstractNumId w:val="3"/>
  </w:num>
  <w:num w:numId="2">
    <w:abstractNumId w:val="1"/>
  </w:num>
  <w:num w:numId="3">
    <w:abstractNumId w:val="0"/>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1"/>
  <w:bordersDoNotSurroundFooter w:val="1"/>
  <w:doNotTrackMoves/>
  <w:documentProtection w:enforcement="0"/>
  <w:defaultTabStop w:val="420"/>
  <w:drawingGridHorizontalSpacing w:val="105"/>
  <w:drawingGridVerticalSpacing w:val="319"/>
  <w:displayHorizontalDrawingGridEvery w:val="2"/>
  <w:noPunctuationKerning w:val="1"/>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2YzNjBkOTgyNWQ1YTMxYzM3MzMwNWFiODNmOWIzYWMifQ=="/>
    <w:docVar w:name="KSO_WPS_MARK_KEY" w:val="7d356199-8d85-44f0-8686-349d90143cff"/>
  </w:docVars>
  <w:rsids>
    <w:rsidRoot w:val="0083638B"/>
    <w:rsid w:val="0000366E"/>
    <w:rsid w:val="00004476"/>
    <w:rsid w:val="00033299"/>
    <w:rsid w:val="00071371"/>
    <w:rsid w:val="00081F14"/>
    <w:rsid w:val="00095546"/>
    <w:rsid w:val="0009790A"/>
    <w:rsid w:val="000A6C11"/>
    <w:rsid w:val="000B3783"/>
    <w:rsid w:val="00114158"/>
    <w:rsid w:val="001152E6"/>
    <w:rsid w:val="00122669"/>
    <w:rsid w:val="001276F1"/>
    <w:rsid w:val="00137CB3"/>
    <w:rsid w:val="0017386F"/>
    <w:rsid w:val="00183102"/>
    <w:rsid w:val="001D11D7"/>
    <w:rsid w:val="00215AA4"/>
    <w:rsid w:val="002179FB"/>
    <w:rsid w:val="002311D9"/>
    <w:rsid w:val="002530D3"/>
    <w:rsid w:val="00253770"/>
    <w:rsid w:val="002847E2"/>
    <w:rsid w:val="002A7B97"/>
    <w:rsid w:val="002E7D76"/>
    <w:rsid w:val="002F7D0E"/>
    <w:rsid w:val="00324EAD"/>
    <w:rsid w:val="00381B8F"/>
    <w:rsid w:val="00390AAF"/>
    <w:rsid w:val="00396EB9"/>
    <w:rsid w:val="003B03B0"/>
    <w:rsid w:val="003C4CB6"/>
    <w:rsid w:val="003E641E"/>
    <w:rsid w:val="003F0D92"/>
    <w:rsid w:val="00445C0F"/>
    <w:rsid w:val="00460318"/>
    <w:rsid w:val="00491A28"/>
    <w:rsid w:val="00495B8D"/>
    <w:rsid w:val="004B2673"/>
    <w:rsid w:val="004C2153"/>
    <w:rsid w:val="004C2359"/>
    <w:rsid w:val="00500E22"/>
    <w:rsid w:val="00507713"/>
    <w:rsid w:val="00537599"/>
    <w:rsid w:val="00540663"/>
    <w:rsid w:val="005539F5"/>
    <w:rsid w:val="00587EC5"/>
    <w:rsid w:val="005A500C"/>
    <w:rsid w:val="005A7FE6"/>
    <w:rsid w:val="005E78B3"/>
    <w:rsid w:val="005F0DD9"/>
    <w:rsid w:val="00607C85"/>
    <w:rsid w:val="006175B4"/>
    <w:rsid w:val="00623D1C"/>
    <w:rsid w:val="00635E66"/>
    <w:rsid w:val="00647E3C"/>
    <w:rsid w:val="006B2217"/>
    <w:rsid w:val="006C63B7"/>
    <w:rsid w:val="006F24AE"/>
    <w:rsid w:val="00702482"/>
    <w:rsid w:val="00747C96"/>
    <w:rsid w:val="007876C1"/>
    <w:rsid w:val="007918DD"/>
    <w:rsid w:val="008211F0"/>
    <w:rsid w:val="00822826"/>
    <w:rsid w:val="008302E7"/>
    <w:rsid w:val="0083638B"/>
    <w:rsid w:val="008527A3"/>
    <w:rsid w:val="00867270"/>
    <w:rsid w:val="008B30E7"/>
    <w:rsid w:val="00900297"/>
    <w:rsid w:val="0090124A"/>
    <w:rsid w:val="00917501"/>
    <w:rsid w:val="009246E7"/>
    <w:rsid w:val="0097726B"/>
    <w:rsid w:val="0097773E"/>
    <w:rsid w:val="009A4D5B"/>
    <w:rsid w:val="009E1605"/>
    <w:rsid w:val="009E6129"/>
    <w:rsid w:val="009E631D"/>
    <w:rsid w:val="00A1629A"/>
    <w:rsid w:val="00A40483"/>
    <w:rsid w:val="00A41159"/>
    <w:rsid w:val="00A4533E"/>
    <w:rsid w:val="00A47C17"/>
    <w:rsid w:val="00A8271A"/>
    <w:rsid w:val="00A92C77"/>
    <w:rsid w:val="00B066FD"/>
    <w:rsid w:val="00B548A4"/>
    <w:rsid w:val="00B909E9"/>
    <w:rsid w:val="00B92614"/>
    <w:rsid w:val="00B970FA"/>
    <w:rsid w:val="00BC2965"/>
    <w:rsid w:val="00C2072E"/>
    <w:rsid w:val="00C73547"/>
    <w:rsid w:val="00C92429"/>
    <w:rsid w:val="00CF4C4F"/>
    <w:rsid w:val="00D05AE0"/>
    <w:rsid w:val="00D07E47"/>
    <w:rsid w:val="00D44A05"/>
    <w:rsid w:val="00D75D91"/>
    <w:rsid w:val="00DA6BC0"/>
    <w:rsid w:val="00DE0B06"/>
    <w:rsid w:val="00DF02BF"/>
    <w:rsid w:val="00E05747"/>
    <w:rsid w:val="00E43737"/>
    <w:rsid w:val="00E56BC3"/>
    <w:rsid w:val="00E62F8B"/>
    <w:rsid w:val="00E84435"/>
    <w:rsid w:val="00EB0765"/>
    <w:rsid w:val="00EB4515"/>
    <w:rsid w:val="00ED537B"/>
    <w:rsid w:val="00F2356C"/>
    <w:rsid w:val="00F3686C"/>
    <w:rsid w:val="00F47FF3"/>
    <w:rsid w:val="00F75B1C"/>
    <w:rsid w:val="00FA54EB"/>
    <w:rsid w:val="00FB488C"/>
    <w:rsid w:val="014053A7"/>
    <w:rsid w:val="017C7407"/>
    <w:rsid w:val="02B01E9F"/>
    <w:rsid w:val="02F85221"/>
    <w:rsid w:val="04820ADC"/>
    <w:rsid w:val="05791EDF"/>
    <w:rsid w:val="05F477B7"/>
    <w:rsid w:val="076E5C88"/>
    <w:rsid w:val="08584C40"/>
    <w:rsid w:val="086373A8"/>
    <w:rsid w:val="08763D86"/>
    <w:rsid w:val="090C4E18"/>
    <w:rsid w:val="092959CA"/>
    <w:rsid w:val="093941C8"/>
    <w:rsid w:val="09DB3168"/>
    <w:rsid w:val="09E518F1"/>
    <w:rsid w:val="0A263007"/>
    <w:rsid w:val="0A7D5FCD"/>
    <w:rsid w:val="0AA30B53"/>
    <w:rsid w:val="0B6B4BF1"/>
    <w:rsid w:val="0C28727E"/>
    <w:rsid w:val="0C4B2327"/>
    <w:rsid w:val="0D3B3F1D"/>
    <w:rsid w:val="0DA1695C"/>
    <w:rsid w:val="0DEE1A67"/>
    <w:rsid w:val="0E3F576A"/>
    <w:rsid w:val="0E460DCC"/>
    <w:rsid w:val="0E74623A"/>
    <w:rsid w:val="0ECF5777"/>
    <w:rsid w:val="0F143162"/>
    <w:rsid w:val="0F256C33"/>
    <w:rsid w:val="0F655282"/>
    <w:rsid w:val="0FCE00C9"/>
    <w:rsid w:val="10CF4287"/>
    <w:rsid w:val="10D81515"/>
    <w:rsid w:val="11333889"/>
    <w:rsid w:val="11C27778"/>
    <w:rsid w:val="1257411B"/>
    <w:rsid w:val="12D20971"/>
    <w:rsid w:val="12DD6781"/>
    <w:rsid w:val="140B63F8"/>
    <w:rsid w:val="143F53A7"/>
    <w:rsid w:val="14AC2F30"/>
    <w:rsid w:val="14F447D0"/>
    <w:rsid w:val="16907EB7"/>
    <w:rsid w:val="16A9014A"/>
    <w:rsid w:val="16B9038D"/>
    <w:rsid w:val="174C3A8E"/>
    <w:rsid w:val="17A074B3"/>
    <w:rsid w:val="18292AA9"/>
    <w:rsid w:val="183C41D8"/>
    <w:rsid w:val="18E92CB2"/>
    <w:rsid w:val="18FB1053"/>
    <w:rsid w:val="192817FA"/>
    <w:rsid w:val="19AF79B5"/>
    <w:rsid w:val="1A0062D3"/>
    <w:rsid w:val="1A264FA1"/>
    <w:rsid w:val="1A56448C"/>
    <w:rsid w:val="1A7B2DAA"/>
    <w:rsid w:val="1AAF13AB"/>
    <w:rsid w:val="1AF851FC"/>
    <w:rsid w:val="1B184B6D"/>
    <w:rsid w:val="1B5E378B"/>
    <w:rsid w:val="1BD12FA0"/>
    <w:rsid w:val="1C56667E"/>
    <w:rsid w:val="1D131545"/>
    <w:rsid w:val="1DCE053D"/>
    <w:rsid w:val="1DE55DF3"/>
    <w:rsid w:val="1DED7C35"/>
    <w:rsid w:val="1DF148B0"/>
    <w:rsid w:val="1E067C30"/>
    <w:rsid w:val="1E7D5094"/>
    <w:rsid w:val="1EF6594F"/>
    <w:rsid w:val="1F13739B"/>
    <w:rsid w:val="1F3429D4"/>
    <w:rsid w:val="1F5813E5"/>
    <w:rsid w:val="1F720C21"/>
    <w:rsid w:val="1FD40E54"/>
    <w:rsid w:val="212E1977"/>
    <w:rsid w:val="230100AC"/>
    <w:rsid w:val="234609F7"/>
    <w:rsid w:val="237302E7"/>
    <w:rsid w:val="239C6B89"/>
    <w:rsid w:val="23BB22C0"/>
    <w:rsid w:val="24F20F0E"/>
    <w:rsid w:val="25021151"/>
    <w:rsid w:val="255F442E"/>
    <w:rsid w:val="26470003"/>
    <w:rsid w:val="265C7769"/>
    <w:rsid w:val="266E3EFE"/>
    <w:rsid w:val="271B299E"/>
    <w:rsid w:val="279B3ADF"/>
    <w:rsid w:val="27B67176"/>
    <w:rsid w:val="27CA6DAD"/>
    <w:rsid w:val="27E306FD"/>
    <w:rsid w:val="2810243D"/>
    <w:rsid w:val="2857471D"/>
    <w:rsid w:val="28875839"/>
    <w:rsid w:val="288F29EB"/>
    <w:rsid w:val="28901CC2"/>
    <w:rsid w:val="29537773"/>
    <w:rsid w:val="295A04F6"/>
    <w:rsid w:val="29A529F3"/>
    <w:rsid w:val="29BF1D06"/>
    <w:rsid w:val="29ED0D25"/>
    <w:rsid w:val="2B25332E"/>
    <w:rsid w:val="2B370D67"/>
    <w:rsid w:val="2B7D2F4A"/>
    <w:rsid w:val="2CC3459C"/>
    <w:rsid w:val="2D226FE5"/>
    <w:rsid w:val="2D2B3A9A"/>
    <w:rsid w:val="2D7A157B"/>
    <w:rsid w:val="2DF95C66"/>
    <w:rsid w:val="2DFE0923"/>
    <w:rsid w:val="2F607500"/>
    <w:rsid w:val="3001356B"/>
    <w:rsid w:val="30D150D6"/>
    <w:rsid w:val="319A5060"/>
    <w:rsid w:val="325C0513"/>
    <w:rsid w:val="33960A5C"/>
    <w:rsid w:val="339858BE"/>
    <w:rsid w:val="33C5114F"/>
    <w:rsid w:val="33CA0AA9"/>
    <w:rsid w:val="33E101BA"/>
    <w:rsid w:val="341A17E1"/>
    <w:rsid w:val="344949D6"/>
    <w:rsid w:val="346C5655"/>
    <w:rsid w:val="352D7B6E"/>
    <w:rsid w:val="361729FF"/>
    <w:rsid w:val="361A2073"/>
    <w:rsid w:val="366D6646"/>
    <w:rsid w:val="36875A4D"/>
    <w:rsid w:val="368C1215"/>
    <w:rsid w:val="36C639E6"/>
    <w:rsid w:val="36DB4EEE"/>
    <w:rsid w:val="37C20DE5"/>
    <w:rsid w:val="380A4AEB"/>
    <w:rsid w:val="381514F6"/>
    <w:rsid w:val="386C193F"/>
    <w:rsid w:val="38BB12F1"/>
    <w:rsid w:val="38D13372"/>
    <w:rsid w:val="38DF5A35"/>
    <w:rsid w:val="390A2872"/>
    <w:rsid w:val="392500BF"/>
    <w:rsid w:val="39E6286C"/>
    <w:rsid w:val="3A253E46"/>
    <w:rsid w:val="3A465B2C"/>
    <w:rsid w:val="3AB165DB"/>
    <w:rsid w:val="3AF43FA6"/>
    <w:rsid w:val="3B380347"/>
    <w:rsid w:val="3B6F6A86"/>
    <w:rsid w:val="3CF04EEC"/>
    <w:rsid w:val="3D2B24EF"/>
    <w:rsid w:val="3D3D33F9"/>
    <w:rsid w:val="3D6A38DF"/>
    <w:rsid w:val="3D823B31"/>
    <w:rsid w:val="3DC5718F"/>
    <w:rsid w:val="3DEA6F65"/>
    <w:rsid w:val="3E1F31D7"/>
    <w:rsid w:val="3EBE3563"/>
    <w:rsid w:val="3F47037C"/>
    <w:rsid w:val="401B7113"/>
    <w:rsid w:val="40BF2127"/>
    <w:rsid w:val="419B7849"/>
    <w:rsid w:val="41B11ADD"/>
    <w:rsid w:val="41E163A6"/>
    <w:rsid w:val="41E822BD"/>
    <w:rsid w:val="428B67D2"/>
    <w:rsid w:val="428D3DCB"/>
    <w:rsid w:val="43F27713"/>
    <w:rsid w:val="45147CFC"/>
    <w:rsid w:val="45DB537A"/>
    <w:rsid w:val="46565349"/>
    <w:rsid w:val="4737795B"/>
    <w:rsid w:val="47FD73D0"/>
    <w:rsid w:val="49E34AB0"/>
    <w:rsid w:val="49F20EE5"/>
    <w:rsid w:val="4B7047B7"/>
    <w:rsid w:val="4B93068F"/>
    <w:rsid w:val="4B9B5C8F"/>
    <w:rsid w:val="4C171438"/>
    <w:rsid w:val="4C7656F1"/>
    <w:rsid w:val="4C82654F"/>
    <w:rsid w:val="4CBB5ADB"/>
    <w:rsid w:val="4D713B7E"/>
    <w:rsid w:val="4E0C3623"/>
    <w:rsid w:val="4ED90E2C"/>
    <w:rsid w:val="4F786A56"/>
    <w:rsid w:val="508D5E0B"/>
    <w:rsid w:val="514F2914"/>
    <w:rsid w:val="51DD17C2"/>
    <w:rsid w:val="5280671D"/>
    <w:rsid w:val="52842DED"/>
    <w:rsid w:val="52DE6470"/>
    <w:rsid w:val="53422EDD"/>
    <w:rsid w:val="53C33F66"/>
    <w:rsid w:val="541C775F"/>
    <w:rsid w:val="543755E9"/>
    <w:rsid w:val="54C142D5"/>
    <w:rsid w:val="54FB7779"/>
    <w:rsid w:val="551B0817"/>
    <w:rsid w:val="553501CF"/>
    <w:rsid w:val="554C731E"/>
    <w:rsid w:val="55C2182F"/>
    <w:rsid w:val="55E70BDF"/>
    <w:rsid w:val="56361001"/>
    <w:rsid w:val="568A2257"/>
    <w:rsid w:val="56F37215"/>
    <w:rsid w:val="57BC3348"/>
    <w:rsid w:val="58B95B77"/>
    <w:rsid w:val="58DF4D2A"/>
    <w:rsid w:val="594F1EAF"/>
    <w:rsid w:val="5B082265"/>
    <w:rsid w:val="5B3A51F5"/>
    <w:rsid w:val="5B4A6DD2"/>
    <w:rsid w:val="5B7508EA"/>
    <w:rsid w:val="5C402833"/>
    <w:rsid w:val="5CEB3102"/>
    <w:rsid w:val="5D6B13A2"/>
    <w:rsid w:val="5D891708"/>
    <w:rsid w:val="5D9544F1"/>
    <w:rsid w:val="5DD72936"/>
    <w:rsid w:val="5DEF4245"/>
    <w:rsid w:val="5E024A48"/>
    <w:rsid w:val="5EDF69B5"/>
    <w:rsid w:val="5F5244A8"/>
    <w:rsid w:val="5F7C1654"/>
    <w:rsid w:val="5FE01AB3"/>
    <w:rsid w:val="60665FAC"/>
    <w:rsid w:val="614B43FA"/>
    <w:rsid w:val="61820A3B"/>
    <w:rsid w:val="618922F1"/>
    <w:rsid w:val="62375232"/>
    <w:rsid w:val="63273E9D"/>
    <w:rsid w:val="63716AC8"/>
    <w:rsid w:val="63CA4F3B"/>
    <w:rsid w:val="640C3F8C"/>
    <w:rsid w:val="64BC3CBA"/>
    <w:rsid w:val="65841133"/>
    <w:rsid w:val="65A215B9"/>
    <w:rsid w:val="66195D1F"/>
    <w:rsid w:val="67455D58"/>
    <w:rsid w:val="67B40706"/>
    <w:rsid w:val="68015D7D"/>
    <w:rsid w:val="68055386"/>
    <w:rsid w:val="680B69A2"/>
    <w:rsid w:val="68605302"/>
    <w:rsid w:val="686B482C"/>
    <w:rsid w:val="68A0235F"/>
    <w:rsid w:val="68AE2CB6"/>
    <w:rsid w:val="693D4DDD"/>
    <w:rsid w:val="69C45FA2"/>
    <w:rsid w:val="69F100FF"/>
    <w:rsid w:val="6A047A9D"/>
    <w:rsid w:val="6A357C0C"/>
    <w:rsid w:val="6A6519E2"/>
    <w:rsid w:val="6B9073F6"/>
    <w:rsid w:val="6BAD2A66"/>
    <w:rsid w:val="6BAF67DE"/>
    <w:rsid w:val="6C217E45"/>
    <w:rsid w:val="6C32481F"/>
    <w:rsid w:val="6C423AF6"/>
    <w:rsid w:val="6CD53AE1"/>
    <w:rsid w:val="6CE81FA7"/>
    <w:rsid w:val="6D3030D7"/>
    <w:rsid w:val="6D471617"/>
    <w:rsid w:val="6E19572C"/>
    <w:rsid w:val="6E315BD0"/>
    <w:rsid w:val="6E8C4C65"/>
    <w:rsid w:val="6F4738CF"/>
    <w:rsid w:val="70AD2AEB"/>
    <w:rsid w:val="71190C56"/>
    <w:rsid w:val="72D30F86"/>
    <w:rsid w:val="744877CF"/>
    <w:rsid w:val="74982505"/>
    <w:rsid w:val="751863A5"/>
    <w:rsid w:val="755D0382"/>
    <w:rsid w:val="76396D82"/>
    <w:rsid w:val="76522B87"/>
    <w:rsid w:val="76E34662"/>
    <w:rsid w:val="776E1C43"/>
    <w:rsid w:val="779A290B"/>
    <w:rsid w:val="77B06015"/>
    <w:rsid w:val="77BE04D4"/>
    <w:rsid w:val="788A2AAC"/>
    <w:rsid w:val="792210FD"/>
    <w:rsid w:val="79403161"/>
    <w:rsid w:val="795412B5"/>
    <w:rsid w:val="798C3BE4"/>
    <w:rsid w:val="79EB1329"/>
    <w:rsid w:val="7A6444CB"/>
    <w:rsid w:val="7A684727"/>
    <w:rsid w:val="7B247945"/>
    <w:rsid w:val="7B3E6DE9"/>
    <w:rsid w:val="7B4B460A"/>
    <w:rsid w:val="7B660368"/>
    <w:rsid w:val="7BF070CA"/>
    <w:rsid w:val="7BF85032"/>
    <w:rsid w:val="7C2527A3"/>
    <w:rsid w:val="7C8A4071"/>
    <w:rsid w:val="7CF04845"/>
    <w:rsid w:val="7D996564"/>
    <w:rsid w:val="7DD37677"/>
    <w:rsid w:val="7DEC556A"/>
    <w:rsid w:val="7EBE6945"/>
    <w:rsid w:val="7F6E62E4"/>
    <w:rsid w:val="7F6F2AA8"/>
    <w:rsid w:val="7FB9221D"/>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mc:AlternateContent>
    <mc:Choice Requires="wpsCustomData">
      <wpsCustomData:typoFeatureVersion val="0"/>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nhideWhenUsed="0" w:uiPriority="0" w:semiHidden="0" w:name="heading 2"/>
    <w:lsdException w:qFormat="1" w:unhideWhenUsed="0" w:uiPriority="0" w:semiHidden="0" w:name="heading 3"/>
    <w:lsdException w:qFormat="1" w:unhideWhenUsed="0" w:uiPriority="0" w:semiHidden="0"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39" w:semiHidden="0" w:name="toc 1"/>
    <w:lsdException w:qFormat="1" w:unhideWhenUsed="0" w:uiPriority="39" w:semiHidden="0" w:name="toc 2"/>
    <w:lsdException w:qFormat="1" w:unhideWhenUsed="0" w:uiPriority="39" w:semiHidden="0" w:name="toc 3"/>
    <w:lsdException w:qFormat="1" w:unhideWhenUsed="0" w:uiPriority="0" w:name="toc 4"/>
    <w:lsdException w:qFormat="1" w:unhideWhenUsed="0" w:uiPriority="0" w:name="toc 5"/>
    <w:lsdException w:qFormat="1" w:unhideWhenUsed="0" w:uiPriority="0" w:name="toc 6"/>
    <w:lsdException w:qFormat="1" w:unhideWhenUsed="0" w:uiPriority="0" w:name="toc 7"/>
    <w:lsdException w:qFormat="1" w:unhideWhenUsed="0" w:uiPriority="0" w:name="toc 8"/>
    <w:lsdException w:qFormat="1" w:unhideWhenUsed="0" w:uiPriority="0" w:name="toc 9"/>
    <w:lsdException w:uiPriority="99" w:name="Normal Indent"/>
    <w:lsdException w:uiPriority="99" w:name="footnote text"/>
    <w:lsdException w:qFormat="1" w:unhideWhenUsed="0" w:uiPriority="99" w:semiHidden="0" w:name="annotation text"/>
    <w:lsdException w:qFormat="1" w:unhideWhenUsed="0" w:uiPriority="99" w:semiHidden="0" w:name="header"/>
    <w:lsdException w:qFormat="1" w:unhideWhenUsed="0"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semiHidden="0"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qFormat="1" w:unhideWhenUsed="0"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iPriority="0" w:semiHidden="0"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nhideWhenUsed="0" w:uiPriority="0" w:semiHidden="0" w:name="Date"/>
    <w:lsdException w:qFormat="1" w:uiPriority="99" w:semiHidden="0" w:name="Body Text First Indent"/>
    <w:lsdException w:qFormat="1" w:unhideWhenUsed="0" w:uiPriority="0" w:semiHidden="0" w:name="Body Text First Indent 2"/>
    <w:lsdException w:uiPriority="99" w:name="Note Heading"/>
    <w:lsdException w:qFormat="1" w:unhideWhenUsed="0" w:uiPriority="0" w:semiHidden="0" w:name="Body Text 2"/>
    <w:lsdException w:uiPriority="99" w:name="Body Text 3"/>
    <w:lsdException w:qFormat="1" w:unhideWhenUsed="0" w:uiPriority="0" w:semiHidden="0" w:name="Body Text Indent 2"/>
    <w:lsdException w:uiPriority="99" w:name="Body Text Indent 3"/>
    <w:lsdException w:uiPriority="99" w:name="Block Text"/>
    <w:lsdException w:qFormat="1" w:unhideWhenUsed="0" w:uiPriority="99" w:semiHidden="0" w:name="Hyperlink"/>
    <w:lsdException w:qFormat="1" w:unhideWhenUsed="0" w:uiPriority="99" w:semiHidden="0" w:name="FollowedHyperlink"/>
    <w:lsdException w:qFormat="1" w:unhideWhenUsed="0" w:uiPriority="22" w:semiHidden="0" w:name="Strong"/>
    <w:lsdException w:qFormat="1" w:unhideWhenUsed="0" w:uiPriority="0" w:semiHidden="0" w:name="Emphasis"/>
    <w:lsdException w:qFormat="1" w:uiPriority="0" w:semiHidden="0" w:name="Document Map"/>
    <w:lsdException w:qFormat="1" w:unhideWhenUsed="0" w:uiPriority="0" w:semiHidden="0" w:name="Plain Text"/>
    <w:lsdException w:uiPriority="99" w:name="E-mail Signature"/>
    <w:lsdException w:qFormat="1" w:uiPriority="99" w:semiHidden="0" w:name="Normal (Web)"/>
    <w:lsdException w:qFormat="1" w:unhideWhenUsed="0" w:uiPriority="0" w:semiHidden="0" w:name="HTML Acronym"/>
    <w:lsdException w:uiPriority="99" w:name="HTML Address"/>
    <w:lsdException w:qFormat="1" w:unhideWhenUsed="0" w:uiPriority="0" w:semiHidden="0" w:name="HTML Cite"/>
    <w:lsdException w:qFormat="1" w:unhideWhenUsed="0" w:uiPriority="0" w:semiHidden="0" w:name="HTML Code"/>
    <w:lsdException w:qFormat="1" w:unhideWhenUsed="0" w:uiPriority="0" w:semiHidden="0" w:name="HTML Definition"/>
    <w:lsdException w:qFormat="1" w:unhideWhenUsed="0" w:uiPriority="0" w:semiHidden="0" w:name="HTML Keyboard"/>
    <w:lsdException w:uiPriority="99" w:name="HTML Preformatted"/>
    <w:lsdException w:qFormat="1" w:unhideWhenUsed="0" w:uiPriority="0" w:semiHidden="0" w:name="HTML Sample"/>
    <w:lsdException w:qFormat="1" w:unhideWhenUsed="0" w:uiPriority="0" w:semiHidden="0" w:name="HTML Typewriter"/>
    <w:lsdException w:qFormat="1" w:unhideWhenUsed="0" w:uiPriority="0" w:semiHidden="0" w:name="HTML Variable"/>
    <w:lsdException w:qFormat="1" w:uiPriority="99" w:name="Normal Table"/>
    <w:lsdException w:qFormat="1" w:uiPriority="99" w:semiHidden="0"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99" w:semiHidden="0" w:name="Balloon Text"/>
    <w:lsdException w:qFormat="1"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lang w:val="en-US" w:eastAsia="zh-CN" w:bidi="ar-SA"/>
    </w:rPr>
  </w:style>
  <w:style w:type="paragraph" w:styleId="4">
    <w:name w:val="heading 1"/>
    <w:basedOn w:val="1"/>
    <w:next w:val="1"/>
    <w:link w:val="96"/>
    <w:qFormat/>
    <w:uiPriority w:val="9"/>
    <w:pPr>
      <w:keepNext/>
      <w:outlineLvl w:val="0"/>
    </w:pPr>
    <w:rPr>
      <w:rFonts w:ascii="宋体"/>
      <w:kern w:val="0"/>
      <w:sz w:val="28"/>
    </w:rPr>
  </w:style>
  <w:style w:type="paragraph" w:styleId="5">
    <w:name w:val="heading 2"/>
    <w:basedOn w:val="1"/>
    <w:next w:val="1"/>
    <w:link w:val="50"/>
    <w:qFormat/>
    <w:uiPriority w:val="0"/>
    <w:pPr>
      <w:keepNext/>
      <w:keepLines/>
      <w:spacing w:before="260" w:after="260" w:line="416" w:lineRule="auto"/>
      <w:outlineLvl w:val="1"/>
    </w:pPr>
    <w:rPr>
      <w:rFonts w:ascii="Arial" w:hAnsi="Arial" w:eastAsia="黑体"/>
      <w:b/>
      <w:bCs/>
      <w:kern w:val="0"/>
      <w:sz w:val="32"/>
      <w:szCs w:val="32"/>
    </w:rPr>
  </w:style>
  <w:style w:type="paragraph" w:styleId="6">
    <w:name w:val="heading 3"/>
    <w:basedOn w:val="1"/>
    <w:next w:val="1"/>
    <w:link w:val="51"/>
    <w:qFormat/>
    <w:uiPriority w:val="0"/>
    <w:pPr>
      <w:keepNext/>
      <w:keepLines/>
      <w:spacing w:before="260" w:after="260" w:line="416" w:lineRule="auto"/>
      <w:outlineLvl w:val="2"/>
    </w:pPr>
    <w:rPr>
      <w:b/>
      <w:bCs/>
      <w:kern w:val="0"/>
      <w:sz w:val="32"/>
      <w:szCs w:val="32"/>
    </w:rPr>
  </w:style>
  <w:style w:type="paragraph" w:styleId="7">
    <w:name w:val="heading 4"/>
    <w:basedOn w:val="1"/>
    <w:next w:val="1"/>
    <w:link w:val="52"/>
    <w:qFormat/>
    <w:uiPriority w:val="0"/>
    <w:pPr>
      <w:keepNext/>
      <w:keepLines/>
      <w:spacing w:before="280" w:after="290" w:line="376" w:lineRule="auto"/>
      <w:outlineLvl w:val="3"/>
    </w:pPr>
    <w:rPr>
      <w:rFonts w:ascii="Arial" w:hAnsi="Arial" w:eastAsia="黑体"/>
      <w:b/>
      <w:bCs/>
      <w:kern w:val="0"/>
      <w:sz w:val="28"/>
      <w:szCs w:val="28"/>
    </w:rPr>
  </w:style>
  <w:style w:type="character" w:default="1" w:styleId="34">
    <w:name w:val="Default Paragraph Font"/>
    <w:semiHidden/>
    <w:unhideWhenUsed/>
    <w:qFormat/>
    <w:uiPriority w:val="1"/>
  </w:style>
  <w:style w:type="table" w:default="1" w:styleId="32">
    <w:name w:val="Normal Table"/>
    <w:semiHidden/>
    <w:unhideWhenUsed/>
    <w:qFormat/>
    <w:uiPriority w:val="99"/>
    <w:tblPr>
      <w:tblCellMar>
        <w:top w:w="0" w:type="dxa"/>
        <w:left w:w="108" w:type="dxa"/>
        <w:bottom w:w="0" w:type="dxa"/>
        <w:right w:w="108" w:type="dxa"/>
      </w:tblCellMar>
    </w:tblPr>
  </w:style>
  <w:style w:type="paragraph" w:styleId="2">
    <w:name w:val="Body Text"/>
    <w:basedOn w:val="1"/>
    <w:next w:val="3"/>
    <w:link w:val="55"/>
    <w:unhideWhenUsed/>
    <w:qFormat/>
    <w:uiPriority w:val="0"/>
    <w:pPr>
      <w:spacing w:after="120"/>
    </w:pPr>
    <w:rPr>
      <w:kern w:val="0"/>
      <w:sz w:val="20"/>
    </w:rPr>
  </w:style>
  <w:style w:type="paragraph" w:styleId="3">
    <w:name w:val="Body Text First Indent"/>
    <w:basedOn w:val="2"/>
    <w:link w:val="66"/>
    <w:unhideWhenUsed/>
    <w:qFormat/>
    <w:uiPriority w:val="99"/>
    <w:pPr>
      <w:tabs>
        <w:tab w:val="left" w:pos="567"/>
      </w:tabs>
      <w:ind w:firstLine="420" w:firstLineChars="100"/>
    </w:pPr>
  </w:style>
  <w:style w:type="paragraph" w:styleId="8">
    <w:name w:val="toc 7"/>
    <w:basedOn w:val="1"/>
    <w:next w:val="1"/>
    <w:semiHidden/>
    <w:qFormat/>
    <w:uiPriority w:val="0"/>
    <w:pPr>
      <w:ind w:left="1260"/>
      <w:jc w:val="left"/>
    </w:pPr>
    <w:rPr>
      <w:sz w:val="18"/>
      <w:szCs w:val="18"/>
    </w:rPr>
  </w:style>
  <w:style w:type="paragraph" w:styleId="9">
    <w:name w:val="Document Map"/>
    <w:basedOn w:val="1"/>
    <w:link w:val="53"/>
    <w:unhideWhenUsed/>
    <w:qFormat/>
    <w:uiPriority w:val="0"/>
    <w:rPr>
      <w:rFonts w:ascii="宋体"/>
      <w:kern w:val="0"/>
      <w:sz w:val="18"/>
      <w:szCs w:val="18"/>
    </w:rPr>
  </w:style>
  <w:style w:type="paragraph" w:styleId="10">
    <w:name w:val="toa heading"/>
    <w:basedOn w:val="1"/>
    <w:next w:val="1"/>
    <w:semiHidden/>
    <w:qFormat/>
    <w:uiPriority w:val="99"/>
    <w:pPr>
      <w:spacing w:before="120" w:after="120"/>
      <w:jc w:val="left"/>
    </w:pPr>
    <w:rPr>
      <w:rFonts w:ascii="Calibri" w:hAnsi="Calibri" w:cs="Calibri"/>
      <w:sz w:val="20"/>
      <w:u w:val="single"/>
    </w:rPr>
  </w:style>
  <w:style w:type="paragraph" w:styleId="11">
    <w:name w:val="annotation text"/>
    <w:basedOn w:val="1"/>
    <w:link w:val="54"/>
    <w:qFormat/>
    <w:uiPriority w:val="99"/>
    <w:pPr>
      <w:jc w:val="left"/>
    </w:pPr>
    <w:rPr>
      <w:kern w:val="0"/>
      <w:sz w:val="20"/>
    </w:rPr>
  </w:style>
  <w:style w:type="paragraph" w:styleId="12">
    <w:name w:val="Body Text Indent"/>
    <w:basedOn w:val="1"/>
    <w:link w:val="56"/>
    <w:qFormat/>
    <w:uiPriority w:val="0"/>
    <w:pPr>
      <w:autoSpaceDE w:val="0"/>
      <w:autoSpaceDN w:val="0"/>
      <w:adjustRightInd w:val="0"/>
      <w:spacing w:line="360" w:lineRule="auto"/>
      <w:ind w:firstLine="480"/>
      <w:jc w:val="left"/>
    </w:pPr>
    <w:rPr>
      <w:rFonts w:ascii="宋体" w:hAnsi="宋体"/>
      <w:kern w:val="0"/>
      <w:sz w:val="24"/>
    </w:rPr>
  </w:style>
  <w:style w:type="paragraph" w:styleId="13">
    <w:name w:val="toc 5"/>
    <w:basedOn w:val="1"/>
    <w:next w:val="1"/>
    <w:semiHidden/>
    <w:qFormat/>
    <w:uiPriority w:val="0"/>
    <w:pPr>
      <w:ind w:left="840"/>
      <w:jc w:val="left"/>
    </w:pPr>
    <w:rPr>
      <w:sz w:val="18"/>
      <w:szCs w:val="18"/>
    </w:rPr>
  </w:style>
  <w:style w:type="paragraph" w:styleId="14">
    <w:name w:val="toc 3"/>
    <w:basedOn w:val="1"/>
    <w:next w:val="1"/>
    <w:qFormat/>
    <w:uiPriority w:val="39"/>
    <w:pPr>
      <w:tabs>
        <w:tab w:val="right" w:leader="hyphen" w:pos="9629"/>
      </w:tabs>
      <w:spacing w:line="360" w:lineRule="exact"/>
      <w:ind w:left="420" w:leftChars="200" w:firstLine="210" w:firstLineChars="100"/>
      <w:jc w:val="left"/>
    </w:pPr>
    <w:rPr>
      <w:rFonts w:ascii="宋体" w:hAnsi="宋体"/>
      <w:i/>
      <w:iCs/>
      <w:szCs w:val="21"/>
    </w:rPr>
  </w:style>
  <w:style w:type="paragraph" w:styleId="15">
    <w:name w:val="Plain Text"/>
    <w:basedOn w:val="1"/>
    <w:link w:val="57"/>
    <w:qFormat/>
    <w:uiPriority w:val="0"/>
    <w:pPr>
      <w:spacing w:line="360" w:lineRule="auto"/>
    </w:pPr>
    <w:rPr>
      <w:rFonts w:ascii="楷体_GB2312" w:hAnsi="Courier New" w:eastAsia="楷体_GB2312"/>
      <w:kern w:val="0"/>
      <w:sz w:val="24"/>
    </w:rPr>
  </w:style>
  <w:style w:type="paragraph" w:styleId="16">
    <w:name w:val="toc 8"/>
    <w:basedOn w:val="1"/>
    <w:next w:val="1"/>
    <w:semiHidden/>
    <w:qFormat/>
    <w:uiPriority w:val="0"/>
    <w:pPr>
      <w:ind w:left="1470"/>
      <w:jc w:val="left"/>
    </w:pPr>
    <w:rPr>
      <w:sz w:val="18"/>
      <w:szCs w:val="18"/>
    </w:rPr>
  </w:style>
  <w:style w:type="paragraph" w:styleId="17">
    <w:name w:val="Date"/>
    <w:basedOn w:val="1"/>
    <w:next w:val="1"/>
    <w:link w:val="58"/>
    <w:qFormat/>
    <w:uiPriority w:val="0"/>
    <w:rPr>
      <w:kern w:val="0"/>
      <w:sz w:val="28"/>
    </w:rPr>
  </w:style>
  <w:style w:type="paragraph" w:styleId="18">
    <w:name w:val="Body Text Indent 2"/>
    <w:basedOn w:val="1"/>
    <w:link w:val="59"/>
    <w:qFormat/>
    <w:uiPriority w:val="0"/>
    <w:pPr>
      <w:spacing w:after="120" w:line="480" w:lineRule="auto"/>
      <w:ind w:left="420" w:leftChars="200"/>
    </w:pPr>
    <w:rPr>
      <w:kern w:val="0"/>
      <w:sz w:val="20"/>
    </w:rPr>
  </w:style>
  <w:style w:type="paragraph" w:styleId="19">
    <w:name w:val="Balloon Text"/>
    <w:basedOn w:val="1"/>
    <w:link w:val="60"/>
    <w:qFormat/>
    <w:uiPriority w:val="99"/>
    <w:rPr>
      <w:kern w:val="0"/>
      <w:sz w:val="18"/>
      <w:szCs w:val="18"/>
    </w:rPr>
  </w:style>
  <w:style w:type="paragraph" w:styleId="20">
    <w:name w:val="footer"/>
    <w:basedOn w:val="1"/>
    <w:link w:val="61"/>
    <w:qFormat/>
    <w:uiPriority w:val="99"/>
    <w:pPr>
      <w:tabs>
        <w:tab w:val="center" w:pos="4153"/>
        <w:tab w:val="right" w:pos="8306"/>
      </w:tabs>
      <w:snapToGrid w:val="0"/>
      <w:jc w:val="left"/>
    </w:pPr>
    <w:rPr>
      <w:kern w:val="0"/>
      <w:sz w:val="18"/>
    </w:rPr>
  </w:style>
  <w:style w:type="paragraph" w:styleId="21">
    <w:name w:val="header"/>
    <w:basedOn w:val="1"/>
    <w:link w:val="62"/>
    <w:qFormat/>
    <w:uiPriority w:val="99"/>
    <w:pPr>
      <w:pBdr>
        <w:bottom w:val="single" w:color="auto" w:sz="6" w:space="1"/>
      </w:pBdr>
      <w:tabs>
        <w:tab w:val="center" w:pos="4153"/>
        <w:tab w:val="right" w:pos="8306"/>
      </w:tabs>
      <w:snapToGrid w:val="0"/>
      <w:jc w:val="center"/>
    </w:pPr>
    <w:rPr>
      <w:kern w:val="0"/>
      <w:sz w:val="18"/>
      <w:szCs w:val="18"/>
    </w:rPr>
  </w:style>
  <w:style w:type="paragraph" w:styleId="22">
    <w:name w:val="toc 1"/>
    <w:basedOn w:val="1"/>
    <w:next w:val="1"/>
    <w:qFormat/>
    <w:uiPriority w:val="39"/>
    <w:pPr>
      <w:tabs>
        <w:tab w:val="right" w:leader="hyphen" w:pos="9629"/>
      </w:tabs>
      <w:spacing w:line="320" w:lineRule="exact"/>
      <w:jc w:val="left"/>
    </w:pPr>
    <w:rPr>
      <w:rFonts w:ascii="宋体" w:hAnsi="宋体"/>
      <w:b/>
      <w:bCs/>
      <w:caps/>
      <w:szCs w:val="21"/>
    </w:rPr>
  </w:style>
  <w:style w:type="paragraph" w:styleId="23">
    <w:name w:val="toc 4"/>
    <w:basedOn w:val="1"/>
    <w:next w:val="1"/>
    <w:semiHidden/>
    <w:qFormat/>
    <w:uiPriority w:val="0"/>
    <w:pPr>
      <w:ind w:left="630"/>
      <w:jc w:val="left"/>
    </w:pPr>
    <w:rPr>
      <w:sz w:val="18"/>
      <w:szCs w:val="18"/>
    </w:rPr>
  </w:style>
  <w:style w:type="paragraph" w:styleId="24">
    <w:name w:val="Subtitle"/>
    <w:basedOn w:val="1"/>
    <w:next w:val="1"/>
    <w:link w:val="63"/>
    <w:qFormat/>
    <w:uiPriority w:val="11"/>
    <w:pPr>
      <w:spacing w:before="240" w:after="60" w:line="312" w:lineRule="auto"/>
      <w:jc w:val="center"/>
      <w:outlineLvl w:val="1"/>
    </w:pPr>
    <w:rPr>
      <w:rFonts w:ascii="Cambria" w:hAnsi="Cambria"/>
      <w:b/>
      <w:bCs/>
      <w:kern w:val="28"/>
      <w:sz w:val="32"/>
      <w:szCs w:val="32"/>
    </w:rPr>
  </w:style>
  <w:style w:type="paragraph" w:styleId="25">
    <w:name w:val="toc 6"/>
    <w:basedOn w:val="1"/>
    <w:next w:val="1"/>
    <w:semiHidden/>
    <w:qFormat/>
    <w:uiPriority w:val="0"/>
    <w:pPr>
      <w:ind w:left="1050"/>
      <w:jc w:val="left"/>
    </w:pPr>
    <w:rPr>
      <w:sz w:val="18"/>
      <w:szCs w:val="18"/>
    </w:rPr>
  </w:style>
  <w:style w:type="paragraph" w:styleId="26">
    <w:name w:val="toc 2"/>
    <w:basedOn w:val="1"/>
    <w:next w:val="1"/>
    <w:qFormat/>
    <w:uiPriority w:val="39"/>
    <w:pPr>
      <w:tabs>
        <w:tab w:val="right" w:leader="hyphen" w:pos="9639"/>
      </w:tabs>
      <w:spacing w:line="320" w:lineRule="exact"/>
      <w:ind w:left="210"/>
      <w:jc w:val="left"/>
    </w:pPr>
    <w:rPr>
      <w:smallCaps/>
      <w:sz w:val="20"/>
    </w:rPr>
  </w:style>
  <w:style w:type="paragraph" w:styleId="27">
    <w:name w:val="toc 9"/>
    <w:basedOn w:val="1"/>
    <w:next w:val="1"/>
    <w:semiHidden/>
    <w:qFormat/>
    <w:uiPriority w:val="0"/>
    <w:pPr>
      <w:ind w:left="1680"/>
      <w:jc w:val="left"/>
    </w:pPr>
    <w:rPr>
      <w:sz w:val="18"/>
      <w:szCs w:val="18"/>
    </w:rPr>
  </w:style>
  <w:style w:type="paragraph" w:styleId="28">
    <w:name w:val="Body Text 2"/>
    <w:basedOn w:val="1"/>
    <w:link w:val="64"/>
    <w:qFormat/>
    <w:uiPriority w:val="0"/>
    <w:rPr>
      <w:rFonts w:ascii="Calibri" w:hAnsi="Calibri"/>
      <w:kern w:val="0"/>
      <w:sz w:val="28"/>
      <w:szCs w:val="24"/>
      <w:lang w:val="zh-CN"/>
    </w:rPr>
  </w:style>
  <w:style w:type="paragraph" w:styleId="29">
    <w:name w:val="Normal (Web)"/>
    <w:basedOn w:val="1"/>
    <w:unhideWhenUsed/>
    <w:qFormat/>
    <w:uiPriority w:val="99"/>
    <w:pPr>
      <w:widowControl/>
      <w:spacing w:before="100" w:beforeAutospacing="1" w:after="100" w:afterAutospacing="1"/>
      <w:jc w:val="left"/>
    </w:pPr>
    <w:rPr>
      <w:rFonts w:ascii="宋体" w:hAnsi="宋体" w:cs="宋体"/>
      <w:color w:val="000000"/>
      <w:kern w:val="0"/>
      <w:sz w:val="24"/>
    </w:rPr>
  </w:style>
  <w:style w:type="paragraph" w:styleId="30">
    <w:name w:val="annotation subject"/>
    <w:basedOn w:val="11"/>
    <w:next w:val="11"/>
    <w:link w:val="65"/>
    <w:unhideWhenUsed/>
    <w:qFormat/>
    <w:uiPriority w:val="99"/>
    <w:rPr>
      <w:b/>
      <w:bCs/>
      <w:kern w:val="2"/>
      <w:sz w:val="21"/>
    </w:rPr>
  </w:style>
  <w:style w:type="paragraph" w:styleId="31">
    <w:name w:val="Body Text First Indent 2"/>
    <w:basedOn w:val="12"/>
    <w:link w:val="67"/>
    <w:qFormat/>
    <w:uiPriority w:val="0"/>
  </w:style>
  <w:style w:type="table" w:styleId="33">
    <w:name w:val="Table Grid"/>
    <w:basedOn w:val="32"/>
    <w:qFormat/>
    <w:uiPriority w:val="3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35">
    <w:name w:val="Strong"/>
    <w:qFormat/>
    <w:uiPriority w:val="22"/>
    <w:rPr>
      <w:b/>
      <w:bCs/>
    </w:rPr>
  </w:style>
  <w:style w:type="character" w:styleId="36">
    <w:name w:val="page number"/>
    <w:basedOn w:val="34"/>
    <w:qFormat/>
    <w:uiPriority w:val="0"/>
  </w:style>
  <w:style w:type="character" w:styleId="37">
    <w:name w:val="FollowedHyperlink"/>
    <w:qFormat/>
    <w:uiPriority w:val="99"/>
    <w:rPr>
      <w:color w:val="800080"/>
      <w:u w:val="none"/>
    </w:rPr>
  </w:style>
  <w:style w:type="character" w:styleId="38">
    <w:name w:val="Emphasis"/>
    <w:qFormat/>
    <w:uiPriority w:val="0"/>
    <w:rPr>
      <w:b/>
    </w:rPr>
  </w:style>
  <w:style w:type="character" w:styleId="39">
    <w:name w:val="HTML Definition"/>
    <w:qFormat/>
    <w:uiPriority w:val="0"/>
  </w:style>
  <w:style w:type="character" w:styleId="40">
    <w:name w:val="HTML Typewriter"/>
    <w:qFormat/>
    <w:uiPriority w:val="0"/>
    <w:rPr>
      <w:rFonts w:hint="default" w:ascii="monospace" w:hAnsi="monospace" w:eastAsia="monospace" w:cs="monospace"/>
      <w:sz w:val="20"/>
    </w:rPr>
  </w:style>
  <w:style w:type="character" w:styleId="41">
    <w:name w:val="HTML Acronym"/>
    <w:qFormat/>
    <w:uiPriority w:val="0"/>
  </w:style>
  <w:style w:type="character" w:styleId="42">
    <w:name w:val="HTML Variable"/>
    <w:qFormat/>
    <w:uiPriority w:val="0"/>
  </w:style>
  <w:style w:type="character" w:styleId="43">
    <w:name w:val="Hyperlink"/>
    <w:qFormat/>
    <w:uiPriority w:val="99"/>
    <w:rPr>
      <w:color w:val="0000FF"/>
      <w:u w:val="none"/>
    </w:rPr>
  </w:style>
  <w:style w:type="character" w:styleId="44">
    <w:name w:val="HTML Code"/>
    <w:qFormat/>
    <w:uiPriority w:val="0"/>
    <w:rPr>
      <w:rFonts w:ascii="monospace" w:hAnsi="monospace" w:eastAsia="monospace" w:cs="monospace"/>
      <w:sz w:val="20"/>
    </w:rPr>
  </w:style>
  <w:style w:type="character" w:styleId="45">
    <w:name w:val="annotation reference"/>
    <w:unhideWhenUsed/>
    <w:qFormat/>
    <w:uiPriority w:val="99"/>
    <w:rPr>
      <w:sz w:val="21"/>
      <w:szCs w:val="21"/>
    </w:rPr>
  </w:style>
  <w:style w:type="character" w:styleId="46">
    <w:name w:val="HTML Cite"/>
    <w:qFormat/>
    <w:uiPriority w:val="0"/>
  </w:style>
  <w:style w:type="character" w:styleId="47">
    <w:name w:val="HTML Keyboard"/>
    <w:qFormat/>
    <w:uiPriority w:val="0"/>
    <w:rPr>
      <w:rFonts w:hint="default" w:ascii="monospace" w:hAnsi="monospace" w:eastAsia="monospace" w:cs="monospace"/>
      <w:sz w:val="20"/>
    </w:rPr>
  </w:style>
  <w:style w:type="character" w:styleId="48">
    <w:name w:val="HTML Sample"/>
    <w:qFormat/>
    <w:uiPriority w:val="0"/>
    <w:rPr>
      <w:rFonts w:hint="default" w:ascii="monospace" w:hAnsi="monospace" w:eastAsia="monospace" w:cs="monospace"/>
    </w:rPr>
  </w:style>
  <w:style w:type="character" w:customStyle="1" w:styleId="49">
    <w:name w:val="标题 1 Char"/>
    <w:qFormat/>
    <w:uiPriority w:val="9"/>
    <w:rPr>
      <w:rFonts w:ascii="宋体" w:hAnsi="Times New Roman" w:eastAsia="宋体" w:cs="Times New Roman"/>
      <w:sz w:val="28"/>
      <w:szCs w:val="20"/>
    </w:rPr>
  </w:style>
  <w:style w:type="character" w:customStyle="1" w:styleId="50">
    <w:name w:val="标题 2 字符"/>
    <w:link w:val="5"/>
    <w:qFormat/>
    <w:uiPriority w:val="0"/>
    <w:rPr>
      <w:rFonts w:ascii="Arial" w:hAnsi="Arial" w:eastAsia="黑体" w:cs="Times New Roman"/>
      <w:b/>
      <w:bCs/>
      <w:sz w:val="32"/>
      <w:szCs w:val="32"/>
    </w:rPr>
  </w:style>
  <w:style w:type="character" w:customStyle="1" w:styleId="51">
    <w:name w:val="标题 3 字符"/>
    <w:link w:val="6"/>
    <w:qFormat/>
    <w:uiPriority w:val="0"/>
    <w:rPr>
      <w:rFonts w:ascii="Times New Roman" w:hAnsi="Times New Roman" w:eastAsia="宋体" w:cs="Times New Roman"/>
      <w:b/>
      <w:bCs/>
      <w:sz w:val="32"/>
      <w:szCs w:val="32"/>
    </w:rPr>
  </w:style>
  <w:style w:type="character" w:customStyle="1" w:styleId="52">
    <w:name w:val="标题 4 字符"/>
    <w:link w:val="7"/>
    <w:qFormat/>
    <w:uiPriority w:val="0"/>
    <w:rPr>
      <w:rFonts w:ascii="Arial" w:hAnsi="Arial" w:eastAsia="黑体" w:cs="Times New Roman"/>
      <w:b/>
      <w:bCs/>
      <w:sz w:val="28"/>
      <w:szCs w:val="28"/>
    </w:rPr>
  </w:style>
  <w:style w:type="character" w:customStyle="1" w:styleId="53">
    <w:name w:val="文档结构图 字符"/>
    <w:link w:val="9"/>
    <w:qFormat/>
    <w:uiPriority w:val="0"/>
    <w:rPr>
      <w:rFonts w:ascii="宋体" w:hAnsi="Times New Roman" w:eastAsia="宋体" w:cs="Times New Roman"/>
      <w:sz w:val="18"/>
      <w:szCs w:val="18"/>
    </w:rPr>
  </w:style>
  <w:style w:type="character" w:customStyle="1" w:styleId="54">
    <w:name w:val="批注文字 字符"/>
    <w:link w:val="11"/>
    <w:qFormat/>
    <w:uiPriority w:val="99"/>
    <w:rPr>
      <w:rFonts w:ascii="Times New Roman" w:hAnsi="Times New Roman" w:eastAsia="宋体" w:cs="Times New Roman"/>
      <w:szCs w:val="20"/>
    </w:rPr>
  </w:style>
  <w:style w:type="character" w:customStyle="1" w:styleId="55">
    <w:name w:val="正文文本 字符"/>
    <w:link w:val="2"/>
    <w:qFormat/>
    <w:uiPriority w:val="0"/>
    <w:rPr>
      <w:rFonts w:ascii="Times New Roman" w:hAnsi="Times New Roman" w:eastAsia="宋体" w:cs="Times New Roman"/>
      <w:szCs w:val="20"/>
    </w:rPr>
  </w:style>
  <w:style w:type="character" w:customStyle="1" w:styleId="56">
    <w:name w:val="正文文本缩进 字符"/>
    <w:link w:val="12"/>
    <w:qFormat/>
    <w:uiPriority w:val="0"/>
    <w:rPr>
      <w:rFonts w:ascii="宋体" w:hAnsi="宋体" w:eastAsia="宋体" w:cs="Times New Roman"/>
      <w:kern w:val="0"/>
      <w:sz w:val="24"/>
      <w:szCs w:val="20"/>
    </w:rPr>
  </w:style>
  <w:style w:type="character" w:customStyle="1" w:styleId="57">
    <w:name w:val="纯文本 字符"/>
    <w:link w:val="15"/>
    <w:qFormat/>
    <w:uiPriority w:val="0"/>
    <w:rPr>
      <w:rFonts w:ascii="楷体_GB2312" w:hAnsi="Courier New" w:eastAsia="楷体_GB2312" w:cs="Times New Roman"/>
      <w:sz w:val="24"/>
      <w:szCs w:val="20"/>
    </w:rPr>
  </w:style>
  <w:style w:type="character" w:customStyle="1" w:styleId="58">
    <w:name w:val="日期 字符"/>
    <w:link w:val="17"/>
    <w:qFormat/>
    <w:uiPriority w:val="0"/>
    <w:rPr>
      <w:rFonts w:ascii="Times New Roman" w:hAnsi="Times New Roman" w:eastAsia="宋体" w:cs="Times New Roman"/>
      <w:sz w:val="28"/>
      <w:szCs w:val="20"/>
    </w:rPr>
  </w:style>
  <w:style w:type="character" w:customStyle="1" w:styleId="59">
    <w:name w:val="正文文本缩进 2 字符"/>
    <w:link w:val="18"/>
    <w:qFormat/>
    <w:uiPriority w:val="0"/>
    <w:rPr>
      <w:rFonts w:ascii="Times New Roman" w:hAnsi="Times New Roman" w:eastAsia="宋体" w:cs="Times New Roman"/>
      <w:szCs w:val="20"/>
    </w:rPr>
  </w:style>
  <w:style w:type="character" w:customStyle="1" w:styleId="60">
    <w:name w:val="批注框文本 字符"/>
    <w:link w:val="19"/>
    <w:qFormat/>
    <w:uiPriority w:val="99"/>
    <w:rPr>
      <w:rFonts w:ascii="Times New Roman" w:hAnsi="Times New Roman" w:eastAsia="宋体" w:cs="Times New Roman"/>
      <w:sz w:val="18"/>
      <w:szCs w:val="18"/>
    </w:rPr>
  </w:style>
  <w:style w:type="character" w:customStyle="1" w:styleId="61">
    <w:name w:val="页脚 字符"/>
    <w:link w:val="20"/>
    <w:qFormat/>
    <w:uiPriority w:val="99"/>
    <w:rPr>
      <w:rFonts w:ascii="Times New Roman" w:hAnsi="Times New Roman" w:eastAsia="宋体" w:cs="Times New Roman"/>
      <w:sz w:val="18"/>
      <w:szCs w:val="20"/>
    </w:rPr>
  </w:style>
  <w:style w:type="character" w:customStyle="1" w:styleId="62">
    <w:name w:val="页眉 字符"/>
    <w:link w:val="21"/>
    <w:qFormat/>
    <w:uiPriority w:val="99"/>
    <w:rPr>
      <w:rFonts w:ascii="Times New Roman" w:hAnsi="Times New Roman" w:eastAsia="宋体" w:cs="Times New Roman"/>
      <w:sz w:val="18"/>
      <w:szCs w:val="18"/>
    </w:rPr>
  </w:style>
  <w:style w:type="character" w:customStyle="1" w:styleId="63">
    <w:name w:val="副标题 字符"/>
    <w:link w:val="24"/>
    <w:qFormat/>
    <w:uiPriority w:val="11"/>
    <w:rPr>
      <w:rFonts w:ascii="Cambria" w:hAnsi="Cambria" w:eastAsia="宋体" w:cs="Times New Roman"/>
      <w:b/>
      <w:bCs/>
      <w:kern w:val="28"/>
      <w:sz w:val="32"/>
      <w:szCs w:val="32"/>
    </w:rPr>
  </w:style>
  <w:style w:type="character" w:customStyle="1" w:styleId="64">
    <w:name w:val="正文文本 2 字符"/>
    <w:link w:val="28"/>
    <w:qFormat/>
    <w:uiPriority w:val="0"/>
    <w:rPr>
      <w:rFonts w:ascii="Calibri" w:hAnsi="Calibri" w:eastAsia="宋体" w:cs="Times New Roman"/>
      <w:sz w:val="28"/>
      <w:szCs w:val="24"/>
      <w:lang w:val="zh-CN"/>
    </w:rPr>
  </w:style>
  <w:style w:type="character" w:customStyle="1" w:styleId="65">
    <w:name w:val="批注主题 字符"/>
    <w:link w:val="30"/>
    <w:semiHidden/>
    <w:qFormat/>
    <w:uiPriority w:val="99"/>
    <w:rPr>
      <w:rFonts w:ascii="Times New Roman" w:hAnsi="Times New Roman" w:eastAsia="宋体" w:cs="Times New Roman"/>
      <w:b/>
      <w:bCs/>
      <w:kern w:val="2"/>
      <w:sz w:val="21"/>
      <w:szCs w:val="20"/>
    </w:rPr>
  </w:style>
  <w:style w:type="character" w:customStyle="1" w:styleId="66">
    <w:name w:val="正文文本首行缩进 字符"/>
    <w:link w:val="3"/>
    <w:qFormat/>
    <w:uiPriority w:val="99"/>
    <w:rPr>
      <w:rFonts w:ascii="Times New Roman" w:hAnsi="Times New Roman" w:eastAsia="宋体" w:cs="Times New Roman"/>
      <w:szCs w:val="20"/>
    </w:rPr>
  </w:style>
  <w:style w:type="character" w:customStyle="1" w:styleId="67">
    <w:name w:val="正文文本首行缩进 2 字符"/>
    <w:link w:val="31"/>
    <w:qFormat/>
    <w:uiPriority w:val="0"/>
    <w:rPr>
      <w:rFonts w:ascii="宋体" w:hAnsi="宋体" w:eastAsia="宋体" w:cs="Times New Roman"/>
      <w:kern w:val="0"/>
      <w:sz w:val="24"/>
      <w:szCs w:val="20"/>
    </w:rPr>
  </w:style>
  <w:style w:type="paragraph" w:customStyle="1" w:styleId="68">
    <w:name w:val="BodyText1I2"/>
    <w:basedOn w:val="69"/>
    <w:qFormat/>
    <w:uiPriority w:val="0"/>
    <w:pPr>
      <w:spacing w:after="120" w:line="240" w:lineRule="auto"/>
      <w:ind w:left="420" w:leftChars="200" w:firstLine="420" w:firstLineChars="200"/>
    </w:pPr>
    <w:rPr>
      <w:rFonts w:ascii="Times New Roman"/>
      <w:sz w:val="21"/>
    </w:rPr>
  </w:style>
  <w:style w:type="paragraph" w:customStyle="1" w:styleId="69">
    <w:name w:val="BodyTextIndent"/>
    <w:basedOn w:val="1"/>
    <w:next w:val="68"/>
    <w:qFormat/>
    <w:uiPriority w:val="0"/>
    <w:pPr>
      <w:spacing w:line="360" w:lineRule="auto"/>
      <w:ind w:firstLine="480"/>
      <w:jc w:val="left"/>
      <w:textAlignment w:val="baseline"/>
    </w:pPr>
    <w:rPr>
      <w:rFonts w:ascii="宋体" w:hAnsi="宋体" w:eastAsia="仿宋_GB2312"/>
      <w:b/>
      <w:spacing w:val="4"/>
      <w:kern w:val="0"/>
      <w:sz w:val="24"/>
      <w:szCs w:val="28"/>
    </w:rPr>
  </w:style>
  <w:style w:type="paragraph" w:customStyle="1" w:styleId="70">
    <w:name w:val="3级"/>
    <w:basedOn w:val="6"/>
    <w:qFormat/>
    <w:uiPriority w:val="0"/>
    <w:pPr>
      <w:snapToGrid w:val="0"/>
      <w:spacing w:before="100" w:after="100" w:line="240" w:lineRule="auto"/>
      <w:jc w:val="left"/>
    </w:pPr>
    <w:rPr>
      <w:rFonts w:ascii="Cambria" w:hAnsi="Cambria" w:cs="仿宋"/>
      <w:sz w:val="24"/>
      <w:szCs w:val="24"/>
    </w:rPr>
  </w:style>
  <w:style w:type="paragraph" w:customStyle="1" w:styleId="71">
    <w:name w:val="正文1"/>
    <w:qFormat/>
    <w:uiPriority w:val="0"/>
    <w:pPr>
      <w:widowControl w:val="0"/>
      <w:adjustRightInd w:val="0"/>
      <w:spacing w:line="312" w:lineRule="atLeast"/>
      <w:jc w:val="both"/>
      <w:textAlignment w:val="baseline"/>
    </w:pPr>
    <w:rPr>
      <w:rFonts w:ascii="宋体" w:hAnsi="Times New Roman" w:eastAsia="宋体" w:cs="Times New Roman"/>
      <w:sz w:val="34"/>
      <w:lang w:val="en-US" w:eastAsia="zh-CN" w:bidi="ar-SA"/>
    </w:rPr>
  </w:style>
  <w:style w:type="paragraph" w:customStyle="1" w:styleId="72">
    <w:name w:val="Char"/>
    <w:basedOn w:val="1"/>
    <w:qFormat/>
    <w:uiPriority w:val="0"/>
    <w:rPr>
      <w:rFonts w:ascii="仿宋_GB2312" w:eastAsia="仿宋_GB2312"/>
      <w:b/>
      <w:sz w:val="32"/>
      <w:szCs w:val="32"/>
    </w:rPr>
  </w:style>
  <w:style w:type="paragraph" w:customStyle="1" w:styleId="73">
    <w:name w:val="列表段落1"/>
    <w:basedOn w:val="1"/>
    <w:qFormat/>
    <w:uiPriority w:val="99"/>
    <w:pPr>
      <w:ind w:firstLine="420" w:firstLineChars="200"/>
    </w:pPr>
    <w:rPr>
      <w:szCs w:val="24"/>
    </w:rPr>
  </w:style>
  <w:style w:type="paragraph" w:customStyle="1" w:styleId="74">
    <w:name w:val="Default"/>
    <w:qFormat/>
    <w:uiPriority w:val="0"/>
    <w:pPr>
      <w:widowControl w:val="0"/>
      <w:autoSpaceDE w:val="0"/>
      <w:autoSpaceDN w:val="0"/>
      <w:adjustRightInd w:val="0"/>
    </w:pPr>
    <w:rPr>
      <w:rFonts w:ascii="宋体" w:hAnsi="宋体" w:eastAsia="宋体" w:cs="宋体"/>
      <w:color w:val="000000"/>
      <w:sz w:val="24"/>
      <w:szCs w:val="24"/>
      <w:lang w:val="en-US" w:eastAsia="zh-CN" w:bidi="ar-SA"/>
    </w:rPr>
  </w:style>
  <w:style w:type="paragraph" w:customStyle="1" w:styleId="75">
    <w:name w:val="p0"/>
    <w:basedOn w:val="1"/>
    <w:qFormat/>
    <w:uiPriority w:val="0"/>
    <w:pPr>
      <w:widowControl/>
    </w:pPr>
    <w:rPr>
      <w:rFonts w:ascii="Calibri" w:hAnsi="Calibri" w:cs="宋体"/>
      <w:kern w:val="0"/>
      <w:szCs w:val="21"/>
    </w:rPr>
  </w:style>
  <w:style w:type="character" w:customStyle="1" w:styleId="76">
    <w:name w:val="mini-outputtext1"/>
    <w:qFormat/>
    <w:uiPriority w:val="0"/>
  </w:style>
  <w:style w:type="character" w:customStyle="1" w:styleId="77">
    <w:name w:val="font31"/>
    <w:qFormat/>
    <w:uiPriority w:val="0"/>
    <w:rPr>
      <w:rFonts w:hint="eastAsia" w:ascii="宋体" w:hAnsi="宋体" w:eastAsia="宋体" w:cs="宋体"/>
      <w:color w:val="000000"/>
      <w:sz w:val="18"/>
      <w:szCs w:val="18"/>
      <w:u w:val="none"/>
    </w:rPr>
  </w:style>
  <w:style w:type="character" w:customStyle="1" w:styleId="78">
    <w:name w:val="font01"/>
    <w:qFormat/>
    <w:uiPriority w:val="0"/>
    <w:rPr>
      <w:rFonts w:hint="eastAsia" w:ascii="宋体" w:hAnsi="宋体" w:eastAsia="宋体" w:cs="宋体"/>
      <w:color w:val="000000"/>
      <w:sz w:val="18"/>
      <w:szCs w:val="18"/>
      <w:u w:val="none"/>
      <w:vertAlign w:val="superscript"/>
    </w:rPr>
  </w:style>
  <w:style w:type="paragraph" w:customStyle="1" w:styleId="79">
    <w:name w:val="首行缩进"/>
    <w:basedOn w:val="1"/>
    <w:qFormat/>
    <w:uiPriority w:val="0"/>
    <w:pPr>
      <w:spacing w:line="360" w:lineRule="auto"/>
      <w:ind w:firstLine="480" w:firstLineChars="200"/>
    </w:pPr>
    <w:rPr>
      <w:rFonts w:ascii="宋体" w:hAnsi="宋体" w:cs="宋体"/>
      <w:kern w:val="0"/>
      <w:sz w:val="24"/>
    </w:rPr>
  </w:style>
  <w:style w:type="paragraph" w:customStyle="1" w:styleId="80">
    <w:name w:val="Body text|2"/>
    <w:basedOn w:val="1"/>
    <w:qFormat/>
    <w:uiPriority w:val="0"/>
    <w:pPr>
      <w:spacing w:before="160" w:after="380"/>
    </w:pPr>
    <w:rPr>
      <w:rFonts w:ascii="宋体" w:hAnsi="宋体" w:cs="宋体"/>
      <w:sz w:val="28"/>
      <w:szCs w:val="28"/>
      <w:lang w:val="zh-TW" w:eastAsia="zh-TW" w:bidi="zh-TW"/>
    </w:rPr>
  </w:style>
  <w:style w:type="paragraph" w:customStyle="1" w:styleId="81">
    <w:name w:val="Heading #1|1"/>
    <w:basedOn w:val="1"/>
    <w:qFormat/>
    <w:uiPriority w:val="0"/>
    <w:pPr>
      <w:spacing w:after="220"/>
      <w:jc w:val="center"/>
      <w:outlineLvl w:val="0"/>
    </w:pPr>
    <w:rPr>
      <w:rFonts w:ascii="宋体" w:hAnsi="宋体" w:cs="宋体"/>
      <w:sz w:val="38"/>
      <w:szCs w:val="38"/>
      <w:lang w:val="zh-TW" w:eastAsia="zh-TW" w:bidi="zh-TW"/>
    </w:rPr>
  </w:style>
  <w:style w:type="paragraph" w:customStyle="1" w:styleId="82">
    <w:name w:val="Other|1"/>
    <w:basedOn w:val="1"/>
    <w:qFormat/>
    <w:uiPriority w:val="0"/>
    <w:pPr>
      <w:spacing w:line="298" w:lineRule="exact"/>
    </w:pPr>
    <w:rPr>
      <w:rFonts w:ascii="宋体" w:hAnsi="宋体" w:cs="宋体"/>
      <w:sz w:val="19"/>
      <w:szCs w:val="19"/>
      <w:lang w:val="zh-TW" w:eastAsia="zh-TW" w:bidi="zh-TW"/>
    </w:rPr>
  </w:style>
  <w:style w:type="paragraph" w:customStyle="1" w:styleId="83">
    <w:name w:val="Table caption|1"/>
    <w:basedOn w:val="1"/>
    <w:qFormat/>
    <w:uiPriority w:val="0"/>
    <w:pPr>
      <w:spacing w:line="317" w:lineRule="exact"/>
    </w:pPr>
    <w:rPr>
      <w:rFonts w:ascii="宋体" w:hAnsi="宋体" w:cs="宋体"/>
      <w:sz w:val="22"/>
      <w:szCs w:val="22"/>
      <w:lang w:val="zh-TW" w:eastAsia="zh-TW" w:bidi="zh-TW"/>
    </w:rPr>
  </w:style>
  <w:style w:type="paragraph" w:customStyle="1" w:styleId="84">
    <w:name w:val="Body text|1"/>
    <w:basedOn w:val="1"/>
    <w:qFormat/>
    <w:uiPriority w:val="0"/>
    <w:pPr>
      <w:spacing w:line="295" w:lineRule="auto"/>
      <w:ind w:firstLine="400"/>
    </w:pPr>
    <w:rPr>
      <w:rFonts w:ascii="宋体" w:hAnsi="宋体" w:cs="宋体"/>
      <w:sz w:val="22"/>
      <w:szCs w:val="22"/>
      <w:lang w:val="zh-TW" w:eastAsia="zh-TW" w:bidi="zh-TW"/>
    </w:rPr>
  </w:style>
  <w:style w:type="paragraph" w:customStyle="1" w:styleId="85">
    <w:name w:val="Table Text"/>
    <w:basedOn w:val="1"/>
    <w:semiHidden/>
    <w:qFormat/>
    <w:uiPriority w:val="0"/>
    <w:rPr>
      <w:rFonts w:ascii="黑体" w:hAnsi="黑体" w:eastAsia="黑体" w:cs="黑体"/>
      <w:sz w:val="18"/>
      <w:szCs w:val="18"/>
    </w:rPr>
  </w:style>
  <w:style w:type="character" w:customStyle="1" w:styleId="86">
    <w:name w:val="font11"/>
    <w:qFormat/>
    <w:uiPriority w:val="0"/>
    <w:rPr>
      <w:rFonts w:hint="eastAsia" w:ascii="宋体" w:hAnsi="宋体" w:eastAsia="宋体" w:cs="宋体"/>
      <w:color w:val="000000"/>
      <w:sz w:val="20"/>
      <w:szCs w:val="20"/>
      <w:u w:val="none"/>
    </w:rPr>
  </w:style>
  <w:style w:type="character" w:customStyle="1" w:styleId="87">
    <w:name w:val="font41"/>
    <w:qFormat/>
    <w:uiPriority w:val="0"/>
    <w:rPr>
      <w:rFonts w:hint="eastAsia" w:ascii="宋体" w:hAnsi="宋体" w:eastAsia="宋体" w:cs="宋体"/>
      <w:b/>
      <w:bCs/>
      <w:color w:val="000000"/>
      <w:sz w:val="20"/>
      <w:szCs w:val="20"/>
      <w:u w:val="none"/>
    </w:rPr>
  </w:style>
  <w:style w:type="paragraph" w:customStyle="1" w:styleId="88">
    <w:name w:val="正文缩进1"/>
    <w:qFormat/>
    <w:uiPriority w:val="0"/>
    <w:pPr>
      <w:ind w:firstLine="420" w:firstLineChars="200"/>
      <w:jc w:val="both"/>
    </w:pPr>
    <w:rPr>
      <w:rFonts w:ascii="Times New Roman" w:hAnsi="Times New Roman" w:eastAsia="宋体" w:cs="Times New Roman"/>
      <w:kern w:val="2"/>
      <w:sz w:val="21"/>
      <w:szCs w:val="21"/>
      <w:lang w:val="en-US" w:eastAsia="zh-CN" w:bidi="ar-SA"/>
    </w:rPr>
  </w:style>
  <w:style w:type="paragraph" w:styleId="89">
    <w:name w:val="List Paragraph"/>
    <w:basedOn w:val="1"/>
    <w:qFormat/>
    <w:uiPriority w:val="34"/>
    <w:pPr>
      <w:ind w:firstLine="420" w:firstLineChars="200"/>
    </w:pPr>
    <w:rPr>
      <w:rFonts w:ascii="Calibri" w:hAnsi="Calibri" w:eastAsia="黑体"/>
      <w:bCs/>
      <w:sz w:val="30"/>
      <w:szCs w:val="30"/>
    </w:rPr>
  </w:style>
  <w:style w:type="paragraph" w:customStyle="1" w:styleId="90">
    <w:name w:val="修订1"/>
    <w:semiHidden/>
    <w:qFormat/>
    <w:uiPriority w:val="99"/>
    <w:rPr>
      <w:rFonts w:ascii="Calibri" w:hAnsi="Calibri" w:eastAsia="宋体" w:cs="Times New Roman"/>
      <w:kern w:val="2"/>
      <w:sz w:val="21"/>
      <w:szCs w:val="24"/>
      <w:lang w:val="en-US" w:eastAsia="zh-CN" w:bidi="ar-SA"/>
    </w:rPr>
  </w:style>
  <w:style w:type="paragraph" w:customStyle="1" w:styleId="91">
    <w:name w:val="AONormal"/>
    <w:qFormat/>
    <w:uiPriority w:val="0"/>
    <w:pPr>
      <w:autoSpaceDE w:val="0"/>
      <w:autoSpaceDN w:val="0"/>
      <w:adjustRightInd w:val="0"/>
      <w:spacing w:line="400" w:lineRule="exact"/>
      <w:ind w:firstLine="440" w:firstLineChars="200"/>
    </w:pPr>
    <w:rPr>
      <w:rFonts w:ascii="华文楷体" w:hAnsi="华文楷体" w:eastAsia="华文楷体" w:cs="华文楷体"/>
      <w:sz w:val="22"/>
      <w:szCs w:val="21"/>
      <w:lang w:val="en-US" w:eastAsia="zh-CN" w:bidi="ar-SA"/>
    </w:rPr>
  </w:style>
  <w:style w:type="paragraph" w:customStyle="1" w:styleId="92">
    <w:name w:val="列出段落1"/>
    <w:basedOn w:val="1"/>
    <w:qFormat/>
    <w:uiPriority w:val="0"/>
    <w:pPr>
      <w:ind w:firstLine="420" w:firstLineChars="200"/>
    </w:pPr>
    <w:rPr>
      <w:rFonts w:ascii="Calibri" w:hAnsi="Calibri"/>
      <w:szCs w:val="21"/>
    </w:rPr>
  </w:style>
  <w:style w:type="paragraph" w:customStyle="1" w:styleId="93">
    <w:name w:val="_Style 92"/>
    <w:unhideWhenUsed/>
    <w:qFormat/>
    <w:uiPriority w:val="99"/>
    <w:rPr>
      <w:rFonts w:ascii="Times New Roman" w:hAnsi="Times New Roman" w:eastAsia="宋体" w:cs="Times New Roman"/>
      <w:kern w:val="2"/>
      <w:sz w:val="21"/>
      <w:lang w:val="en-US" w:eastAsia="zh-CN" w:bidi="ar-SA"/>
    </w:rPr>
  </w:style>
  <w:style w:type="paragraph" w:customStyle="1" w:styleId="94">
    <w:name w:val="列出段落2"/>
    <w:basedOn w:val="1"/>
    <w:qFormat/>
    <w:uiPriority w:val="0"/>
    <w:pPr>
      <w:ind w:firstLine="420" w:firstLineChars="200"/>
    </w:pPr>
    <w:rPr>
      <w:szCs w:val="21"/>
    </w:rPr>
  </w:style>
  <w:style w:type="paragraph" w:customStyle="1" w:styleId="95">
    <w:name w:val="正文 New New New New"/>
    <w:qFormat/>
    <w:uiPriority w:val="0"/>
    <w:pPr>
      <w:widowControl w:val="0"/>
      <w:jc w:val="both"/>
    </w:pPr>
    <w:rPr>
      <w:rFonts w:ascii="Times New Roman" w:hAnsi="Times New Roman" w:eastAsia="宋体" w:cs="Times New Roman"/>
      <w:szCs w:val="24"/>
      <w:lang w:val="en-US" w:eastAsia="zh-CN" w:bidi="ar-SA"/>
    </w:rPr>
  </w:style>
  <w:style w:type="character" w:customStyle="1" w:styleId="96">
    <w:name w:val="标题 1 字符"/>
    <w:link w:val="4"/>
    <w:qFormat/>
    <w:uiPriority w:val="9"/>
    <w:rPr>
      <w:rFonts w:cs="仿宋"/>
      <w:b/>
      <w:bCs/>
      <w:sz w:val="32"/>
      <w:szCs w:val="32"/>
    </w:rPr>
  </w:style>
  <w:style w:type="table" w:customStyle="1" w:styleId="97">
    <w:name w:val="Table Normal"/>
    <w:unhideWhenUsed/>
    <w:qFormat/>
    <w:uiPriority w:val="0"/>
    <w:tblPr>
      <w:tblCellMar>
        <w:top w:w="0" w:type="dxa"/>
        <w:left w:w="0" w:type="dxa"/>
        <w:bottom w:w="0" w:type="dxa"/>
        <w:right w:w="0" w:type="dxa"/>
      </w:tblCellMar>
    </w:tbl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Company>微软中国</Company>
  <Pages>15</Pages>
  <Words>24562</Words>
  <Characters>26062</Characters>
  <Lines>367</Lines>
  <Paragraphs>103</Paragraphs>
  <TotalTime>8</TotalTime>
  <ScaleCrop>false</ScaleCrop>
  <LinksUpToDate>false</LinksUpToDate>
  <CharactersWithSpaces>27997</CharactersWithSpaces>
  <Application>WPS Office_12.1.0.26375_F1E327BC-269C-435d-A152-05C5408002CA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2025-05-18T11:13:00Z</dcterms:created>
  <dc:creator>李玮</dc:creator>
  <cp:lastModifiedBy>123</cp:lastModifiedBy>
  <cp:lastPrinted>2025-07-10T04:05:00Z</cp:lastPrinted>
  <dcterms:modified xsi:type="dcterms:W3CDTF">2026-06-04T00:44:04Z</dcterms:modified>
  <cp:revision>9</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2052-12.1.0.26375</vt:lpwstr>
  </property>
  <property fmtid="{D5CDD505-2E9C-101B-9397-08002B2CF9AE}" pid="3" name="ICV">
    <vt:lpwstr>86E3123D3D844761A9FD7553A3B9F9A0_13</vt:lpwstr>
  </property>
  <property fmtid="{D5CDD505-2E9C-101B-9397-08002B2CF9AE}" pid="4" name="KSOTemplateDocerSaveRecord">
    <vt:lpwstr>eyJoZGlkIjoiMGZhOTYxZDQ5ZDU4YTk1YzU1OGRlNGM4Njg1YjBhMjEiLCJ1c2VySWQiOiIxMTMzNjgyMjIxIn0=</vt:lpwstr>
  </property>
</Properties>
</file>