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6AAE26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 w:right="210" w:rightChars="100"/>
        <w:outlineLvl w:val="1"/>
        <w:rPr>
          <w:color w:val="auto"/>
          <w:spacing w:val="0"/>
          <w:position w:val="0"/>
          <w:sz w:val="32"/>
          <w:szCs w:val="32"/>
        </w:rPr>
      </w:pPr>
      <w:r>
        <w:rPr>
          <w:rFonts w:ascii="宋体" w:hAnsi="宋体" w:eastAsia="宋体" w:cs="宋体"/>
          <w:color w:val="auto"/>
          <w:spacing w:val="0"/>
          <w:position w:val="0"/>
          <w:sz w:val="32"/>
          <w:szCs w:val="32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3E0A27B2">
      <w:pPr>
        <w:pageBreakBefore w:val="0"/>
        <w:widowControl w:val="0"/>
        <w:wordWrap/>
        <w:overflowPunct/>
        <w:topLinePunct w:val="0"/>
        <w:bidi w:val="0"/>
        <w:spacing w:line="242" w:lineRule="auto"/>
        <w:ind w:right="210" w:rightChars="100"/>
        <w:rPr>
          <w:color w:val="auto"/>
          <w:spacing w:val="0"/>
          <w:position w:val="0"/>
        </w:rPr>
      </w:pPr>
    </w:p>
    <w:p w14:paraId="5A2C0B12">
      <w:pPr>
        <w:keepNext w:val="0"/>
        <w:keepLines w:val="0"/>
        <w:pageBreakBefore w:val="0"/>
        <w:widowControl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210" w:rightChars="100" w:firstLine="482" w:firstLineChars="200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技术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  <w:t>要求</w:t>
      </w:r>
    </w:p>
    <w:p w14:paraId="6FC1413D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210" w:rightChars="100" w:firstLine="480" w:firstLineChars="200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（1）所供图书主要要求：近三年（2024年1月1日以来）国内出版社正式出版的普通中文图书新书，以国家一级出版社出版图书为主。不符合公共图书馆馆藏的教辅、教材及开本≤64开的图书、活页、挂图、乐谱、袋装书等除外。</w:t>
      </w:r>
    </w:p>
    <w:p w14:paraId="0274AA1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line="460" w:lineRule="exact"/>
        <w:ind w:left="0" w:right="-454" w:rightChars="-216"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（2）本项目总金额225万元，其中专题图书重点馆藏采购50万元、少儿青少年类图书75万元、普通成人图书100万元。少儿青少年类图书包括绘本。专题图书重点馆藏包括但不限于赣州本土作家作品、赣州四大文化名片（即客家文化、红色文化、阳明文化、宋城文化）相关主题图书、重点丛书。专题图书重点馆藏不限出版时间，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采购范围、数量详见附件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《赣州市图书馆202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年主题、专题图书基础书单》，所供图书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需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在此范围内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。</w:t>
      </w:r>
    </w:p>
    <w:p w14:paraId="1294E9D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（3）书目及加工要求：供应商须及时向采购人提供符合馆藏要求的中文图书订购信息，当采购人所需图书要求在供应商提供的图书信息之外时，供应商也必须无条件满足采购人的图书采购需求。供货同时，供应商还须提供当年的图书出版信息8万种（含）以上，每周向采购人提供至少3000种（含）的出版信息（包括现货信息及期货信息），所有出版信息均为标准CNMARC格式（根据用户的要求还可以提供其它的格式）送达。所有订单由采购人自行组织确定，供应商必须按采购人确定的图书订单及时供货。</w:t>
      </w:r>
    </w:p>
    <w:p w14:paraId="6EC79F3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按要求整理采访数据，提供标准、规范的采访著录数据。其采访数据基本字段著录要求如下：订购号、ISBN号、书名（影印版的要在书名后边标明“影印版”字样）、副书名、文献语种、类别、定价、出版者、著者（或译者）、责任者1、责任者2、出版日期、版本、页码、开本、丛编、一般附注、主题词、读者对象、内容提要。</w:t>
      </w:r>
    </w:p>
    <w:p w14:paraId="41F330B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（4）供应商以采购人提出的具体要求，开展图书的初加工工作，所需费用包含在报价之中，采购人不另行支付费用。初加工包括粘贴条形码、盖馆藏章、粘贴色标、书标、书标覆膜，RFID电子标签的粘贴和注册等；条形码、书标、色标、保护膜、RFID电子标签由供应商提供。加工完成后按采购人要求上架。</w:t>
      </w:r>
    </w:p>
    <w:p w14:paraId="2664D14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（5）供应商应提供所供应图书的数据编目和图书全加工服务，所需费用包含在报价之中，采购人不另行支付费用。编目严格按照《新版中国机读目录格式使用手册》《信息与文献资源描述》（GB/T3792-2021）、《中国机读书目格式》（GB/T33286-2016）等规则进行著录，著录级别达到详细级，著录项目有则必备，著录数据从国家图书馆联合编目中心系统下载，并保证可在采购人的图书管理系统中无障碍地使用。</w:t>
      </w:r>
    </w:p>
    <w:p w14:paraId="2D6F5D2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（6）图书质量及送货要求：所供图书必须保证正版。中文图书订单单价在300元（含）以上，复本订单数量超过5册，要求配货之前再次向采购人确认征订需求。配货之前需查找并剔除装帧为活页或散页的图书；新书进馆应按批提供进书清单（注明种、册、价格及总金额），按采购人要求打包，贴上标签（注明批次、件数、包号等）。同种图书必须同批到馆，并放在同一包内，每包图书的种册数、金额必须与对应的清单相符，每包图书的封装顺序应与图书清单顺序一致，每批图书种册数、总价必须与汇总单相符。</w:t>
      </w:r>
    </w:p>
    <w:p w14:paraId="257ED8C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（7）投标人与国内不少于200家（含）出版社有合作。</w:t>
      </w:r>
    </w:p>
    <w:p w14:paraId="32FBD7C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（8）中标人在全部图书完成加工后，需提供总加工图书册数不少于15%（含）条的新芯片用于后续图书因芯片失效、脱落等问题的二次加工。所需费用包含在报价之中，采购人不另行支付费用。</w:t>
      </w:r>
    </w:p>
    <w:p w14:paraId="6EF4733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（9）投标人需全面保障本项目履约服务质量，全程做好图书供货、场地服务、应急采购、书目配套、加工编目、线上平台、资源合作及智慧化系统保障等相关服务：履约周期内需保障图书正常供货，全年整体图书到书率不低于91%（含），若因投标人原因出现缺书、断供、逾期到货等情况，投标人须无条件补齐货品并承担相应履约责任；投标人需具备专属现采服务场地，场地有效使用期限覆盖本项目服务周期，且场地内常态化可现场采购新书品种不少于4万（含）种；同时需为采购人提供零星图书，读者急需现货图书专项应急采购服务，零星和急需订购图书应在3天（含）内到馆；配套提供专题书目以及第三方自主购退书服务；可提供驻场加工编目及公益加工相关服务，拟派驻场人员不少于3人（含）；具备完善的线上选书平台功能、齐备的出版社合作资源及大型展会参与服务能力；为保障项目服务质量、为读者提供规范化智慧化服务，投标人须以自主研发、购置、租赁等任意方式为本项目配备专用服务平台或智慧化服务系统，并具备完整的智慧化服务系统功能。</w:t>
      </w:r>
    </w:p>
    <w:p w14:paraId="68CF97B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（10）其他要求</w:t>
      </w:r>
    </w:p>
    <w:p w14:paraId="0150236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RFID电子标签功能要求</w:t>
      </w:r>
    </w:p>
    <w:p w14:paraId="6424C7F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①标签为无源标签，工作频率：860～960MHz（通用于全球UHF频段），须符合国际相关行业标准ISO18000-6C标准，具有良好的互换性与兼容性。</w:t>
      </w:r>
    </w:p>
    <w:p w14:paraId="7A354A1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②标签中有存储器，存储在其中的信息可重复读写。</w:t>
      </w:r>
    </w:p>
    <w:p w14:paraId="7CB5A16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③标签可以非接触式的读取和写入。</w:t>
      </w:r>
    </w:p>
    <w:p w14:paraId="000FDF8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④标签具有一定的抗冲突性，能保证多个标签的同时可靠识别。</w:t>
      </w:r>
    </w:p>
    <w:p w14:paraId="60EA47D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⑤提供密码保护，防止存储在其中的信息资料被非法改写。</w:t>
      </w:r>
    </w:p>
    <w:p w14:paraId="1A5B9E6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⑥具有不可改写的64位唯一序列号（UID）。</w:t>
      </w:r>
    </w:p>
    <w:p w14:paraId="4422184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⑦图书标签采用AFI或者EAS位作为防盗的安全标志方法。</w:t>
      </w:r>
    </w:p>
    <w:p w14:paraId="5E497C2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RFID电子标签技术要求</w:t>
      </w:r>
    </w:p>
    <w:p w14:paraId="3F89C84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①标签粘贴隐蔽，粘贴到位后不易撕毁、脱落，安装于图书内页夹缝中。</w:t>
      </w:r>
    </w:p>
    <w:p w14:paraId="6AEDEBE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②标签内用户数据区容量应≧512位(bits)。</w:t>
      </w:r>
    </w:p>
    <w:p w14:paraId="631BBA8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③有效识读距离：符合自助借还、书架、安全门等设备读取要求。</w:t>
      </w:r>
    </w:p>
    <w:p w14:paraId="55F11C9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④有效使用寿命：图书正常的借阅、弯折，可以使用10年（含）以上；内存可擦写100,000次（含）以上；如遇损坏或使用寿命不达标应免费更换。</w:t>
      </w:r>
    </w:p>
    <w:p w14:paraId="7D97A0B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RFID电子标签服务要求</w:t>
      </w:r>
    </w:p>
    <w:p w14:paraId="534F901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①供应商须提供标签的监测控制方案，用于监控标签的状态，当标签被阅读或识别时，可判断出流通文献是否可以被带出馆外。</w:t>
      </w:r>
    </w:p>
    <w:p w14:paraId="71E6C74A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500" w:lineRule="atLeast"/>
        <w:ind w:left="37" w:right="210" w:rightChars="100" w:firstLine="504"/>
        <w:jc w:val="both"/>
        <w:textAlignment w:val="baseline"/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②能和赣州市图书馆现有的RFID图书标签兼容使用。</w:t>
      </w:r>
    </w:p>
    <w:p w14:paraId="575A7C1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09954AA"/>
    <w:multiLevelType w:val="singleLevel"/>
    <w:tmpl w:val="409954A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C64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2026-06-04T04:11:35Z</dcterms:created>
  <dc:creator>Administrator</dc:creator>
  <cp:lastModifiedBy>斯诺</cp:lastModifiedBy>
  <dcterms:modified xsi:type="dcterms:W3CDTF">2026-06-04T04:11:39Z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eyJoZGlkIjoiODI3YTNlMjU5MDIzOGM5Y2Y4Y2VhZjdmODZmMDllNzkiLCJ1c2VySWQiOiI3MjQ4MDM3NjEifQ==</vt:lpwstr>
  </property>
  <property fmtid="{D5CDD505-2E9C-101B-9397-08002B2CF9AE}" pid="4" name="ICV">
    <vt:lpwstr>3B55A3B9CA3F4B29AACA9722E93BD29C_12</vt:lpwstr>
  </property>
</Properties>
</file>