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F5452B1">
      <w:pPr>
        <w:numPr>
          <w:numId w:val="0"/>
        </w:numPr>
        <w:ind w:leftChars="0"/>
        <w:jc w:val="center"/>
        <w:textAlignment w:val="center"/>
        <w:rPr>
          <w:rFonts w:hint="eastAsia" w:ascii="宋体" w:hAnsi="宋体" w:eastAsia="宋体" w:cs="宋体"/>
          <w:b/>
          <w:bCs/>
          <w:color w:val="auto"/>
          <w:sz w:val="28"/>
          <w:szCs w:val="28"/>
          <w:highlight w:val="none"/>
          <w:lang w:eastAsia="zh-CN"/>
          <w14:textOutline w14:w="4356" w14:cap="sq" w14:cmpd="sng" w14:algn="ctr">
            <w14:solidFill>
              <w14:srgbClr w14:val="000000"/>
            </w14:solidFill>
            <w14:prstDash w14:val="solid"/>
            <w14:bevel/>
          </w14:textOutline>
        </w:rPr>
      </w:pPr>
      <w:bookmarkStart w:id="0" w:name="_GoBack"/>
      <w:bookmarkEnd w:id="0"/>
      <w:r>
        <w:rPr>
          <w:rFonts w:hint="eastAsia" w:ascii="宋体" w:hAnsi="宋体" w:eastAsia="宋体" w:cs="宋体"/>
          <w:b/>
          <w:bCs/>
          <w:color w:val="auto"/>
          <w:sz w:val="28"/>
          <w:szCs w:val="28"/>
          <w:highlight w:val="none"/>
          <w:lang w:eastAsia="zh-CN"/>
          <w14:textOutline w14:w="4356" w14:cap="sq" w14:cmpd="sng" w14:algn="ctr">
            <w14:solidFill>
              <w14:srgbClr w14:val="000000"/>
            </w14:solidFill>
            <w14:prstDash w14:val="solid"/>
            <w14:bevel/>
          </w14:textOutline>
        </w:rPr>
        <w:t>采购需求</w:t>
      </w:r>
    </w:p>
    <w:tbl>
      <w:tblPr>
        <w:tblStyle w:val="2"/>
        <w:tblW w:w="1438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56"/>
        <w:gridCol w:w="2318"/>
        <w:gridCol w:w="9881"/>
        <w:gridCol w:w="778"/>
        <w:gridCol w:w="750"/>
      </w:tblGrid>
      <w:tr w14:paraId="384B2C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14383" w:type="dxa"/>
            <w:gridSpan w:val="5"/>
            <w:tcBorders>
              <w:top w:val="single" w:color="auto" w:sz="4" w:space="0"/>
              <w:left w:val="single" w:color="000000" w:sz="4" w:space="0"/>
              <w:bottom w:val="single" w:color="000000" w:sz="4" w:space="0"/>
              <w:right w:val="single" w:color="000000" w:sz="4" w:space="0"/>
            </w:tcBorders>
            <w:noWrap/>
            <w:vAlign w:val="center"/>
          </w:tcPr>
          <w:p w14:paraId="3F78A237">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录播教室</w:t>
            </w:r>
          </w:p>
        </w:tc>
      </w:tr>
      <w:tr w14:paraId="331F9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auto" w:sz="4" w:space="0"/>
              <w:left w:val="single" w:color="000000" w:sz="4" w:space="0"/>
              <w:bottom w:val="single" w:color="000000" w:sz="4" w:space="0"/>
              <w:right w:val="single" w:color="000000" w:sz="4" w:space="0"/>
            </w:tcBorders>
            <w:noWrap/>
            <w:vAlign w:val="center"/>
          </w:tcPr>
          <w:p w14:paraId="1D139CE7">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2318" w:type="dxa"/>
            <w:tcBorders>
              <w:top w:val="single" w:color="auto" w:sz="4" w:space="0"/>
              <w:left w:val="single" w:color="000000" w:sz="4" w:space="0"/>
              <w:bottom w:val="single" w:color="000000" w:sz="4" w:space="0"/>
              <w:right w:val="single" w:color="000000" w:sz="4" w:space="0"/>
            </w:tcBorders>
            <w:noWrap/>
            <w:vAlign w:val="center"/>
          </w:tcPr>
          <w:p w14:paraId="751DE7D4">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产品名称</w:t>
            </w:r>
          </w:p>
        </w:tc>
        <w:tc>
          <w:tcPr>
            <w:tcW w:w="9881" w:type="dxa"/>
            <w:tcBorders>
              <w:top w:val="single" w:color="auto" w:sz="4" w:space="0"/>
              <w:left w:val="single" w:color="000000" w:sz="4" w:space="0"/>
              <w:bottom w:val="single" w:color="000000" w:sz="4" w:space="0"/>
              <w:right w:val="single" w:color="000000" w:sz="4" w:space="0"/>
            </w:tcBorders>
            <w:noWrap/>
            <w:vAlign w:val="center"/>
          </w:tcPr>
          <w:p w14:paraId="04BCE830">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技术参数</w:t>
            </w:r>
          </w:p>
        </w:tc>
        <w:tc>
          <w:tcPr>
            <w:tcW w:w="778" w:type="dxa"/>
            <w:tcBorders>
              <w:top w:val="single" w:color="auto" w:sz="4" w:space="0"/>
              <w:left w:val="single" w:color="000000" w:sz="4" w:space="0"/>
              <w:bottom w:val="single" w:color="000000" w:sz="4" w:space="0"/>
              <w:right w:val="single" w:color="000000" w:sz="4" w:space="0"/>
            </w:tcBorders>
            <w:noWrap/>
            <w:vAlign w:val="center"/>
          </w:tcPr>
          <w:p w14:paraId="766C77F5">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数量</w:t>
            </w:r>
          </w:p>
        </w:tc>
        <w:tc>
          <w:tcPr>
            <w:tcW w:w="750" w:type="dxa"/>
            <w:tcBorders>
              <w:top w:val="single" w:color="auto" w:sz="4" w:space="0"/>
              <w:left w:val="single" w:color="000000" w:sz="4" w:space="0"/>
              <w:bottom w:val="single" w:color="000000" w:sz="4" w:space="0"/>
              <w:right w:val="single" w:color="000000" w:sz="4" w:space="0"/>
            </w:tcBorders>
            <w:noWrap/>
            <w:vAlign w:val="center"/>
          </w:tcPr>
          <w:p w14:paraId="0A2948D3">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单位</w:t>
            </w:r>
          </w:p>
        </w:tc>
      </w:tr>
      <w:tr w14:paraId="66CA0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72C111E3">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2F7AED">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高清录播主机</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C0E570">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1.主机架构：整体采用嵌入式设计、非PC与服务器工作站等架构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2.高度集成：主机需同时具备录制、直播、导播、自动跟踪、音频编码、视频编码、音频处理、视频处理、存储、点播、互动多功能于一体；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3.优质性能：主机采用嵌入式架构处理器同时内置GPU与NPU协处理器，CPU核心数≥8，核心主频≥2.4GHz；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4.工作噪声：主机在正常工作状态下的生产噪声不高于20dB(A)；</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5.工作功率：要求整机正常工作状态下功耗不超过50W；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6.视频接口：数字视频接口D-Video（RJ45）≥4，HDMI 输入≥2，HDMI 输出≥2路；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7.音频接口：要求主机支持线性音频输入与数字音频输入，要求Line in接口≥2，Line out接口≥2，数字音频接口D-Mic（RJ45）≥6；</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8.RJ45≥1,USB2.0≥2，系统存储≥2T</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85EC">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CC8421">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5ACF2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23E87EC1">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2</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C51D4D">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多景别智能摄录与流媒体处理软件</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7A90D3">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1.要求软件在出厂时内嵌于录播主机中</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2.需支持电影模式和资源模式两种录制模式。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3.采用H.264/H.265的视频编码格式和MP4的视频封装格式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4.支持外接存储设备，实现在视频录制的过程中，自动同步录制多一份并存储至U盘中；</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5.支持查看已录制的视频文件，并可按录制时间进行排序和按关键字检索查看，也支持对视频文件进行在线播放、下载、删除和FTP上传；</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6.支持通过浏览器即可访问并使用导播功能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7.支持全自动、半自动、手动三种导播模式，且支持在录制、直播和互动过程中任意切换导播模式；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8.支持对接入的所有画面进行导播预览，包括教师特写、教师全景、学生全景、学生特写、电脑画面等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9.支持二分屏、三分屏、画中画等布局，也支持自定义布局</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10.支持在导播预览界面添加Logo台标与字幕，可自主上传Logo图标、设置logo位置、编辑字幕内容、选择字幕字体颜色与是否滚动显示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11.支持片头片尾设置，并可自定义片头片尾显示时长</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12.支持对接入摄像机特写画面进行电子云台控制，包括画面上下左右移动、放大缩小变焦等操作。支持设置和调用摄像机预置位，支持不少于8个预置位；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13.支持在导播过程中进行音量控制，可调整相关输入输出的音量大小，且支持一键静音功能；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14.支持主码流和子码流高低双码流，且支持自定义清晰度、帧率和码流，主码流清晰度支持4K、1080P、720P；</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15.支持不少于4路RTMP同步推流直播，并可自定义选择主码流或子码流进行推流直播；                                   16.支持RTMP直播、TS直播、集控推流直播等不少于3种不同直播模式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17.支持H.323、SIP 、BFCP、WebRTC等视音频互动协议技术，也支持内置互动模块，无需额外MCU类设备即可进行远程互动教学应用；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18.支持1080P@30fps的高清互动画质，且支持设置互动码流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19.支持“1+3”的互动授课模式和多方视频会议模式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20.支持AI智能降噪处理，通过算法智能在录制过程中处理环境的噪音</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FBA5F">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FC15F">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35267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107055DE">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3</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6D5E6D">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基于AI的智能跟踪数据分析处理软件</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CB7847">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1.跟踪逻辑：支持智能识别接入摄像机的使用定位，并联动摄像机选用对应的跟踪逻辑，如教师跟踪、学生跟踪等；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2.检测区域：支持对接入摄像机的AI跟踪检测区域设置，可基于实景拍摄画面框选跟踪区域，框选后只在区域中方能触发跟踪，所见所得方便操作；</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3.跟踪切换：支持根据设定的跟踪策略形成跟踪指令，实现多路接入摄像机的全自动AI跟踪画面切换；且支持自定义跟踪切换逻辑的画面布局，包含但不限于双分屏、画中画与自定义布局等；</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697F2">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BF0DA">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6AA17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3AC53ABD">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4</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F3BC5B">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高清全景摄像机</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3BDA94">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1.传感器：要求采用CMOS类型图像传感器，尺寸≥1/2.5英寸；</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2.像素：有效像素≥800万；视频分辨率最大可支持3840×2160并向下兼容；</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3.变焦：要求支持自动和手动变焦，光学变焦倍数≥22倍；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4.云台转动：要求具备机械云台可进行转动跟踪。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5.视频编码：要求支持H.265、H.264高清视频编码协议；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6.视频输出：要求具备数字视频输出口（RJ45）≥1，HDMI视频输出口≥1；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7.通讯接口：要求具备RS232/RS422≥1；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8.网络接入：RJ45网络接口≥1，并支持100M/1000M自适应以太网接入与RTSP协议网络视频输出；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9.音频接口：Line in输入口≥1；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10.USB接口：要求具备USB Type-A≥1；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11.协议支持：要求支持VISCA/ONVIF协议满足多种场景控制要求；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12.背光补偿：要求具备背光补偿功能；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13.数字降噪：支持2D/3D数字降噪，信噪比≥55dB；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14.一线通：要求与搭配的录播主机实现基于RJ45双绞线的一线通连接，完成摄像机供电、控制以及视频信号传输；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15.电源支持：支持录播主机供电和DC12V电源适配器等供电方式；</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C38C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49A4C">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3EF66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679552AA">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5</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425285">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高清特写摄像机</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298DF3">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1.传感器：要求采用CMOS类型图像传感器，尺寸≥1/2.5英寸；</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2.像素：有效像素≥800万；</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3.变焦：要求支持自动和手动变焦，光学变焦倍数≥30倍；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4.云台转动：要求具备机械云台可进行转动跟踪。水平转动速度范围不少于1.0°~ 94.2°/s，垂直转动速度范围不少于1.0°~ 74.8°/s；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5.视频编码：要求支持H.265、H.264高清视频编码协议；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6.视频输出：要求具备数字视频输出口（RJ45）≥1，HDMI视频输出口≥1；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7.通讯接口：要求具备RS232/RS422≥1；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8.网络接入：RJ45网络接口≥1，并支持100M/1000M自适应以太网接入与RTSP协议网络视频输出；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9.音频接口：Line in输入口≥1；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10.USB接口：要求具备USB Type-A≥1；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11.协议支持：要求支持VISCA/ONVIF协议满足多种场景控制要求；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12.背光补偿：要求具备背光补偿功能；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13.数字降噪：支持2D/3D数字降噪，信噪比≥55dB；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14.一线通：要求与搭配的录播主机实现基于RJ45双绞线的一线通连接，完成摄像机供电、控制以及视频信号传输；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15.AI跟踪：要求内置跟踪算法，摄像机内无额外辅助摄像头也无需增加任何设备即可实现人像自动跟踪，包括水平运动、俯仰运动、变焦、聚焦四维实时跟踪；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16.电源支持：支持录播主机供电和DC12V电源适配器等供电方式；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17.要求摄像机与录播主机为同一品牌。</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8D6D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504B8">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2CFCC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44B13282">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6</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429505">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基于AI的智能跟踪拍摄软件</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20580A">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1.软件采用B/S架构，支持通用浏览器访问。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2.支持曝光模式设置功能，包括自动、手动。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3.支持抗闪烁频率、动态范围、光圈、快门参数设置。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4.支持自动白平衡设置功能，红、蓝增益可调。</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5.支持噪声抑制设置功能，支持2D、3D降噪。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6.支持摄像机图像质量调节功能，包括亮度、对比度、色调、饱和度。</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7.支持摄像机控制功能，包括云台控制、预置位设置与调用、焦距调节等。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8.支持教师和学生的AI自动识别切换，根据部署位置、模式自主适配教师或学生的跟踪逻辑。</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9.支持AI人体特征识别，能够自动识别并锁定跟踪人，人物丢失后再进入拍摄区域可以继续识别锁定进行跟踪。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9.采用教师角色识别逻辑，可基于站立姿态、面/背向状态等多维判定，快速识别教师，避免学生站立影响。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10.支持划分自动跟踪区域，当锁定跟踪人物走出自动跟踪区域时即停止跟踪，直到重新回到区域出现在画面中为止。</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11.支持设置跟踪锁定解除时间，被锁定教师人员脱离画面跟踪区域后，在跟踪锁定解除时间到达之后自动解除人员锁定，回归默认状态，等待下一位人员进入画面中开始重新锁定跟踪。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12.支持五分像、七分像、全身像等多种教师图像跟踪画面模式，根据实际需要设置选用教师跟踪画面的大小。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13.支持学生智能跟踪，根据学生站立/做下动作状态，进行学生特写跟踪拍摄，并通知录播主机完成画面切换。</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3A4DC9">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489B8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0500C9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2F263371">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7</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B4EC7D">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录制面板</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79A915">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 安装方式：要求镶嵌式安装在讲台。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 控制接口：要求支持RS232控制接口用以连接录播主机。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 信号指示灯：要求具备信号指示灯。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 支持一键式系统电源开关控制。</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 一键式录制、停止、锁定电脑信号。</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 支持本地录播全自动的开启、关闭控制。该功能同时支持录播模式和互动模式。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 支持通过面板一键发起与远端设备互动连接。</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 支持通过交互控制面板切换互动画面的信号源，并传输到听课室，包括本地老师信号、学生信号、电脑信号、远端课室画面。</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 支持对各画面的自由布局控制，包括单画面全屏、双分屏、三分屏、四分屏、画中画，并传输到听课室。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10.支持远程“一键静音”功能，主讲端可一键关闭远端互动教室发言，进入主讲授课模式。</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AAEE7B">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1F013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027E7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43DD0D80">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8</w:t>
            </w:r>
          </w:p>
        </w:tc>
        <w:tc>
          <w:tcPr>
            <w:tcW w:w="2318" w:type="dxa"/>
            <w:tcBorders>
              <w:top w:val="single" w:color="000000" w:sz="4" w:space="0"/>
              <w:left w:val="single" w:color="000000" w:sz="4" w:space="0"/>
              <w:bottom w:val="nil"/>
              <w:right w:val="nil"/>
            </w:tcBorders>
            <w:shd w:val="clear" w:color="auto" w:fill="auto"/>
            <w:noWrap w:val="0"/>
            <w:vAlign w:val="center"/>
          </w:tcPr>
          <w:p w14:paraId="39A011FF">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拾音话筒</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1C59DB">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1.指向性：超心型</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2.频率响应：40Hz—16kHz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3.灵敏度≥-7dB±1dB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4.最大声压级≥110dB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5.信噪比≥62dB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6.动态范围≥78.5dB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7.使用电源：麦克风一线通供电</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8.输出接口：RJ45，数字音频接口</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5E7025">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78DD3">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支</w:t>
            </w:r>
          </w:p>
        </w:tc>
      </w:tr>
      <w:tr w14:paraId="6A4D7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3216263F">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9</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8E3382">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无线话筒</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87FB0F">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一.系统参数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1.采用UHF超高频段，避免干扰；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2.要求频率范围最低不小于650MHz；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3.支持pi/4-DQPSK数字调制；</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4.音频响应范围在50Hz-15KHz；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5.要求信道间隔比小于1000KHz；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6.要求最大频偏在45KHz之间；</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7.工作温度最高不超过50℃；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8.综合失真不超过0.1%。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二.接收机参数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1.要求采用MCU控制；</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2.PLL锁相环频率合成技术；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3.采用数字音频传输技术，仅需一根双绞线即可完成接收器与录播终端的连接；</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4.支持扩展两个基于双绞线传输的数字话筒。</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三.发射机参数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1.发射功率最大不小于10mW；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2.要求高次谐波低于主波基准40dB以上；</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3.内置锂电池确保发射器工作稳定，并支持通过Type-C接口充电。</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26BF5">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38A4C">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23EAF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33BA57CF">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10</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9E36E5">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电源管理器</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3E98C2">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 xml:space="preserve">1.向录播视频系统、音频系统、显示系统提供统一的、至少八路电源管理；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2.支持对录播系统控制功能，实现通过录制面板一键启动录播系统相关设备的电源；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3.支持时序电源控制功能，每路延迟一秒，可编程控制；</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4.具备内置光电隔离模块，保障负载运行安全；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5.支持提供1路最大电流不低于10A的电源输出接口；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6.支持RS-485/RS-422/RS-232 等控制协议。</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1FB1B">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84516">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30FD0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7210735F">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11</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CACA27">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导播控制台</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C2BB1B">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 支持不少于5种特技效果。</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 支持不少于6布局选择；6路视频直播切换；6个预置位；6个视频预选功能。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 支持云台控制功能：上下左右及变焦功能。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 支持录制、暂停、停止功能。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 支持全自动录播模式和手动录播模式。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 支持通过USB线缆连接录播主机。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 安装导播控制台软件，并设置录播地址。</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 导播界面与导播控制台按键/状态同步对应。</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867C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F7E0D">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13763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0D66E648">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12</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AB4707">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电容智慧黑板（含ops）</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1D0941">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一、技术参数要求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智慧黑板一体机尺寸要求：宽≥4200mm，高≥1200mm，厚≤94mm;由三部分拼接而成，可实现整块黑板统一书写；需采用专业的模块化构架，方便用户使用磁吸教具，两块副屏支持磁吸功能，支持普通粉笔、液体粉笔、水溶性水笔等直接书写，普通板擦可擦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2.中间显示屏采用≥86 英寸，UHD超高清LED显示屏，显示比例16:9；物理分辨率：3840×2160；可视角度≥178°, 屏体亮度≥350cd/㎡,对比度≥4000：1，屏幕具备高色域，色彩真实还原度高，色彩覆盖率≥NTSC 72%，屏幕最高灰阶度 ≥128灰阶； 刷新率≥60Hz。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3.整机壁挂架具有快速定位拼接方式，采用三段快速定位技术，能拼接成整体挂架；通过限位装置能快速对准拼缝接口，按压式卡扣能根据压力调节平整度及拼缝缝隙，安装快捷，售后高效。</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4.为保证显示效果，产品须采用果冻水胶全贴合技术，杜绝灰尘和水汽进入屏幕，减少液晶面板和钢化玻璃间的反光，使屏幕显示更通透，画质更清晰，书写无悬空感，触控无偏移，侧视无重影。</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触控技术：电容触控，在Android、Windows系统双系统下均支持不少于20点触控，支持多人同时书写和擦除；能在Windows自带画图软件中实现多点书写。书写延迟速度≤25ms，触摸分辨率≥32768×32768，书写保障：在现场无法接地等复杂环境下，电容触控仍可正常使用，书写无跳点断线。</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6.整机嵌入安卓11.0系统，内存≥4G，储存空间≥32G。</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7.整机采用全物理钢化玻璃，有效保护屏幕显示画面，玻璃表面需采用蚀刻工艺，书写更顺滑，防眩光效果更优异，机身具备防盐雾锈蚀、抗振动、防跌落特性，保证整机运输或使用过程中不易受损。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智慧黑板整机需采用安全无锐角结构，整机边框无凹凸，兼顾美观和安全，表面钢化玻璃面板与金属铝型材结构需采用卡槽式全包边设计，钢化玻璃需镶嵌在金属铝型材卡槽内，卡槽深度要求≥3mm，钢化玻璃与框架结构不得采用悬挂粘贴或无边框或半包边框设计方式，确保钢化玻璃无脱落风险。</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智慧黑板为方便用户书写面积无限扩展，可在显示区域任意位置书写，在不影响用户手握粉笔时还可通过五指按压快速开关黑板背关，关闭屏幕的同时，触摸功能也自动关闭，防止误操作；五指再次按压屏幕或者按下任意前置按键即可唤醒屏幕和触摸，让使用过程更加高效。</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设备整机内置一体化≥1600万像素摄像头，≥8阵列拾音麦，方便设备管理与高效安装不接受外置摄像头方式。整机支持拍照、录像、远程巡课等应用，拍照支持延时拍照，可分别选择3s、10s进行延时拍照。支持≥8M拾音，方便对课堂音频进行采集。</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11.前置接口：方便外接设备使用，设备提供支持双通道USB接口≥3，非转接HDMI≥1，TOUCH USB≥1,Type-C≥1（可同时实现音视频信号与触控信号传输）等不少于6个前置接口。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侧置接口:为方便用户使用，整机提供侧置≥1路网口，≥1路SPDIF输出，≥1路耳机输入，≥1路耳机输出，≥2路HDMI输入，≥1路VGA输入，≥1路AV视频输入，≥1路Ypbpr色差分量接口输入，≥1路touchUSB，≥2路USB2.0，≥1路RS232串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13.智慧黑板内置2.1声道扬声器，顶置前朝向伴音功率10W左右声道扬声器≥4个，后朝向20W重低音扬声器≥1个，额定总功率≥60W。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14.前置按键:为设备调节更便捷，整机具备≥7个前置带标识的物理按键：电源、护眼、设置、 音量+、音量-、图像比例、录屏。前置电源按键支持三合一功能，同一电源物理按键完成Android系统和Windows系统的开关机、节能熄屏、电脑开/关机；关机状态下轻按按键开机；开机状态下轻按按键实现节能熄屏/唤醒，长按按键实现关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15.便于用户实际使用并方便收纳小工具，智慧黑板需在主屏底部带有粉笔槽装置。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16.智慧黑板具备智能护眼功能，可自主选择：纸质护眼、智能亮度、过滤蓝光、智能亮度与过滤蓝光组合等不少于4种护眼模式,兼顾用户视力保护与使用习惯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17.隐藏式菜单功能：整机在任意通道下，采用左右双侧边栏虚拟设计，可打开批注、运行列表、子菜单等，设备子菜单可调用音量+/-、亮度+/-、聚光灯、拍照、童锁、日历、护眼、幕布、快捷应用区等功能，方便使用快捷应用区可选功能不少于10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18.整机具有触控悬浮菜单，为方便用户使用提供不少于8个快捷功能，可通过此触摸调用悬浮菜单到屏幕任意位置；悬浮菜单具有快速批注功能、快速切换到ops系统，并可根据需要自定义功能，悬浮菜单中主页且可一键直达安卓主页。</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19.半屏模式：为了适应不同身高操作人员的触摸操作，在不采用任何物理升降结构的前提下，智慧黑板支持HDMI、VGA、TV、window等信号源模式下，液晶显示屏窗口可通过触摸一键半屏下降:，来适应不同身高用户的需求，可以在设置中调节下降半屏或1/3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20.支持在各信号通道下的批注和保存功能，防止因windows电脑故障无法正常使用；支持所有信道下书写、批注、擦除、笔画粗细设置、颜色设置，插入图片等功能。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21.为便于维护使用方便，智慧黑板需具有前掀式维护功能，整体向上掀起角度不小于45度，免拆卸前维护，单人即可进行设备维护；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22.整机具备PC和安卓恢复原厂设置的双系统备份，且PC的Windows及Android双系统可以仅通过一根网线同时上网，不需要外加任何其它设备。</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23.OPS接口:整机采用Intel标准80pin接口，支持OPS-C规范。</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24.WiFi和AP:支持IEEE802.11a/b/g/n/ac协议,内置2.4G/5G双频WiFi，支持WiFi上网和建立热点，有效工作距离≥12米。</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25.整机支持蓝牙Bluetooth5.0标准，整机可通过蓝牙模块与蓝牙音箱连接，通过蓝牙音箱播放整机音频。</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26.支持调节左右声道平衡；在中低频段120Hz～500Hz，高频段1.5KHz～16KHz的调节功能。方便用户快速调节支持标准，音乐，新闻，影院，体育，用户等不少于6种音效模式调节。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27.无PC状态下，嵌入式安卓系统下可实现windows系统中常用的应用功能，如白板书写、WPS软件使用、网页浏览。</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28.整机嵌入安卓系统下，能对多媒体USB所读取到的课件文件进行自动归类，可快速分类查找office文档、音乐、视频、图片等文件，检索后可直接在界面中打开。</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29.整机嵌入式安卓系统下白板支持十笔或以上书写及手势擦除且白板软件页面内容可二维码扫描分享，支持根据需要自行选择任意页面分享或全部页面分享。</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30.为方便管理设备支持应用锁和触摸锁功能，用户可开启或关闭功能，且支持解锁密码自定义。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31.防止无权限人员随意使用大屏，支持屏幕锁功能和锁定前置USB接口功能，开机或待机后需要解锁才能进入系统，为方便管理支持用户自定义解锁密码。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32.无需借助PC，整机可一键进行硬件自检，智能显示当前温度和运行状态提示，可自检触摸框、ops状态、光感等功能是否正常，根据检测情况给出提示。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33.NFC一碰投屏：通过带有NFC模块的手机，触碰大屏的NFC模块，实现手机与大屏之间的投屏；整机支持搭载具有 NFC 功能的手机、平板，通过接触整机上的 NFC 模块，即可实现手机、平板与大屏的连接并同步手机、平板的画面到整机上，无需其它操作设置，支持不少于 4 台手机、平板同时连接并显示。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34.OTA升级：整机具备OTA 升级功能OTA（Over－the－Air Technology）空中下载技术：产品软件，可通过后台服务器网络推送的方式实现整机软件或应用软件的在线升级，升级可采取整机软件包升级或差分包软件升级方式。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35. U盘升级：支持通过U盘自动升级和手动升级整机软件版本</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37.信号源智能识别：自定义通道信号源名称后，系统将智能检测，若检测到该名称为系统记录过的常见信号源，将会自动更换该信号源图标，与名称进行匹配；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38.多窗协作：支持多窗协作，支持白板、文件管理器、媒体中心三种应用在屏幕上进行两个应用的分屏显示，可调节分屏的画面比例，可左右更换分屏窗口，可退出分屏显示。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39.开机信号自主选择: 开机启动默认进入OPS电脑通道，也可手动选择其他信号源通道，且开机通道设定具有记忆功能。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40.开机画面自定义: 支持开机图片和开机动画自定义。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41.支持外接信号自动开机: 整机处于关机通电/待机状态下，外接电脑通过整机后置HDMI接口把显示信号传输至整机时，整机可识别外接电脑设备信号输入并自动开机。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42.无信号待机：用户可设置无信号待机时间为1分钟、3分钟、5分钟、10分钟。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43.信号源通道名称自定义: 信号源通道名称支持自定义，支持中文、英文、数字、标点符号自定义。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44.欢迎模板，提供企业、政府、医疗、教育、广告等十余个行业模板应用，支持多人签到，保存、扫码分享。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45.侧边快捷菜单，支持日历、定时器、放大镜、幕布、照相机、计算器、聚光灯等小工具应用，并支持自定义添加； 支持浏览器、白板、欢迎模板、文件管理等系统应用软件及第三方应用软件自定义显示功能；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46.书写副板擦拭效果：书写副板要求易擦拭，易于清洁维护；书写副板表面无裂纹、无流痕、无气泡等缺陷，可吸附磁片。</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47.轻薄化设计：书写副板采用轻薄化设计，厚度不大于15mm，挂墙厚度不大于110mm；侧面具有围板，挂装后无法从侧面看到黑板后方，保证美观。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48.书写副板光泽度：书写副板光泽度：光泽度≤6﹪，没有明显眩光，在任何角度都能正常观看。</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49.书写副板面表面粗糙度: 书写副板面表面粗糙度 Ra 大于等于1.4um。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50.抗磨损：书写副板表面具有抗磨损特性，通过线性磨耗测试，干摩与湿摩测试沾色等级达到5级。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51.耐光特性：书写副板具有耐光特性，长时间暴晒后无明显变色。</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52.耐腐蚀特性：书写副板具有耐腐蚀特性，表面不易脱落。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53.书写副板：书写副板为两侧分体结构粉笔板书书写板，基本尺寸要求不小于1100mm*1145mm，每块书写区域尺寸不小于 1100mm*1140mm，以保证足够的书写面积。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54.工艺：书写副板边框采用高强度铝合金，氧化工艺，外框包边设计，拐角采用无锐角包角设计，防止用户不慎撞伤。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55.书写副板边框：书写副板边框具有卡口式限位设计，保证与智慧黑板触摸屏拼接平整无凹凸。</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56.牢固性：书写副板安全牢固，边框上下两侧均具有固定墙体安装设计，避免被晃动或者破坏。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1.Intel第11代酷睿I5处理器/8G DDR4/256G/WIFI+BT。</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2.接口：≥1个HDMI，≥1个DP1.2，≥6个USB，Type-C接口≥1个，≥1个RJ45，≥1个Line out，≥1个Mic in。</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3.模块化电脑采用抽拉内置式，采用80pin或以上接口，实现无单独接线的插拔。</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A817B6">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3B4B64">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2EEE2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0A01142D">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13</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5E3EB3">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智能笔</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A99C3E">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1．兼容操作系统：支持Windows7/10。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2．传输协议：RF 2.4G。</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3．连接数量：内嵌式接收器一对一配对，接口类型为USB，免驱动安装，即插即用。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4．电池类型：智能笔内置可充电式聚合物锂电池，充电接口为Micro usb。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6．电容笔头，高灵敏不伤屏幕，兼容红外屏/电容屏。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7．整体设计6个按键，方便远程遥控输入：</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（1）激光键：长按调用激光；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（2）上翻页键：单击上翻页，长按全屏/退出全屏；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（3）下翻页键：单击下翻页，office-PPT全屏下长按黑屏/退出黑屏；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（4）超链接键：office-PPT全屏下：单击执行Tab功能/选择超链接，双击执行Enter打开超链接，长按:全屏/退出全屏；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（5）音量+键：单击增加音量，长按笔头批注；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（6）音量-键：单击减少音量，长按返一键清除。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8．具备工作指示灯功能。</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135604">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A6395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0C006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5502CC72">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14</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52C238">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内置展台</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7FCB3B">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内置视频展台技术参数要求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(1)▲实物展台与智慧黑板采用一体化嵌入抽拉式设计；采用SGCC材质，圆弧无锐角；托板采用磁吸吸附式机构，防止托板打落，方便打开及固定，避免机械式锁具故障率高的问题。</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(2)托板正上方具备LED补光灯，保证展示区域的亮度及展示效果，自带磨砂均光罩LED10粒补光灯，光线不足时可进行亮度补充、亮度均匀，采用触摸调光设计。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(3)实物展台与智慧黑板采用一体化嵌入抽拉式设计，摄像头像素1600万；内置 USB五伏供电接口，无需额外配置电源适配器，环保无辐射；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(4)▲展台内USB连线采用隐藏式设计，无可见连线且USB口下出，有效防止积尘，且方便布线和维护。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(5)支持A4大小拍摄幅面，托板采用金属加强处理可承重3kg.</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A5747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DA9F60">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7AD341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2D67F153">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15</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962317">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专业音箱</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F9806B">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1.HF线性标准，释放纯粹而清透的声音，确保较高的保真度</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独有的箱体单元组合技术，消除了低频信号的谐波失真，使音箱的低音更加纯正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2.超高性能的驱动器单元，可以实现高效率、高功率输入带来高声压级极低失真的内在表现，长期使用表现出良好的耐用性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3.采用对称斜面屏障设计，配置的扬声器排成阵列，喇叭单元上下方向排列的指向性可使声音在水平方向均匀地扩散，获得很好的声场均匀度</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4.扬声器箱体采用特殊乙烯树脂一次注塑成型，箱体轻巧坚固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5.高音单元：1＂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6.低音单元：6.5＂</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7.频率响应：60Hz-20KHz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8.阻抗： 6Ω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9.功率：60W(RMS)    120W(PEAK)</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10.灵敏度：91dB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11.最大声压级：105dB</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228E4">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nil"/>
            </w:tcBorders>
            <w:shd w:val="clear" w:color="auto" w:fill="auto"/>
            <w:noWrap/>
            <w:vAlign w:val="center"/>
          </w:tcPr>
          <w:p w14:paraId="71F88FA0">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对</w:t>
            </w:r>
          </w:p>
        </w:tc>
      </w:tr>
      <w:tr w14:paraId="49E2C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7301F602">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16</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A79A2F">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多媒体讲台</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339024">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材质：木质桌面,实木扶手,1.0-1.5MM优质冷轧钢板桌体</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CCC2D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EF29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48D44E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nil"/>
              <w:right w:val="single" w:color="000000" w:sz="4" w:space="0"/>
            </w:tcBorders>
            <w:shd w:val="clear" w:color="auto" w:fill="FFFFFF"/>
            <w:noWrap/>
            <w:vAlign w:val="center"/>
          </w:tcPr>
          <w:p w14:paraId="58F5B5EE">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17</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54083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学生桌椅</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6B2569">
            <w:pPr>
              <w:keepNext w:val="0"/>
              <w:keepLines w:val="0"/>
              <w:widowControl/>
              <w:suppressLineNumbers w:val="0"/>
              <w:jc w:val="left"/>
              <w:textAlignment w:val="cente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学生桌尺寸：≥600mm×450mm×700mm-790mm</w:t>
            </w:r>
          </w:p>
          <w:p w14:paraId="27CDF362">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结构：钢木结构，桌斗采用PP塑料，含学生椅子</w:t>
            </w:r>
          </w:p>
        </w:tc>
        <w:tc>
          <w:tcPr>
            <w:tcW w:w="77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E28896">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30</w:t>
            </w:r>
          </w:p>
        </w:tc>
        <w:tc>
          <w:tcPr>
            <w:tcW w:w="7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8AD96C">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57604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14383" w:type="dxa"/>
            <w:gridSpan w:val="5"/>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7A125">
            <w:pPr>
              <w:keepNext w:val="0"/>
              <w:keepLines w:val="0"/>
              <w:widowControl/>
              <w:suppressLineNumbers w:val="0"/>
              <w:tabs>
                <w:tab w:val="left" w:pos="1129"/>
              </w:tabs>
              <w:jc w:val="left"/>
              <w:textAlignment w:val="cente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pPr>
            <w:r>
              <w:rPr>
                <w:rFonts w:hint="eastAsia" w:ascii="黑体" w:hAnsi="宋体" w:eastAsia="黑体" w:cs="黑体"/>
                <w:i w:val="0"/>
                <w:iCs w:val="0"/>
                <w:color w:val="000000" w:themeColor="text1"/>
                <w:sz w:val="22"/>
                <w:szCs w:val="22"/>
                <w:u w:val="none"/>
                <w14:textFill>
                  <w14:solidFill>
                    <w14:schemeClr w14:val="tx1"/>
                  </w14:solidFill>
                </w14:textFill>
              </w:rPr>
              <w:t>（二）观摩间</w:t>
            </w:r>
          </w:p>
        </w:tc>
      </w:tr>
      <w:tr w14:paraId="05E63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3B4B9A2B">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1</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E584DB">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导播电脑</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8D31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CPU酷睿I5；内存8G；集成显卡；硬盘128+500G；显示器：21寸液晶，支持1920*1080；</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B4708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DBB5AC8">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7F33A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671920BB">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2</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06688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电视机(效果显示)</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A5BCB2">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55寸液晶电视</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C1638B">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9844F6">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台</w:t>
            </w:r>
          </w:p>
        </w:tc>
      </w:tr>
      <w:tr w14:paraId="5D2C5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1B0166DA">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3</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6DF219">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导播桌椅</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1592BC">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导播桌规格：1500×700×760mm（允许偏差±5mm）</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导播椅规格：座高1005-1100mm</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9713FB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901A29">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67FA4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42FB740F">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4</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2720F3">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观摩椅</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586721">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规格：360mm×280mm×420mm（允许误差±3mm）</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钢管管壁厚：≥2.0mm</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2F00D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C5925A">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0A860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2ED9022A">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5</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68740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观摩壁挂有源音箱</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79ECE2">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声道2.0</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理论功率R/L：8W+8W</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信噪比R/L：≥85dB(A)</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灵敏度Line in A输入：550±50mV</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频响范围70Hz-20KHz</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音箱控制后旋钮调节</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低音调节支持接口3.5毫米音频接口</w:t>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br w:type="textWrapping"/>
            </w: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电源电源供电线长1.5m-2m</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C3901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2CBBF1">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对</w:t>
            </w:r>
          </w:p>
        </w:tc>
      </w:tr>
      <w:tr w14:paraId="6B5AB2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35701EF2">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6</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E9A7B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千兆交换机</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D0E526">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≥16口1000Mbps；</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8F80F7">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ABC93E">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56513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57B26457">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7</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F29ECC">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路由器</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F3FF69">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≥4口1000Mbps  lan口；</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044069A">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0860ED">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413495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7C765409">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8</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4636D2">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无线键鼠</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CB5464">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无线激光， 鼠标分辨率≥800dpi</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7FF494">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5BE88AF">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套</w:t>
            </w:r>
          </w:p>
        </w:tc>
      </w:tr>
      <w:tr w14:paraId="6C085D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7E83BB42">
            <w:pPr>
              <w:keepNext w:val="0"/>
              <w:keepLines w:val="0"/>
              <w:widowControl/>
              <w:suppressLineNumbers w:val="0"/>
              <w:jc w:val="center"/>
              <w:textAlignment w:val="center"/>
              <w:rPr>
                <w:rFonts w:hint="eastAsia" w:ascii="黑体" w:hAnsi="宋体" w:eastAsia="黑体" w:cs="黑体"/>
                <w:b/>
                <w:bCs/>
                <w:i w:val="0"/>
                <w:iCs w:val="0"/>
                <w:color w:val="000000" w:themeColor="text1"/>
                <w:sz w:val="22"/>
                <w:szCs w:val="22"/>
                <w:u w:val="none"/>
                <w14:textFill>
                  <w14:solidFill>
                    <w14:schemeClr w14:val="tx1"/>
                  </w14:solidFill>
                </w14:textFill>
              </w:rPr>
            </w:pPr>
            <w:r>
              <w:rPr>
                <w:rFonts w:hint="eastAsia" w:ascii="黑体" w:hAnsi="宋体" w:eastAsia="黑体" w:cs="黑体"/>
                <w:b/>
                <w:bCs/>
                <w:i w:val="0"/>
                <w:iCs w:val="0"/>
                <w:color w:val="000000" w:themeColor="text1"/>
                <w:kern w:val="0"/>
                <w:sz w:val="22"/>
                <w:szCs w:val="22"/>
                <w:u w:val="none"/>
                <w:lang w:val="en-US" w:eastAsia="zh-CN" w:bidi="ar"/>
                <w14:textFill>
                  <w14:solidFill>
                    <w14:schemeClr w14:val="tx1"/>
                  </w14:solidFill>
                </w14:textFill>
              </w:rPr>
              <w:t>9</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41BCCC">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机柜</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CDB061">
            <w:pPr>
              <w:keepNext w:val="0"/>
              <w:keepLines w:val="0"/>
              <w:widowControl/>
              <w:suppressLineNumbers w:val="0"/>
              <w:jc w:val="left"/>
              <w:textAlignment w:val="cente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尺寸（长×宽×高）：1180×610×800mm</w:t>
            </w:r>
          </w:p>
          <w:p w14:paraId="4616D047">
            <w:pPr>
              <w:keepNext w:val="0"/>
              <w:keepLines w:val="0"/>
              <w:widowControl/>
              <w:suppressLineNumbers w:val="0"/>
              <w:jc w:val="left"/>
              <w:textAlignment w:val="center"/>
              <w:rPr>
                <w:rFonts w:hint="eastAsia" w:ascii="黑体" w:hAnsi="宋体" w:eastAsia="黑体" w:cs="黑体"/>
                <w:i w:val="0"/>
                <w:iCs w:val="0"/>
                <w:color w:val="000000" w:themeColor="text1"/>
                <w:sz w:val="22"/>
                <w:szCs w:val="22"/>
                <w:u w:val="none"/>
                <w14:textFill>
                  <w14:solidFill>
                    <w14:schemeClr w14:val="tx1"/>
                  </w14:solidFill>
                </w14:textFill>
              </w:rPr>
            </w:pPr>
            <w:r>
              <w:rPr>
                <w:rFonts w:hint="eastAsia" w:ascii="黑体" w:hAnsi="宋体" w:eastAsia="黑体" w:cs="黑体"/>
                <w:i w:val="0"/>
                <w:iCs w:val="0"/>
                <w:color w:val="000000" w:themeColor="text1"/>
                <w:kern w:val="0"/>
                <w:sz w:val="22"/>
                <w:szCs w:val="22"/>
                <w:u w:val="none"/>
                <w:lang w:val="en-US" w:eastAsia="zh-CN" w:bidi="ar"/>
                <w14:textFill>
                  <w14:solidFill>
                    <w14:schemeClr w14:val="tx1"/>
                  </w14:solidFill>
                </w14:textFill>
              </w:rPr>
              <w:t>功能：将录播主机、跟踪主机、数字音频处理器等核心设备集中装载，统一管理</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5179FF">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7342282">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个</w:t>
            </w:r>
          </w:p>
        </w:tc>
      </w:tr>
      <w:tr w14:paraId="5B85B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7" w:hRule="atLeast"/>
        </w:trPr>
        <w:tc>
          <w:tcPr>
            <w:tcW w:w="656" w:type="dxa"/>
            <w:tcBorders>
              <w:top w:val="single" w:color="000000" w:sz="4" w:space="0"/>
              <w:left w:val="single" w:color="000000" w:sz="4" w:space="0"/>
              <w:bottom w:val="single" w:color="000000" w:sz="4" w:space="0"/>
              <w:right w:val="nil"/>
            </w:tcBorders>
            <w:shd w:val="clear" w:color="auto" w:fill="FFFFFF"/>
            <w:noWrap w:val="0"/>
            <w:vAlign w:val="center"/>
          </w:tcPr>
          <w:p w14:paraId="27425031">
            <w:pPr>
              <w:keepNext w:val="0"/>
              <w:keepLines w:val="0"/>
              <w:widowControl/>
              <w:suppressLineNumbers w:val="0"/>
              <w:jc w:val="center"/>
              <w:textAlignment w:val="center"/>
              <w:rPr>
                <w:rFonts w:hint="eastAsia" w:ascii="黑体" w:hAnsi="宋体" w:eastAsia="黑体" w:cs="黑体"/>
                <w:b/>
                <w:bCs/>
                <w:i w:val="0"/>
                <w:iCs w:val="0"/>
                <w:color w:val="000000"/>
                <w:sz w:val="22"/>
                <w:szCs w:val="22"/>
                <w:u w:val="none"/>
              </w:rPr>
            </w:pPr>
            <w:r>
              <w:rPr>
                <w:rFonts w:hint="eastAsia" w:ascii="黑体" w:hAnsi="宋体" w:eastAsia="黑体" w:cs="黑体"/>
                <w:b/>
                <w:bCs/>
                <w:i w:val="0"/>
                <w:iCs w:val="0"/>
                <w:color w:val="000000"/>
                <w:kern w:val="0"/>
                <w:sz w:val="22"/>
                <w:szCs w:val="22"/>
                <w:u w:val="none"/>
                <w:lang w:val="en-US" w:eastAsia="zh-CN" w:bidi="ar"/>
              </w:rPr>
              <w:t>10</w:t>
            </w:r>
          </w:p>
        </w:tc>
        <w:tc>
          <w:tcPr>
            <w:tcW w:w="231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0C3F3C">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安装线材及辅配件</w:t>
            </w:r>
          </w:p>
        </w:tc>
        <w:tc>
          <w:tcPr>
            <w:tcW w:w="9881"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A0DEA0">
            <w:pPr>
              <w:keepNext w:val="0"/>
              <w:keepLines w:val="0"/>
              <w:widowControl/>
              <w:suppressLineNumbers w:val="0"/>
              <w:jc w:val="left"/>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符合安装施工需求</w:t>
            </w:r>
          </w:p>
        </w:tc>
        <w:tc>
          <w:tcPr>
            <w:tcW w:w="77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237CC">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64B061">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批</w:t>
            </w:r>
          </w:p>
        </w:tc>
      </w:tr>
    </w:tbl>
    <w:p w14:paraId="14D5A474">
      <w:pPr>
        <w:jc w:val="left"/>
        <w:rPr>
          <w:rFonts w:hint="eastAsia" w:ascii="黑体" w:hAnsi="宋体" w:eastAsia="黑体" w:cs="黑体"/>
          <w:i w:val="0"/>
          <w:iCs w:val="0"/>
          <w:color w:val="000000"/>
          <w:sz w:val="22"/>
          <w:szCs w:val="22"/>
          <w:u w:val="none"/>
        </w:rPr>
      </w:pPr>
    </w:p>
    <w:tbl>
      <w:tblPr>
        <w:tblStyle w:val="2"/>
        <w:tblW w:w="1396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15"/>
        <w:gridCol w:w="1549"/>
        <w:gridCol w:w="1575"/>
        <w:gridCol w:w="8190"/>
        <w:gridCol w:w="915"/>
        <w:gridCol w:w="1125"/>
      </w:tblGrid>
      <w:tr w14:paraId="49E48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2" w:hRule="atLeast"/>
        </w:trPr>
        <w:tc>
          <w:tcPr>
            <w:tcW w:w="13969" w:type="dxa"/>
            <w:gridSpan w:val="6"/>
            <w:tcBorders>
              <w:top w:val="single" w:color="000000" w:sz="4" w:space="0"/>
              <w:left w:val="single" w:color="000000" w:sz="4" w:space="0"/>
              <w:bottom w:val="single" w:color="000000" w:sz="4" w:space="0"/>
              <w:right w:val="single" w:color="000000" w:sz="4" w:space="0"/>
            </w:tcBorders>
            <w:noWrap/>
            <w:vAlign w:val="center"/>
          </w:tcPr>
          <w:p w14:paraId="52CEDD78">
            <w:pPr>
              <w:keepNext w:val="0"/>
              <w:keepLines w:val="0"/>
              <w:widowControl/>
              <w:suppressLineNumbers w:val="0"/>
              <w:jc w:val="left"/>
              <w:textAlignment w:val="center"/>
              <w:rPr>
                <w:rFonts w:hint="default" w:ascii="Microsoft YaHei UI" w:hAnsi="Microsoft YaHei UI" w:eastAsia="Microsoft YaHei UI" w:cs="Microsoft YaHei UI"/>
                <w:b/>
                <w:bCs/>
                <w:i w:val="0"/>
                <w:iCs w:val="0"/>
                <w:color w:val="000000"/>
                <w:kern w:val="0"/>
                <w:sz w:val="20"/>
                <w:szCs w:val="20"/>
                <w:u w:val="none"/>
                <w:lang w:val="en-US" w:eastAsia="zh-CN" w:bidi="ar"/>
              </w:rPr>
            </w:pPr>
            <w:r>
              <w:rPr>
                <w:rFonts w:hint="eastAsia" w:ascii="黑体" w:hAnsi="宋体" w:eastAsia="黑体" w:cs="黑体"/>
                <w:b/>
                <w:bCs/>
                <w:i w:val="0"/>
                <w:iCs w:val="0"/>
                <w:color w:val="000000"/>
                <w:kern w:val="0"/>
                <w:sz w:val="22"/>
                <w:szCs w:val="22"/>
                <w:u w:val="none"/>
                <w:lang w:val="en-US" w:eastAsia="zh-CN" w:bidi="ar"/>
              </w:rPr>
              <w:t>(三)装饰装修部分</w:t>
            </w:r>
          </w:p>
        </w:tc>
      </w:tr>
      <w:tr w14:paraId="6FD2A5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7" w:hRule="atLeast"/>
        </w:trPr>
        <w:tc>
          <w:tcPr>
            <w:tcW w:w="615" w:type="dxa"/>
            <w:tcBorders>
              <w:top w:val="single" w:color="000000" w:sz="4" w:space="0"/>
              <w:left w:val="single" w:color="000000" w:sz="4" w:space="0"/>
              <w:bottom w:val="single" w:color="000000" w:sz="4" w:space="0"/>
              <w:right w:val="single" w:color="000000" w:sz="4" w:space="0"/>
            </w:tcBorders>
            <w:noWrap/>
            <w:vAlign w:val="center"/>
          </w:tcPr>
          <w:p w14:paraId="7E6A230C">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default" w:ascii="宋体" w:hAnsi="宋体" w:eastAsia="宋体" w:cs="宋体"/>
                <w:b/>
                <w:bCs/>
                <w:i w:val="0"/>
                <w:iCs w:val="0"/>
                <w:color w:val="000000"/>
                <w:kern w:val="0"/>
                <w:sz w:val="24"/>
                <w:szCs w:val="24"/>
                <w:u w:val="none"/>
                <w:lang w:val="en-US" w:eastAsia="zh-CN" w:bidi="ar"/>
              </w:rPr>
              <w:t>序号</w:t>
            </w:r>
          </w:p>
        </w:tc>
        <w:tc>
          <w:tcPr>
            <w:tcW w:w="1549" w:type="dxa"/>
            <w:tcBorders>
              <w:top w:val="single" w:color="000000" w:sz="4" w:space="0"/>
              <w:left w:val="single" w:color="000000" w:sz="4" w:space="0"/>
              <w:bottom w:val="single" w:color="000000" w:sz="4" w:space="0"/>
              <w:right w:val="single" w:color="000000" w:sz="4" w:space="0"/>
            </w:tcBorders>
            <w:noWrap/>
            <w:vAlign w:val="center"/>
          </w:tcPr>
          <w:p w14:paraId="5228297B">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default" w:ascii="宋体" w:hAnsi="宋体" w:eastAsia="宋体" w:cs="宋体"/>
                <w:b/>
                <w:bCs/>
                <w:i w:val="0"/>
                <w:iCs w:val="0"/>
                <w:color w:val="000000"/>
                <w:kern w:val="0"/>
                <w:sz w:val="24"/>
                <w:szCs w:val="24"/>
                <w:u w:val="none"/>
                <w:lang w:val="en-US" w:eastAsia="zh-CN" w:bidi="ar"/>
              </w:rPr>
              <w:t>名称</w:t>
            </w:r>
          </w:p>
        </w:tc>
        <w:tc>
          <w:tcPr>
            <w:tcW w:w="1575" w:type="dxa"/>
            <w:tcBorders>
              <w:top w:val="single" w:color="000000" w:sz="4" w:space="0"/>
              <w:left w:val="single" w:color="000000" w:sz="4" w:space="0"/>
              <w:bottom w:val="single" w:color="000000" w:sz="4" w:space="0"/>
              <w:right w:val="single" w:color="000000" w:sz="4" w:space="0"/>
            </w:tcBorders>
            <w:noWrap/>
            <w:vAlign w:val="center"/>
          </w:tcPr>
          <w:p w14:paraId="770A5B22">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型号</w:t>
            </w:r>
          </w:p>
        </w:tc>
        <w:tc>
          <w:tcPr>
            <w:tcW w:w="8190" w:type="dxa"/>
            <w:tcBorders>
              <w:top w:val="single" w:color="000000" w:sz="4" w:space="0"/>
              <w:left w:val="single" w:color="000000" w:sz="4" w:space="0"/>
              <w:bottom w:val="single" w:color="000000" w:sz="4" w:space="0"/>
              <w:right w:val="single" w:color="000000" w:sz="4" w:space="0"/>
            </w:tcBorders>
            <w:noWrap/>
            <w:vAlign w:val="center"/>
          </w:tcPr>
          <w:p w14:paraId="3657C327">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描述</w:t>
            </w:r>
          </w:p>
        </w:tc>
        <w:tc>
          <w:tcPr>
            <w:tcW w:w="915" w:type="dxa"/>
            <w:tcBorders>
              <w:top w:val="single" w:color="000000" w:sz="4" w:space="0"/>
              <w:left w:val="single" w:color="000000" w:sz="4" w:space="0"/>
              <w:bottom w:val="single" w:color="000000" w:sz="4" w:space="0"/>
              <w:right w:val="single" w:color="000000" w:sz="4" w:space="0"/>
            </w:tcBorders>
            <w:noWrap/>
            <w:vAlign w:val="center"/>
          </w:tcPr>
          <w:p w14:paraId="584693AB">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default" w:ascii="宋体" w:hAnsi="宋体" w:eastAsia="宋体" w:cs="宋体"/>
                <w:b/>
                <w:bCs/>
                <w:i w:val="0"/>
                <w:iCs w:val="0"/>
                <w:color w:val="000000"/>
                <w:kern w:val="0"/>
                <w:sz w:val="24"/>
                <w:szCs w:val="24"/>
                <w:u w:val="none"/>
                <w:lang w:val="en-US" w:eastAsia="zh-CN" w:bidi="ar"/>
              </w:rPr>
              <w:t>数量</w:t>
            </w:r>
          </w:p>
        </w:tc>
        <w:tc>
          <w:tcPr>
            <w:tcW w:w="1125" w:type="dxa"/>
            <w:tcBorders>
              <w:top w:val="single" w:color="000000" w:sz="4" w:space="0"/>
              <w:left w:val="single" w:color="000000" w:sz="4" w:space="0"/>
              <w:bottom w:val="single" w:color="000000" w:sz="4" w:space="0"/>
              <w:right w:val="single" w:color="000000" w:sz="4" w:space="0"/>
            </w:tcBorders>
            <w:noWrap/>
            <w:vAlign w:val="center"/>
          </w:tcPr>
          <w:p w14:paraId="79C242D7">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default" w:ascii="宋体" w:hAnsi="宋体" w:eastAsia="宋体" w:cs="宋体"/>
                <w:b/>
                <w:bCs/>
                <w:i w:val="0"/>
                <w:iCs w:val="0"/>
                <w:color w:val="000000"/>
                <w:kern w:val="0"/>
                <w:sz w:val="24"/>
                <w:szCs w:val="24"/>
                <w:u w:val="none"/>
                <w:lang w:val="en-US" w:eastAsia="zh-CN" w:bidi="ar"/>
              </w:rPr>
            </w:pPr>
            <w:r>
              <w:rPr>
                <w:rFonts w:hint="default" w:ascii="宋体" w:hAnsi="宋体" w:eastAsia="宋体" w:cs="宋体"/>
                <w:b/>
                <w:bCs/>
                <w:i w:val="0"/>
                <w:iCs w:val="0"/>
                <w:color w:val="000000"/>
                <w:kern w:val="0"/>
                <w:sz w:val="24"/>
                <w:szCs w:val="24"/>
                <w:u w:val="none"/>
                <w:lang w:val="en-US" w:eastAsia="zh-CN" w:bidi="ar"/>
              </w:rPr>
              <w:t>单位</w:t>
            </w:r>
          </w:p>
        </w:tc>
      </w:tr>
      <w:tr w14:paraId="248C1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615" w:type="dxa"/>
            <w:tcBorders>
              <w:top w:val="single" w:color="000000" w:sz="4" w:space="0"/>
              <w:left w:val="single" w:color="000000" w:sz="4" w:space="0"/>
              <w:bottom w:val="single" w:color="000000" w:sz="4" w:space="0"/>
              <w:right w:val="single" w:color="000000" w:sz="4" w:space="0"/>
            </w:tcBorders>
            <w:noWrap w:val="0"/>
            <w:vAlign w:val="center"/>
          </w:tcPr>
          <w:p w14:paraId="1BC9DAE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1</w:t>
            </w:r>
          </w:p>
        </w:tc>
        <w:tc>
          <w:tcPr>
            <w:tcW w:w="1549" w:type="dxa"/>
            <w:tcBorders>
              <w:top w:val="single" w:color="000000" w:sz="4" w:space="0"/>
              <w:left w:val="single" w:color="000000" w:sz="4" w:space="0"/>
              <w:bottom w:val="single" w:color="000000" w:sz="4" w:space="0"/>
              <w:right w:val="single" w:color="000000" w:sz="4" w:space="0"/>
            </w:tcBorders>
            <w:noWrap w:val="0"/>
            <w:vAlign w:val="center"/>
          </w:tcPr>
          <w:p w14:paraId="1ADA878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吊顶</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0B2D01AD">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教室吊顶</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51445324">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材质要求：采用不锈钢龙骨吊件，使用600mmX600mm矿棉板吊顶。工艺要求：吊顶的标高要严格控制，拉出通直线，保证吊顶面的平整度；与主体结构及龙骨之间连接固定牢靠；接口严密，板缝顺直，无错台错位，阴阳角收边方正；表面整洁无污迹，无翘曲变形，镀膜完好。</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79003E54">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7E06B95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2C9404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615" w:type="dxa"/>
            <w:vMerge w:val="restart"/>
            <w:tcBorders>
              <w:top w:val="single" w:color="000000" w:sz="4" w:space="0"/>
              <w:left w:val="single" w:color="000000" w:sz="4" w:space="0"/>
              <w:bottom w:val="single" w:color="000000" w:sz="4" w:space="0"/>
              <w:right w:val="single" w:color="000000" w:sz="4" w:space="0"/>
            </w:tcBorders>
            <w:noWrap w:val="0"/>
            <w:vAlign w:val="center"/>
          </w:tcPr>
          <w:p w14:paraId="4C2F2C1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2</w:t>
            </w:r>
          </w:p>
        </w:tc>
        <w:tc>
          <w:tcPr>
            <w:tcW w:w="1549" w:type="dxa"/>
            <w:vMerge w:val="restart"/>
            <w:tcBorders>
              <w:top w:val="single" w:color="000000" w:sz="4" w:space="0"/>
              <w:left w:val="single" w:color="000000" w:sz="4" w:space="0"/>
              <w:bottom w:val="single" w:color="000000" w:sz="4" w:space="0"/>
              <w:right w:val="single" w:color="000000" w:sz="4" w:space="0"/>
            </w:tcBorders>
            <w:noWrap w:val="0"/>
            <w:vAlign w:val="center"/>
          </w:tcPr>
          <w:p w14:paraId="5F610AF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墙面</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13B5BEDE">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轻钢龙骨</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28F7C4C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含竖向、天地、穿心，国标，按工程实际数量结算</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5CB3AEA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55.5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5A673B48">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59C0B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6BCF66C9">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639F47C4">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2D1F982E">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石膏板</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011848E1">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龙骨外敷设石膏板，三防板基础另加吸音棉，规格1220*2420*12mm</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5ABB1BAA">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111</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268A937D">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66746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B63644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04EFF466">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4143AD82">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隔音棉</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4C0381B3">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四周墙壁使用环保阻燃玻璃纤维吸音棉，填充3CM厚阻燃吸音棉</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4470952E">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95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2C75AC69">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4A080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728B87B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24A3B72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6571605B">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聚酯吸音板</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386D1D2C">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下半部分采用深色，上面部分使用浅色，环保阻燃，规格600*600mm，要求吸音率高、隔音性能好，保温隔热，防水、不发霉、无味，使用寿命长，甲醛含量符合国家要求甲醛0.05㎎/1，噪音NR&lt;30dB，混响时间T60&lt;0.6s</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3BD1402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95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108DD016">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1335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15" w:type="dxa"/>
            <w:vMerge w:val="continue"/>
            <w:tcBorders>
              <w:top w:val="single" w:color="000000" w:sz="4" w:space="0"/>
              <w:left w:val="single" w:color="000000" w:sz="4" w:space="0"/>
              <w:bottom w:val="single" w:color="000000" w:sz="4" w:space="0"/>
              <w:right w:val="single" w:color="000000" w:sz="4" w:space="0"/>
            </w:tcBorders>
            <w:noWrap w:val="0"/>
            <w:vAlign w:val="center"/>
          </w:tcPr>
          <w:p w14:paraId="140AD4C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noWrap w:val="0"/>
            <w:vAlign w:val="center"/>
          </w:tcPr>
          <w:p w14:paraId="1E3802E6">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5BB5285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设备间刷白</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69CA046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腻子、涂料</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15A54594">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155.4</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5037EF7B">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1EB4CF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15" w:type="dxa"/>
            <w:vMerge w:val="restart"/>
            <w:tcBorders>
              <w:top w:val="nil"/>
              <w:left w:val="single" w:color="000000" w:sz="4" w:space="0"/>
              <w:bottom w:val="single" w:color="000000" w:sz="4" w:space="0"/>
              <w:right w:val="single" w:color="000000" w:sz="4" w:space="0"/>
            </w:tcBorders>
            <w:noWrap w:val="0"/>
            <w:vAlign w:val="center"/>
          </w:tcPr>
          <w:p w14:paraId="4793C342">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3</w:t>
            </w:r>
          </w:p>
        </w:tc>
        <w:tc>
          <w:tcPr>
            <w:tcW w:w="1549" w:type="dxa"/>
            <w:vMerge w:val="restart"/>
            <w:tcBorders>
              <w:top w:val="nil"/>
              <w:left w:val="single" w:color="000000" w:sz="4" w:space="0"/>
              <w:bottom w:val="single" w:color="000000" w:sz="4" w:space="0"/>
              <w:right w:val="single" w:color="000000" w:sz="4" w:space="0"/>
            </w:tcBorders>
            <w:noWrap w:val="0"/>
            <w:vAlign w:val="center"/>
          </w:tcPr>
          <w:p w14:paraId="2FDEA6E4">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地面</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59934A32">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地胶</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21038BB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采用≥2.0mm厚的运动静音胶垫，采用主要原料为聚氯乙烯，符合国家环保要求，耐磨，有效降低噪音，噪音NR&lt;30dB，混响时间T60&lt;0.6s，PVC塑胶地板</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7F130DC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3F00316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13A38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15" w:type="dxa"/>
            <w:vMerge w:val="continue"/>
            <w:tcBorders>
              <w:top w:val="nil"/>
              <w:left w:val="single" w:color="000000" w:sz="4" w:space="0"/>
              <w:bottom w:val="single" w:color="000000" w:sz="4" w:space="0"/>
              <w:right w:val="single" w:color="000000" w:sz="4" w:space="0"/>
            </w:tcBorders>
            <w:noWrap w:val="0"/>
            <w:vAlign w:val="center"/>
          </w:tcPr>
          <w:p w14:paraId="29886CF1">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nil"/>
              <w:left w:val="single" w:color="000000" w:sz="4" w:space="0"/>
              <w:bottom w:val="single" w:color="000000" w:sz="4" w:space="0"/>
              <w:right w:val="single" w:color="000000" w:sz="4" w:space="0"/>
            </w:tcBorders>
            <w:noWrap w:val="0"/>
            <w:vAlign w:val="center"/>
          </w:tcPr>
          <w:p w14:paraId="5DFF036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68173DBA">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踢脚线</w:t>
            </w:r>
          </w:p>
        </w:tc>
        <w:tc>
          <w:tcPr>
            <w:tcW w:w="8190" w:type="dxa"/>
            <w:tcBorders>
              <w:top w:val="single" w:color="000000" w:sz="4" w:space="0"/>
              <w:left w:val="single" w:color="000000" w:sz="4" w:space="0"/>
              <w:bottom w:val="single" w:color="000000" w:sz="4" w:space="0"/>
              <w:right w:val="single" w:color="000000" w:sz="4" w:space="0"/>
            </w:tcBorders>
            <w:noWrap w:val="0"/>
            <w:vAlign w:val="center"/>
          </w:tcPr>
          <w:p w14:paraId="4AF243B9">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采用8CM高标准复合实木踢脚线</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41C270F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45</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4E19B59C">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m</w:t>
            </w:r>
          </w:p>
        </w:tc>
      </w:tr>
      <w:tr w14:paraId="75839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61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DD3CCB">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4</w:t>
            </w:r>
          </w:p>
        </w:tc>
        <w:tc>
          <w:tcPr>
            <w:tcW w:w="1549"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A62AE98">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门窗</w:t>
            </w:r>
          </w:p>
        </w:tc>
        <w:tc>
          <w:tcPr>
            <w:tcW w:w="15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01EC1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教室门</w:t>
            </w:r>
          </w:p>
        </w:tc>
        <w:tc>
          <w:tcPr>
            <w:tcW w:w="81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35D41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录播教室的所有门做吸音、隔音处理（最大间隙≤2mm)，保证和教室装修风格统一</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629ECD27">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2.64</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7F7E6C38">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49DE2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52CEBA">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689EF8">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D897D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封窗户</w:t>
            </w:r>
          </w:p>
        </w:tc>
        <w:tc>
          <w:tcPr>
            <w:tcW w:w="81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1E0B05">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封窗，预留通风口，按工程实际数量结算</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0949ABD6">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2</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6CEBC252">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38126E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61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35C0F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49"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ADD6746">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p>
        </w:tc>
        <w:tc>
          <w:tcPr>
            <w:tcW w:w="15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8182FEF">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窗帘</w:t>
            </w:r>
          </w:p>
        </w:tc>
        <w:tc>
          <w:tcPr>
            <w:tcW w:w="819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43CF4C">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窗帘盒、轨道、绒布窗帘，带遮光层</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66660CC1">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19.8</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083CAA5D">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52BF8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615" w:type="dxa"/>
            <w:tcBorders>
              <w:top w:val="single" w:color="000000" w:sz="4" w:space="0"/>
              <w:left w:val="single" w:color="000000" w:sz="4" w:space="0"/>
              <w:bottom w:val="single" w:color="000000" w:sz="4" w:space="0"/>
              <w:right w:val="single" w:color="000000" w:sz="4" w:space="0"/>
            </w:tcBorders>
            <w:noWrap w:val="0"/>
            <w:vAlign w:val="center"/>
          </w:tcPr>
          <w:p w14:paraId="55D222EC">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6</w:t>
            </w:r>
          </w:p>
        </w:tc>
        <w:tc>
          <w:tcPr>
            <w:tcW w:w="1549" w:type="dxa"/>
            <w:tcBorders>
              <w:top w:val="single" w:color="000000" w:sz="4" w:space="0"/>
              <w:left w:val="single" w:color="000000" w:sz="4" w:space="0"/>
              <w:bottom w:val="single" w:color="000000" w:sz="4" w:space="0"/>
              <w:right w:val="single" w:color="000000" w:sz="4" w:space="0"/>
            </w:tcBorders>
            <w:noWrap w:val="0"/>
            <w:vAlign w:val="center"/>
          </w:tcPr>
          <w:p w14:paraId="3BA6544D">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辅材和布线</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710FBDC0">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线缆及辅材</w:t>
            </w:r>
          </w:p>
        </w:tc>
        <w:tc>
          <w:tcPr>
            <w:tcW w:w="8190" w:type="dxa"/>
            <w:tcBorders>
              <w:top w:val="single" w:color="000000" w:sz="4" w:space="0"/>
              <w:left w:val="nil"/>
              <w:bottom w:val="single" w:color="000000" w:sz="4" w:space="0"/>
              <w:right w:val="single" w:color="000000" w:sz="4" w:space="0"/>
            </w:tcBorders>
            <w:noWrap w:val="0"/>
            <w:vAlign w:val="center"/>
          </w:tcPr>
          <w:p w14:paraId="45A3D9A2">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音视频及强弱电布线材料</w:t>
            </w:r>
          </w:p>
        </w:tc>
        <w:tc>
          <w:tcPr>
            <w:tcW w:w="915" w:type="dxa"/>
            <w:tcBorders>
              <w:top w:val="single" w:color="000000" w:sz="4" w:space="0"/>
              <w:left w:val="single" w:color="000000" w:sz="4" w:space="0"/>
              <w:bottom w:val="single" w:color="000000" w:sz="4" w:space="0"/>
              <w:right w:val="single" w:color="000000" w:sz="4" w:space="0"/>
            </w:tcBorders>
            <w:noWrap w:val="0"/>
            <w:vAlign w:val="center"/>
          </w:tcPr>
          <w:p w14:paraId="19BF336D">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110</w:t>
            </w:r>
          </w:p>
        </w:tc>
        <w:tc>
          <w:tcPr>
            <w:tcW w:w="1125" w:type="dxa"/>
            <w:tcBorders>
              <w:top w:val="single" w:color="000000" w:sz="4" w:space="0"/>
              <w:left w:val="single" w:color="000000" w:sz="4" w:space="0"/>
              <w:bottom w:val="single" w:color="000000" w:sz="4" w:space="0"/>
              <w:right w:val="single" w:color="000000" w:sz="4" w:space="0"/>
            </w:tcBorders>
            <w:noWrap w:val="0"/>
            <w:vAlign w:val="center"/>
          </w:tcPr>
          <w:p w14:paraId="3E997AF9">
            <w:pPr>
              <w:keepNext w:val="0"/>
              <w:keepLines w:val="0"/>
              <w:widowControl/>
              <w:suppressLineNumbers w:val="0"/>
              <w:jc w:val="left"/>
              <w:textAlignment w:val="center"/>
              <w:rPr>
                <w:rFonts w:hint="default"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w:t>
            </w:r>
          </w:p>
        </w:tc>
      </w:tr>
      <w:tr w14:paraId="32F047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3969" w:type="dxa"/>
            <w:gridSpan w:val="6"/>
            <w:tcBorders>
              <w:top w:val="single" w:color="000000" w:sz="4" w:space="0"/>
              <w:left w:val="single" w:color="000000" w:sz="4" w:space="0"/>
              <w:bottom w:val="single" w:color="000000" w:sz="4" w:space="0"/>
              <w:right w:val="single" w:color="000000" w:sz="4" w:space="0"/>
            </w:tcBorders>
            <w:noWrap w:val="0"/>
            <w:vAlign w:val="center"/>
          </w:tcPr>
          <w:p w14:paraId="0ACA2706">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宋体" w:hAnsi="宋体" w:eastAsia="宋体" w:cs="宋体"/>
                <w:i w:val="0"/>
                <w:iCs w:val="0"/>
                <w:color w:val="000000"/>
                <w:kern w:val="0"/>
                <w:sz w:val="24"/>
                <w:szCs w:val="24"/>
                <w:u w:val="none"/>
                <w:lang w:val="en-US" w:eastAsia="zh-CN" w:bidi="ar"/>
              </w:rPr>
              <w:t>备注：</w:t>
            </w:r>
            <w:r>
              <w:rPr>
                <w:rFonts w:hint="eastAsia" w:ascii="宋体" w:hAnsi="宋体" w:eastAsia="宋体" w:cs="宋体"/>
                <w:b/>
                <w:bCs/>
                <w:color w:val="auto"/>
                <w:sz w:val="24"/>
                <w:szCs w:val="24"/>
                <w:lang w:eastAsia="zh-CN" w:bidi="ar"/>
              </w:rPr>
              <w:t>装饰装修部分只做辅助工程报价作用，投标人可在开标一栏明细表中填写</w:t>
            </w:r>
            <w:r>
              <w:rPr>
                <w:rFonts w:hint="eastAsia" w:ascii="宋体" w:hAnsi="宋体" w:eastAsia="宋体" w:cs="宋体"/>
                <w:b/>
                <w:bCs/>
                <w:color w:val="auto"/>
                <w:sz w:val="24"/>
                <w:szCs w:val="24"/>
                <w:lang w:val="en-US" w:eastAsia="zh-CN" w:bidi="ar"/>
              </w:rPr>
              <w:t>装饰装修部分</w:t>
            </w:r>
            <w:r>
              <w:rPr>
                <w:rFonts w:hint="eastAsia" w:ascii="宋体" w:hAnsi="宋体" w:eastAsia="宋体" w:cs="宋体"/>
                <w:b/>
                <w:bCs/>
                <w:color w:val="auto"/>
                <w:sz w:val="24"/>
                <w:szCs w:val="24"/>
                <w:lang w:eastAsia="zh-CN" w:bidi="ar"/>
              </w:rPr>
              <w:t>的总报价，验收时根据实际交付工作据实结算。</w:t>
            </w:r>
          </w:p>
        </w:tc>
      </w:tr>
    </w:tbl>
    <w:p w14:paraId="063ABC72"/>
    <w:p w14:paraId="05FBA6A8"/>
    <w:p w14:paraId="7D6D3628"/>
    <w:p w14:paraId="05840A8D"/>
    <w:p w14:paraId="195AC1C5"/>
    <w:p w14:paraId="61D07D51"/>
    <w:tbl>
      <w:tblPr>
        <w:tblStyle w:val="2"/>
        <w:tblW w:w="1532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34"/>
        <w:gridCol w:w="1733"/>
        <w:gridCol w:w="11588"/>
        <w:gridCol w:w="969"/>
      </w:tblGrid>
      <w:tr w14:paraId="48845C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5324" w:type="dxa"/>
            <w:gridSpan w:val="4"/>
            <w:tcBorders>
              <w:top w:val="single" w:color="auto" w:sz="4" w:space="0"/>
              <w:left w:val="single" w:color="auto" w:sz="4" w:space="0"/>
              <w:bottom w:val="single" w:color="auto" w:sz="4" w:space="0"/>
              <w:right w:val="single" w:color="000000" w:sz="4" w:space="0"/>
            </w:tcBorders>
            <w:noWrap/>
            <w:vAlign w:val="center"/>
          </w:tcPr>
          <w:p w14:paraId="626D51D4">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计算机教室</w:t>
            </w:r>
          </w:p>
        </w:tc>
      </w:tr>
      <w:tr w14:paraId="5CBD0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3" w:hRule="atLeast"/>
        </w:trPr>
        <w:tc>
          <w:tcPr>
            <w:tcW w:w="1034" w:type="dxa"/>
            <w:tcBorders>
              <w:top w:val="single" w:color="auto" w:sz="4" w:space="0"/>
              <w:left w:val="single" w:color="auto" w:sz="4" w:space="0"/>
              <w:bottom w:val="single" w:color="auto" w:sz="4" w:space="0"/>
              <w:right w:val="single" w:color="000000" w:sz="4" w:space="0"/>
            </w:tcBorders>
            <w:noWrap/>
            <w:vAlign w:val="center"/>
          </w:tcPr>
          <w:p w14:paraId="4A5229FA">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733" w:type="dxa"/>
            <w:tcBorders>
              <w:top w:val="single" w:color="auto" w:sz="4" w:space="0"/>
              <w:left w:val="single" w:color="000000" w:sz="4" w:space="0"/>
              <w:bottom w:val="single" w:color="auto" w:sz="4" w:space="0"/>
              <w:right w:val="single" w:color="000000" w:sz="4" w:space="0"/>
            </w:tcBorders>
            <w:noWrap/>
            <w:vAlign w:val="center"/>
          </w:tcPr>
          <w:p w14:paraId="780488C0">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产品名称</w:t>
            </w:r>
          </w:p>
        </w:tc>
        <w:tc>
          <w:tcPr>
            <w:tcW w:w="11588" w:type="dxa"/>
            <w:tcBorders>
              <w:top w:val="single" w:color="auto" w:sz="4" w:space="0"/>
              <w:left w:val="single" w:color="000000" w:sz="4" w:space="0"/>
              <w:bottom w:val="single" w:color="auto" w:sz="4" w:space="0"/>
              <w:right w:val="single" w:color="000000" w:sz="4" w:space="0"/>
            </w:tcBorders>
            <w:noWrap/>
            <w:vAlign w:val="center"/>
          </w:tcPr>
          <w:p w14:paraId="536DB458">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参数</w:t>
            </w:r>
          </w:p>
        </w:tc>
        <w:tc>
          <w:tcPr>
            <w:tcW w:w="969" w:type="dxa"/>
            <w:tcBorders>
              <w:top w:val="single" w:color="auto" w:sz="4" w:space="0"/>
              <w:left w:val="single" w:color="000000" w:sz="4" w:space="0"/>
              <w:bottom w:val="single" w:color="auto" w:sz="4" w:space="0"/>
              <w:right w:val="single" w:color="000000" w:sz="4" w:space="0"/>
            </w:tcBorders>
            <w:noWrap/>
            <w:vAlign w:val="center"/>
          </w:tcPr>
          <w:p w14:paraId="72278007">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数量</w:t>
            </w:r>
          </w:p>
        </w:tc>
      </w:tr>
      <w:tr w14:paraId="41568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34" w:type="dxa"/>
            <w:tcBorders>
              <w:top w:val="single" w:color="auto" w:sz="4" w:space="0"/>
              <w:left w:val="single" w:color="000000" w:sz="4" w:space="0"/>
              <w:bottom w:val="single" w:color="000000" w:sz="4" w:space="0"/>
              <w:right w:val="nil"/>
            </w:tcBorders>
            <w:shd w:val="clear" w:color="auto" w:fill="auto"/>
            <w:noWrap w:val="0"/>
            <w:vAlign w:val="center"/>
          </w:tcPr>
          <w:p w14:paraId="32D8F889">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c>
          <w:tcPr>
            <w:tcW w:w="1733"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7BB5B64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云桌面管理平台</w:t>
            </w:r>
          </w:p>
        </w:tc>
        <w:tc>
          <w:tcPr>
            <w:tcW w:w="11588" w:type="dxa"/>
            <w:tcBorders>
              <w:top w:val="single" w:color="auto" w:sz="4" w:space="0"/>
              <w:left w:val="single" w:color="000000" w:sz="4" w:space="0"/>
              <w:bottom w:val="single" w:color="000000" w:sz="4" w:space="0"/>
              <w:right w:val="single" w:color="000000" w:sz="4" w:space="0"/>
            </w:tcBorders>
            <w:shd w:val="clear" w:color="auto" w:fill="FFFFFF"/>
            <w:noWrap w:val="0"/>
            <w:vAlign w:val="top"/>
          </w:tcPr>
          <w:p w14:paraId="6BA9C62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系统采用去中心化高可用架构，无单点故障风险，由教师机提供核心服务；支持跨架构和多类型终端的统一管理，可实现跨网段、跨VLan的不同组网方式；提供CS、BS二种管理架构；教师机断电或离线时，学生机可继续使用本地已下发的系统模板与数据盘，保障教学连续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2.教师机与学生机终端软件全面兼容 Windows10、Windows11等国内外主流及教育专用操作系统。支持平铺或列表方式对操作系统排序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3.教师机与学生机每个操作系统都可以设置自己私有的IP和电脑名称，每个系统的数据相互隔离，用户使用时可以随时自由的切换到需要使用的系统；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4.管理服务以常驻进程形式运行，确保在任意操作系统环境下服务不中断。</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5.教师机具备集中启动管控能力，可统一设置所有学生机的默认启动系统，也可授权向学生机推送图形化启动菜单，允许学生临时选择本次启动的其他兼容系统。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6.教师机可对系统模板的更新发布进行策略管理，能够设置当模板更新后，关联的学生机系统是否及何时自动同步更新。</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7.教师机拥有对学生机用户数据盘的完整管理权限，包括创建新数据盘、删除旧数据盘以及在线扩容现有数据盘；学生机在启动进入任何兼容系统后，均可自动识别并读写访问该通用数据盘。</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8.学生机的模板接收、验证与部署任务为本地独立进程，其任务状态（如下载进度、校验状态、部署结果）完全本地记录，不依赖于教师机的实时在线状态。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9.更新系统模板，在分发至学生机后，在学生机硬盘及教师机服务器上的存储增量占用均不超过100MB。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10.具备服务角色动态漂移能力。当主教师机发生故障时，可通过快速授权流程，将任一学生机提升为新的教师机角色，无缝接管所有管理职能与服务。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11.支持跨三层网络环境的点对点直连传输。教师机之间可通过IP地址与安全密码进行认证，实现全套云桌面环境数据（含系统模板、教室与学生终端配置、离线状态、还原点等）的快速同步与备份；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12.学生机可相互直接传输系统模板文件，提升部署效率。学生机的离线操作日志将在其与教师机恢复连接后自动同步上报。</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13.提供一键式共享数据盘功能。教师机创建共享盘后，同一教室内的学生机无需手动配置网络路径，仅需验证教室号即可自动挂载该共享盘，并在切换不同操作系统时保持共享盘连接与数据视图的一致性。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14.在管理大规模终端时，管理平台支持通过MAC地址、IP地址（段）、座位号、教室编号等多种属性进行快速组合查询与精准定位，提升运维效率。</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可实时监控并展示任一终端的详细信息面板（包括MAC、IP、所属教室/座位、CPU/内存/磁盘使用率、客户端版本与类型、屏幕分辨率等），并支持对全量或选中终端批量执行远程操作，如网络唤醒开机、远程重启、修改IP地址、管理其关联的共享数据盘、一键恢复出厂设置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16.以上功能均为单一软件实现，不可多软件集合实现</w:t>
            </w:r>
          </w:p>
        </w:tc>
        <w:tc>
          <w:tcPr>
            <w:tcW w:w="969" w:type="dxa"/>
            <w:tcBorders>
              <w:top w:val="single" w:color="auto" w:sz="4" w:space="0"/>
              <w:left w:val="single" w:color="000000" w:sz="4" w:space="0"/>
              <w:bottom w:val="single" w:color="000000" w:sz="4" w:space="0"/>
              <w:right w:val="single" w:color="000000" w:sz="4" w:space="0"/>
            </w:tcBorders>
            <w:noWrap/>
            <w:vAlign w:val="center"/>
          </w:tcPr>
          <w:p w14:paraId="53289ADB">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w:t>
            </w:r>
          </w:p>
        </w:tc>
      </w:tr>
      <w:tr w14:paraId="1F15D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34" w:type="dxa"/>
            <w:tcBorders>
              <w:top w:val="nil"/>
              <w:left w:val="single" w:color="000000" w:sz="4" w:space="0"/>
              <w:bottom w:val="single" w:color="000000" w:sz="4" w:space="0"/>
              <w:right w:val="nil"/>
            </w:tcBorders>
            <w:shd w:val="clear" w:color="auto" w:fill="auto"/>
            <w:noWrap w:val="0"/>
            <w:vAlign w:val="center"/>
          </w:tcPr>
          <w:p w14:paraId="445CA36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2</w:t>
            </w:r>
          </w:p>
        </w:tc>
        <w:tc>
          <w:tcPr>
            <w:tcW w:w="1733" w:type="dxa"/>
            <w:tcBorders>
              <w:top w:val="nil"/>
              <w:left w:val="single" w:color="000000" w:sz="4" w:space="0"/>
              <w:bottom w:val="single" w:color="000000" w:sz="4" w:space="0"/>
              <w:right w:val="single" w:color="000000" w:sz="4" w:space="0"/>
            </w:tcBorders>
            <w:shd w:val="clear" w:color="auto" w:fill="auto"/>
            <w:noWrap w:val="0"/>
            <w:vAlign w:val="center"/>
          </w:tcPr>
          <w:p w14:paraId="75B65FB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学生云终端</w:t>
            </w:r>
          </w:p>
        </w:tc>
        <w:tc>
          <w:tcPr>
            <w:tcW w:w="11588" w:type="dxa"/>
            <w:tcBorders>
              <w:top w:val="nil"/>
              <w:left w:val="single" w:color="000000" w:sz="4" w:space="0"/>
              <w:bottom w:val="single" w:color="000000" w:sz="4" w:space="0"/>
              <w:right w:val="single" w:color="000000" w:sz="4" w:space="0"/>
            </w:tcBorders>
            <w:shd w:val="clear" w:color="auto" w:fill="auto"/>
            <w:noWrap w:val="0"/>
            <w:vAlign w:val="top"/>
          </w:tcPr>
          <w:p w14:paraId="04ADFD2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1、架构：x86架构；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 CPU：≥Intel酷睿I5十三代八核十二线程处理器，最大睿频≥4.6GHz,缓存≥12M；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3、内存：≥8 GB DDR4,≥2个内存扩展槽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4、硬盘：≥256 GB SSD,支持M.2/mSATA多种存储方式；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5、显卡：核芯显卡,显卡最大动态频率≥1.4 GHz；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6、声卡：集成高保真声卡，支持USB耳麦接口或3.5MM耳机接口；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7、显示接口：≥1个VGA或DP,≥1个HDMI，分辨率≥ 1920*1080；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8、其他接口：≥4个USB3.0接口，≥2个USB2.0接口，≥1组音频输入输出口；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9、网络：≥1个10/100/1000M自适应网卡；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10、电源输入：≤150W节能电源；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11、支持虚拟化技术 (VT-X,VT-d);</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12、配套USB键鼠套装；</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从网络引导的操作系统能够自动地在客户端电脑上进行完全缓存，从而当网络或服务器故障时，客户端电脑仍然可以离线正常从缓存数据引导启动和工作（注意不是从部署在本地的操作系统启动），从而能够最大限度地保证教学秩序的正常进行。；</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14、客户机系统启动后，不占用服务器资源，运行各类软件全部使用客户机本地CPU、内存、显卡资源；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15、客户端支持自动登录，支持设定某个在线或者离线模板作为默认系统；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16、支持多个用户登录后离线属于自己专属的系统，且不同用户看到的系统只有自己的系统；</w:t>
            </w:r>
          </w:p>
        </w:tc>
        <w:tc>
          <w:tcPr>
            <w:tcW w:w="969" w:type="dxa"/>
            <w:tcBorders>
              <w:top w:val="nil"/>
              <w:left w:val="single" w:color="000000" w:sz="4" w:space="0"/>
              <w:bottom w:val="single" w:color="000000" w:sz="4" w:space="0"/>
              <w:right w:val="single" w:color="000000" w:sz="4" w:space="0"/>
            </w:tcBorders>
            <w:shd w:val="clear" w:color="auto" w:fill="auto"/>
            <w:noWrap/>
            <w:vAlign w:val="center"/>
          </w:tcPr>
          <w:p w14:paraId="3206076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w:t>
            </w:r>
          </w:p>
        </w:tc>
      </w:tr>
      <w:tr w14:paraId="448B54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34" w:type="dxa"/>
            <w:tcBorders>
              <w:top w:val="nil"/>
              <w:left w:val="single" w:color="000000" w:sz="4" w:space="0"/>
              <w:bottom w:val="single" w:color="000000" w:sz="4" w:space="0"/>
              <w:right w:val="nil"/>
            </w:tcBorders>
            <w:shd w:val="clear" w:color="auto" w:fill="auto"/>
            <w:noWrap w:val="0"/>
            <w:vAlign w:val="center"/>
          </w:tcPr>
          <w:p w14:paraId="56EC5E4D">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3</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48DEAB">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教师云终端</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18D33FC9">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1、架构：x86架构；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 CPU：≥Intel酷睿I5十三代八核十二线程处理器，最大睿频≥4.6GHz,缓存≥12M；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3、内存：≥16 GB DDR4,≥2个内存扩展槽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4、硬盘：≥512 GB SSD,支持M.2/mSATA多种存储方式；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5、显卡：核芯显卡,显卡最大动态频率≥1.4 GHz；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6、声卡：集成高保真声卡，支持USB耳麦接口或3.5MM耳机接口；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7、显示接口：≥1个VGA或DP,≥1个HDMI，分辨率≥ 1920*1080；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8、其他接口：≥4个USB3.0接口，≥2个USB2.0接口，≥1组音频输入输出口；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9、网络：≥1个10/100/1000M自适应网卡；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10、电源输入：≤150W节能电源；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11、支持虚拟化技术 (VT-X,VT-d);</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12、配套USB键鼠套装；</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从网络引导的操作系统能够自动地在客户端电脑上进行完全缓存，从而当网络或服务器故障时，客户端电脑仍然可以离线正常从缓存数据引导启动和工作（注意不是从部署在本地的操作系统启动），从而能够最大限度地保证教学秩序的正常进行。；</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14、客户机系统启动后，不占用服务器资源，运行各类软件全部使用客户机本地CPU、内存、显卡资源；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15、客户端支持自动登录，支持设定某个在线或者离线模板作为默认系统；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16、支持多个用户登录后离线属于自己专属的系统，且不同用户看到的系统只有自己的系统；</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5DB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5107F1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34" w:type="dxa"/>
            <w:tcBorders>
              <w:top w:val="nil"/>
              <w:left w:val="single" w:color="000000" w:sz="4" w:space="0"/>
              <w:bottom w:val="single" w:color="000000" w:sz="4" w:space="0"/>
              <w:right w:val="nil"/>
            </w:tcBorders>
            <w:shd w:val="clear" w:color="auto" w:fill="auto"/>
            <w:noWrap w:val="0"/>
            <w:vAlign w:val="center"/>
          </w:tcPr>
          <w:p w14:paraId="238A9F4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87027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教学管理软件</w:t>
            </w:r>
          </w:p>
        </w:tc>
        <w:tc>
          <w:tcPr>
            <w:tcW w:w="11588" w:type="dxa"/>
            <w:tcBorders>
              <w:top w:val="single" w:color="000000" w:sz="4" w:space="0"/>
              <w:left w:val="single" w:color="000000" w:sz="4" w:space="0"/>
              <w:bottom w:val="single" w:color="000000" w:sz="4" w:space="0"/>
              <w:right w:val="single" w:color="000000" w:sz="4" w:space="0"/>
            </w:tcBorders>
            <w:shd w:val="clear" w:color="auto" w:fill="FFFFFF"/>
            <w:noWrap w:val="0"/>
            <w:vAlign w:val="top"/>
          </w:tcPr>
          <w:p w14:paraId="2D127B8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1.软件原生支持在 Windows、统信UOS、麒麟Kylin、方德NFS 等多种异构操作系统上运行，提供高度统一的用户界面、交互逻辑与功能体验，实现跨平台（含国产与非国产系统）的混合式教学环境构建、屏幕广播与课堂管理。</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集成高清课程录播功能，可完整录制教师端计算机桌面操作画面及系统内播放的音频，直接输出为通用的MP4视频格式；录制过程中支持同时接入并叠加摄像头画面，并允许教师选择特定的麦克风或系统音频作为音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支持课堂视频资源共享与实时直播。视频分享功能可将教师端本地播放的视频文件流畅同步至所有学生端；直播功能可采集教师摄像头画面与计算机系统声音，并提供直播画面分辨率、帧率、是否推送音频/视频流等详细参数设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支持教师端同屏监看多个学生端桌面，最高可同时以缩略图形式展示64个学生端实时屏幕；提供远程控制（远程桌面）功能，并可对所有在线学生端统一执行如“全体黑屏肃静”、“统一打开程序”等遥控指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5.支持全双工语音教学，教师可将自身麦克风语音或电脑播放的音频广播至全部或部分学生端；教师端亦可同时监听任一指定学生端的麦克风输入声音或扬声器输出声音。</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内置一体化课堂测评系统，包含随堂限时考试、学生抢答竞赛及课后作业管理模块。随堂考试支持自动批阅并以柱状图、饼图等形式可视化展示成绩分布；作业管理支持按学科目录分类、查询学生提交状态与历史记录、统一设置作业提交存储目录等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提供丰富的课堂辅助工具集，包括一键锁屏/解锁、发布文字通知（可触发学生端窗口抖动提醒）、师生文字群聊、移动设备无线投屏至教师端、公共文件资源库管理等。锁屏界面显示的自定义提示文字可由教师自由设定。</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8.支持灵活的分组教学模式，教师可根据需要将班级学生划分为多个小组，小组内的任何一名成员均可被授权作为“临时教师”，向同组其他成员进行独立的屏幕广播、语音对讲、视频分享、直播或文件传输。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9.支持分组讨论功能，教师可创建多个讨论主题小组，学生可加入不同小组进行文字或语音讨论，教师可随时查看任一小组讨论情况或加入任一小组参与交流。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10.公共资源库功能支持教师新建多级资源分类目录，在目录下上传各类教学资源文件（文档、图片、视频等），并一键分享给全班或指定分组的学生端下载或在线访问。</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11.远程管理工具箱提供远程命令执行、课堂电子点名、文件批量下发、一对一或一对多消息发送等实用管理功能。</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12.远程命令功能支持教师端远程对学生端执行如启动/关闭指定应用程序、运行预设的DOS/Shell命令、强制打开特定网页或文件目录、设置延迟关机或重启计划等操作。</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13.学生端行为审计功能可自动记录每台学生机上运行过的应用程序标题、进程名以及访问过的网站URL，记录按日期存储，支持教师端按时间范围查询并导出详细日志。</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14.电子点名功能可自动采集并显示所有在线学生端的登录账户、姓名、学号及登录时间，支持将本次点名结果导出为TXT、HTML或Excel格式的报表文件。</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15.支持机房上机认证管理，学生端程序启动后首先呈现登录界面，学生必须输入由管理员分配的有效账号和密码，验证通过后方可进入操作系统桌面。</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16.机房用户账户管理支持通过控制台单个创建用户，也支持下载Excel模板文件批量导入用户信息，账户信息字段至少包含账号、密码、姓名、所属班级、联系电话及证件号码等。</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939E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420E9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34" w:type="dxa"/>
            <w:tcBorders>
              <w:top w:val="nil"/>
              <w:left w:val="single" w:color="000000" w:sz="4" w:space="0"/>
              <w:bottom w:val="single" w:color="000000" w:sz="4" w:space="0"/>
              <w:right w:val="nil"/>
            </w:tcBorders>
            <w:shd w:val="clear" w:color="auto" w:fill="auto"/>
            <w:noWrap w:val="0"/>
            <w:vAlign w:val="center"/>
          </w:tcPr>
          <w:p w14:paraId="0FC0A71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3CA561">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键鼠</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0378B27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1、鼠标：按键数不小于2个，连接方式：有线；鼠标接口：USB；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2、键盘：按键数不少于104个，连接方式：有线；键盘接口：USB；</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57F4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41</w:t>
            </w:r>
          </w:p>
        </w:tc>
      </w:tr>
      <w:tr w14:paraId="59343E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34" w:type="dxa"/>
            <w:tcBorders>
              <w:top w:val="nil"/>
              <w:left w:val="single" w:color="000000" w:sz="4" w:space="0"/>
              <w:bottom w:val="single" w:color="000000" w:sz="4" w:space="0"/>
              <w:right w:val="nil"/>
            </w:tcBorders>
            <w:shd w:val="clear" w:color="auto" w:fill="auto"/>
            <w:noWrap w:val="0"/>
            <w:vAlign w:val="center"/>
          </w:tcPr>
          <w:p w14:paraId="3CC84121">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6</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3B02C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显示器</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747724C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1、屏幕尺寸：≥21.5英寸；</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2、屏幕比例：16:9；视频接口：VGA、HDMI；</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3、分辨率：1920*1080；电源适配器输AC,100~240V,50~60Hz,输出DC；</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5C2B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41</w:t>
            </w:r>
          </w:p>
        </w:tc>
      </w:tr>
      <w:tr w14:paraId="2B28CE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34" w:type="dxa"/>
            <w:tcBorders>
              <w:top w:val="nil"/>
              <w:left w:val="single" w:color="000000" w:sz="4" w:space="0"/>
              <w:bottom w:val="single" w:color="000000" w:sz="4" w:space="0"/>
              <w:right w:val="nil"/>
            </w:tcBorders>
            <w:shd w:val="clear" w:color="auto" w:fill="auto"/>
            <w:noWrap w:val="0"/>
            <w:vAlign w:val="center"/>
          </w:tcPr>
          <w:p w14:paraId="5B82D73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7</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BBDC8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48口千兆交换机</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52E9D17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default" w:ascii="黑体" w:hAnsi="宋体" w:eastAsia="黑体" w:cs="黑体"/>
                <w:i w:val="0"/>
                <w:iCs w:val="0"/>
                <w:color w:val="000000"/>
                <w:kern w:val="0"/>
                <w:sz w:val="22"/>
                <w:szCs w:val="22"/>
                <w:u w:val="none"/>
                <w:lang w:val="en-US" w:eastAsia="zh-CN" w:bidi="ar"/>
              </w:rPr>
              <w:t>产品类型‌：千兆以太网交换机</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‌应用层级‌：二层</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‌交换方式‌：存储-转发</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‌背板带宽‌：≥‌100 Gbps‌</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‌包转发率‌：≥‌75 Mpps‌</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‌MAC地址表容量‌：≥‌16K‌</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‌端口结构‌：非模块化‌</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端口数量‌：≥‌48个 10/100/1000Mbps 自适应电口，≥‌2个 千兆SFP光口‌</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‌传输模式‌：全双工 / 半双工自适应，支持 MDI/MDI-X 自适应‌</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‌电源电压‌：‌100–240V AC‌</w:t>
            </w:r>
            <w:r>
              <w:rPr>
                <w:rFonts w:hint="default" w:ascii="黑体" w:hAnsi="宋体" w:eastAsia="黑体" w:cs="黑体"/>
                <w:i w:val="0"/>
                <w:iCs w:val="0"/>
                <w:color w:val="000000"/>
                <w:kern w:val="0"/>
                <w:sz w:val="22"/>
                <w:szCs w:val="22"/>
                <w:u w:val="none"/>
                <w:lang w:val="en-US" w:eastAsia="zh-CN" w:bidi="ar"/>
              </w:rPr>
              <w:br w:type="textWrapping"/>
            </w:r>
            <w:r>
              <w:rPr>
                <w:rFonts w:hint="default" w:ascii="黑体" w:hAnsi="宋体" w:eastAsia="黑体" w:cs="黑体"/>
                <w:i w:val="0"/>
                <w:iCs w:val="0"/>
                <w:color w:val="000000"/>
                <w:kern w:val="0"/>
                <w:sz w:val="22"/>
                <w:szCs w:val="22"/>
                <w:u w:val="none"/>
                <w:lang w:val="en-US" w:eastAsia="zh-CN" w:bidi="ar"/>
              </w:rPr>
              <w:t>‌最大功耗‌：≤‌36W</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CC96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31BE71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34" w:type="dxa"/>
            <w:tcBorders>
              <w:top w:val="nil"/>
              <w:left w:val="single" w:color="000000" w:sz="4" w:space="0"/>
              <w:bottom w:val="single" w:color="000000" w:sz="4" w:space="0"/>
              <w:right w:val="nil"/>
            </w:tcBorders>
            <w:shd w:val="clear" w:color="auto" w:fill="auto"/>
            <w:noWrap w:val="0"/>
            <w:vAlign w:val="center"/>
          </w:tcPr>
          <w:p w14:paraId="47FC86AE">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8</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8DAA0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路由器</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4F7D87D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1、路由类型：企业级路由器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2、产品内存：128MB，FLASH：16MB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3、传输速率：10/100/1000Mbps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4、端口结构：非模块化</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5、广域网接口：1-2 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6、局域网接口：3-4 个</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7、网络安全：内置防火墙，支持 ACL，IP-MAC 绑定，MAC 地址过滤，动态ARP，静态 ARP 绑定，NAT，NAPT，端口映射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8、电源电压：本地 220V AC 供电</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30A5B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0CFD85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34" w:type="dxa"/>
            <w:tcBorders>
              <w:top w:val="nil"/>
              <w:left w:val="single" w:color="000000" w:sz="4" w:space="0"/>
              <w:bottom w:val="single" w:color="000000" w:sz="4" w:space="0"/>
              <w:right w:val="nil"/>
            </w:tcBorders>
            <w:shd w:val="clear" w:color="auto" w:fill="auto"/>
            <w:noWrap w:val="0"/>
            <w:vAlign w:val="center"/>
          </w:tcPr>
          <w:p w14:paraId="50CFD26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9</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03AD9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机柜</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A4E1E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≥16U机柜，深度≥800mm。</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95B1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192B11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1034" w:type="dxa"/>
            <w:tcBorders>
              <w:top w:val="nil"/>
              <w:left w:val="single" w:color="000000" w:sz="4" w:space="0"/>
              <w:bottom w:val="single" w:color="000000" w:sz="4" w:space="0"/>
              <w:right w:val="nil"/>
            </w:tcBorders>
            <w:shd w:val="clear" w:color="auto" w:fill="auto"/>
            <w:noWrap w:val="0"/>
            <w:vAlign w:val="center"/>
          </w:tcPr>
          <w:p w14:paraId="6FC2DCB2">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10</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76034E">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学生桌椅</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top"/>
          </w:tcPr>
          <w:p w14:paraId="5DE511A0">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双人电脑桌，尺寸不小于1200*600*750mm，含学生凳：</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1、基材：采用E1级环保型中密度纤维板，含水率≤8%，板材密度≥700g/cm³，吸水厚度膨胀率≤12.0%，静曲强度≥24.0MPa，弹性模量≥2300MPa，甲醛释放量（气候箱法）≤0.124mg/m³，总挥发性有机化合物≤0.50mg/m².h，经高温防潮、防腐、防虫处理；</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2、饰面：采用优质环保胶板贴面，厚度≥0.6mm，经过3－5道涂研工艺处理；</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3、油漆：选用优质环保油漆，挥发性有机化合物含量≤670g/L,游离二异氰酸酯（TDI、HDI）含量总和≤0.1%,经五底三面八道工序，产品美观、无气味、不变色，光滑耐磨；表面光亮平整、无颗粒、无毒害、易清洁；采用高级环保胶粘剂；</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4、（三合一连接件：金属表面耐腐蚀乙酸盐雾连续喷雾≧97 小时），所有五金配件全部经过防锈、防腐处理。</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EBAC8">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20</w:t>
            </w:r>
          </w:p>
        </w:tc>
      </w:tr>
      <w:tr w14:paraId="6CD71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34" w:type="dxa"/>
            <w:tcBorders>
              <w:top w:val="nil"/>
              <w:left w:val="single" w:color="000000" w:sz="4" w:space="0"/>
              <w:bottom w:val="single" w:color="000000" w:sz="4" w:space="0"/>
              <w:right w:val="nil"/>
            </w:tcBorders>
            <w:shd w:val="clear" w:color="auto" w:fill="auto"/>
            <w:noWrap w:val="0"/>
            <w:vAlign w:val="center"/>
          </w:tcPr>
          <w:p w14:paraId="0F384A14">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11</w:t>
            </w:r>
          </w:p>
        </w:tc>
        <w:tc>
          <w:tcPr>
            <w:tcW w:w="1733" w:type="dxa"/>
            <w:tcBorders>
              <w:top w:val="single" w:color="000000" w:sz="4" w:space="0"/>
              <w:left w:val="single" w:color="000000" w:sz="4" w:space="0"/>
              <w:bottom w:val="nil"/>
              <w:right w:val="single" w:color="000000" w:sz="4" w:space="0"/>
            </w:tcBorders>
            <w:shd w:val="clear" w:color="auto" w:fill="auto"/>
            <w:noWrap w:val="0"/>
            <w:vAlign w:val="center"/>
          </w:tcPr>
          <w:p w14:paraId="07F5521B">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教师桌椅</w:t>
            </w:r>
          </w:p>
        </w:tc>
        <w:tc>
          <w:tcPr>
            <w:tcW w:w="11588" w:type="dxa"/>
            <w:tcBorders>
              <w:top w:val="single" w:color="000000" w:sz="4" w:space="0"/>
              <w:left w:val="single" w:color="000000" w:sz="4" w:space="0"/>
              <w:bottom w:val="nil"/>
              <w:right w:val="single" w:color="000000" w:sz="4" w:space="0"/>
            </w:tcBorders>
            <w:shd w:val="clear" w:color="auto" w:fill="auto"/>
            <w:noWrap w:val="0"/>
            <w:vAlign w:val="center"/>
          </w:tcPr>
          <w:p w14:paraId="71F488F0">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教师控制台，尺寸不小于1200*600*750mm，配套五轮转椅，文件收纳柜；</w:t>
            </w:r>
          </w:p>
        </w:tc>
        <w:tc>
          <w:tcPr>
            <w:tcW w:w="969" w:type="dxa"/>
            <w:tcBorders>
              <w:top w:val="single" w:color="000000" w:sz="4" w:space="0"/>
              <w:left w:val="single" w:color="000000" w:sz="4" w:space="0"/>
              <w:bottom w:val="nil"/>
              <w:right w:val="single" w:color="000000" w:sz="4" w:space="0"/>
            </w:tcBorders>
            <w:shd w:val="clear" w:color="auto" w:fill="auto"/>
            <w:noWrap/>
            <w:vAlign w:val="center"/>
          </w:tcPr>
          <w:p w14:paraId="448B4101">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1</w:t>
            </w:r>
          </w:p>
        </w:tc>
      </w:tr>
      <w:tr w14:paraId="3475E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34" w:type="dxa"/>
            <w:tcBorders>
              <w:top w:val="nil"/>
              <w:left w:val="single" w:color="000000" w:sz="4" w:space="0"/>
              <w:bottom w:val="single" w:color="000000" w:sz="4" w:space="0"/>
              <w:right w:val="nil"/>
            </w:tcBorders>
            <w:shd w:val="clear" w:color="auto" w:fill="auto"/>
            <w:noWrap w:val="0"/>
            <w:vAlign w:val="center"/>
          </w:tcPr>
          <w:p w14:paraId="486DDBCB">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12</w:t>
            </w:r>
          </w:p>
        </w:tc>
        <w:tc>
          <w:tcPr>
            <w:tcW w:w="1733" w:type="dxa"/>
            <w:tcBorders>
              <w:top w:val="single" w:color="000000" w:sz="4" w:space="0"/>
              <w:left w:val="single" w:color="000000" w:sz="4" w:space="0"/>
              <w:bottom w:val="nil"/>
              <w:right w:val="single" w:color="000000" w:sz="4" w:space="0"/>
            </w:tcBorders>
            <w:shd w:val="clear" w:color="auto" w:fill="auto"/>
            <w:noWrap w:val="0"/>
            <w:vAlign w:val="center"/>
          </w:tcPr>
          <w:p w14:paraId="0C10CB55">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系统集成</w:t>
            </w:r>
          </w:p>
        </w:tc>
        <w:tc>
          <w:tcPr>
            <w:tcW w:w="11588" w:type="dxa"/>
            <w:tcBorders>
              <w:top w:val="single" w:color="000000" w:sz="4" w:space="0"/>
              <w:left w:val="single" w:color="000000" w:sz="4" w:space="0"/>
              <w:bottom w:val="nil"/>
              <w:right w:val="single" w:color="000000" w:sz="4" w:space="0"/>
            </w:tcBorders>
            <w:shd w:val="clear" w:color="auto" w:fill="auto"/>
            <w:noWrap w:val="0"/>
            <w:vAlign w:val="top"/>
          </w:tcPr>
          <w:p w14:paraId="6E73CB44">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1、强电线材：单根铜芯线（火、零、地线缆颜色分开），单根芯径不小于 1.5 平方毫米，达到国家标准；</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2、六类四对非屏蔽室内双绞线电缆（全铜），铜丝线规：24AWG，铜芯线径标称直径为 0.50mm,两头应用标签标注明。</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3、水晶头：RJ45 网络水晶头，达到国家标准；</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4、缆线的布放平直、不得产生扭绞，打圈等现象，不受到外力的挤压和损伤；</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5、槽内缆线顺直，禁止交叉、缆线不溢出线槽、在缆线进出线槽部位，转弯处绑扎固定；</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6、走线如经过通道或露出地面部分，需采用≥1.2mm钢槽覆盖。</w:t>
            </w:r>
            <w:r>
              <w:rPr>
                <w:rFonts w:hint="eastAsia" w:ascii="黑体" w:hAnsi="宋体" w:eastAsia="黑体" w:cs="黑体"/>
                <w:i w:val="0"/>
                <w:iCs w:val="0"/>
                <w:color w:val="auto"/>
                <w:kern w:val="0"/>
                <w:sz w:val="22"/>
                <w:szCs w:val="22"/>
                <w:u w:val="none"/>
                <w:lang w:val="en-US" w:eastAsia="zh-CN" w:bidi="ar"/>
              </w:rPr>
              <w:br w:type="textWrapping"/>
            </w:r>
            <w:r>
              <w:rPr>
                <w:rFonts w:hint="eastAsia" w:ascii="黑体" w:hAnsi="宋体" w:eastAsia="黑体" w:cs="黑体"/>
                <w:i w:val="0"/>
                <w:iCs w:val="0"/>
                <w:color w:val="auto"/>
                <w:kern w:val="0"/>
                <w:sz w:val="22"/>
                <w:szCs w:val="22"/>
                <w:u w:val="none"/>
                <w:lang w:val="en-US" w:eastAsia="zh-CN" w:bidi="ar"/>
              </w:rPr>
              <w:t>7、线缆、电源插座等必须使用国内知名品牌，系统集成及安装必须参照国家相关标准进行；</w:t>
            </w:r>
          </w:p>
        </w:tc>
        <w:tc>
          <w:tcPr>
            <w:tcW w:w="969" w:type="dxa"/>
            <w:tcBorders>
              <w:top w:val="single" w:color="000000" w:sz="4" w:space="0"/>
              <w:left w:val="single" w:color="000000" w:sz="4" w:space="0"/>
              <w:bottom w:val="nil"/>
              <w:right w:val="single" w:color="000000" w:sz="4" w:space="0"/>
            </w:tcBorders>
            <w:shd w:val="clear" w:color="auto" w:fill="auto"/>
            <w:noWrap/>
            <w:vAlign w:val="center"/>
          </w:tcPr>
          <w:p w14:paraId="0091B125">
            <w:pPr>
              <w:keepNext w:val="0"/>
              <w:keepLines w:val="0"/>
              <w:widowControl/>
              <w:suppressLineNumbers w:val="0"/>
              <w:jc w:val="left"/>
              <w:textAlignment w:val="center"/>
              <w:rPr>
                <w:rFonts w:hint="eastAsia" w:ascii="黑体" w:hAnsi="宋体" w:eastAsia="黑体" w:cs="黑体"/>
                <w:i w:val="0"/>
                <w:iCs w:val="0"/>
                <w:color w:val="auto"/>
                <w:kern w:val="0"/>
                <w:sz w:val="22"/>
                <w:szCs w:val="22"/>
                <w:u w:val="none"/>
                <w:lang w:val="en-US" w:eastAsia="zh-CN" w:bidi="ar"/>
              </w:rPr>
            </w:pPr>
            <w:r>
              <w:rPr>
                <w:rFonts w:hint="eastAsia" w:ascii="黑体" w:hAnsi="宋体" w:eastAsia="黑体" w:cs="黑体"/>
                <w:i w:val="0"/>
                <w:iCs w:val="0"/>
                <w:color w:val="auto"/>
                <w:kern w:val="0"/>
                <w:sz w:val="22"/>
                <w:szCs w:val="22"/>
                <w:u w:val="none"/>
                <w:lang w:val="en-US" w:eastAsia="zh-CN" w:bidi="ar"/>
              </w:rPr>
              <w:t>41</w:t>
            </w:r>
          </w:p>
        </w:tc>
      </w:tr>
      <w:tr w14:paraId="1699F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1034" w:type="dxa"/>
            <w:tcBorders>
              <w:top w:val="nil"/>
              <w:left w:val="single" w:color="000000" w:sz="4" w:space="0"/>
              <w:bottom w:val="single" w:color="000000" w:sz="4" w:space="0"/>
              <w:right w:val="nil"/>
            </w:tcBorders>
            <w:shd w:val="clear" w:color="auto" w:fill="auto"/>
            <w:noWrap w:val="0"/>
            <w:vAlign w:val="center"/>
          </w:tcPr>
          <w:p w14:paraId="797EB1B5">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13</w:t>
            </w:r>
          </w:p>
        </w:tc>
        <w:tc>
          <w:tcPr>
            <w:tcW w:w="173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16B5B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静电地板</w:t>
            </w:r>
          </w:p>
        </w:tc>
        <w:tc>
          <w:tcPr>
            <w:tcW w:w="1158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A26AB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1、600*600*35、地板基体采用鞍钢或宝钢优质冷轧板经拉深焊接而成。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2、地板的上板为超硬质钢板，下板为深拉级钢板，地板表面经过导电环氧树脂喷塑处理，中间填充美国进口泡沫水泥，且表面可粘贴各种地板覆盖物。</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3、地板配套附件：支座、托架、支架均为全钢组件，表面经镀锌防腐处理。</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FB02A1">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 xml:space="preserve">96 </w:t>
            </w:r>
          </w:p>
        </w:tc>
      </w:tr>
    </w:tbl>
    <w:p w14:paraId="5023CB76">
      <w:pPr>
        <w:rPr>
          <w:lang w:val="en-US" w:eastAsia="zh-CN"/>
        </w:rPr>
      </w:pPr>
      <w:r>
        <w:rPr>
          <w:lang w:val="en-US" w:eastAsia="zh-CN"/>
        </w:rPr>
        <w:br w:type="page"/>
      </w:r>
    </w:p>
    <w:tbl>
      <w:tblPr>
        <w:tblStyle w:val="2"/>
        <w:tblW w:w="15419"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498"/>
        <w:gridCol w:w="1068"/>
        <w:gridCol w:w="12230"/>
        <w:gridCol w:w="723"/>
        <w:gridCol w:w="900"/>
      </w:tblGrid>
      <w:tr w14:paraId="7ED2F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419" w:type="dxa"/>
            <w:gridSpan w:val="5"/>
            <w:tcBorders>
              <w:top w:val="single" w:color="000000" w:sz="8" w:space="0"/>
              <w:left w:val="single" w:color="000000" w:sz="8" w:space="0"/>
              <w:bottom w:val="single" w:color="000000" w:sz="4" w:space="0"/>
              <w:right w:val="single" w:color="000000" w:sz="4" w:space="0"/>
            </w:tcBorders>
            <w:noWrap w:val="0"/>
            <w:vAlign w:val="center"/>
          </w:tcPr>
          <w:p w14:paraId="762826D9">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监控与网络</w:t>
            </w:r>
          </w:p>
        </w:tc>
      </w:tr>
      <w:tr w14:paraId="2E77D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98" w:type="dxa"/>
            <w:tcBorders>
              <w:top w:val="single" w:color="000000" w:sz="8" w:space="0"/>
              <w:left w:val="single" w:color="000000" w:sz="8" w:space="0"/>
              <w:bottom w:val="single" w:color="000000" w:sz="4" w:space="0"/>
              <w:right w:val="single" w:color="000000" w:sz="4" w:space="0"/>
            </w:tcBorders>
            <w:noWrap w:val="0"/>
            <w:vAlign w:val="center"/>
          </w:tcPr>
          <w:p w14:paraId="3296AD65">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068" w:type="dxa"/>
            <w:tcBorders>
              <w:top w:val="single" w:color="000000" w:sz="8" w:space="0"/>
              <w:left w:val="single" w:color="000000" w:sz="4" w:space="0"/>
              <w:bottom w:val="single" w:color="000000" w:sz="4" w:space="0"/>
              <w:right w:val="single" w:color="000000" w:sz="4" w:space="0"/>
            </w:tcBorders>
            <w:noWrap w:val="0"/>
            <w:vAlign w:val="center"/>
          </w:tcPr>
          <w:p w14:paraId="57B46C0A">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设备名称</w:t>
            </w:r>
          </w:p>
        </w:tc>
        <w:tc>
          <w:tcPr>
            <w:tcW w:w="12230" w:type="dxa"/>
            <w:tcBorders>
              <w:top w:val="single" w:color="000000" w:sz="8" w:space="0"/>
              <w:left w:val="single" w:color="000000" w:sz="4" w:space="0"/>
              <w:bottom w:val="single" w:color="000000" w:sz="4" w:space="0"/>
              <w:right w:val="single" w:color="000000" w:sz="4" w:space="0"/>
            </w:tcBorders>
            <w:noWrap w:val="0"/>
            <w:vAlign w:val="center"/>
          </w:tcPr>
          <w:p w14:paraId="23675C1F">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参数</w:t>
            </w:r>
          </w:p>
        </w:tc>
        <w:tc>
          <w:tcPr>
            <w:tcW w:w="723" w:type="dxa"/>
            <w:tcBorders>
              <w:top w:val="single" w:color="000000" w:sz="8" w:space="0"/>
              <w:left w:val="single" w:color="000000" w:sz="4" w:space="0"/>
              <w:bottom w:val="single" w:color="000000" w:sz="4" w:space="0"/>
              <w:right w:val="single" w:color="000000" w:sz="4" w:space="0"/>
            </w:tcBorders>
            <w:noWrap w:val="0"/>
            <w:vAlign w:val="center"/>
          </w:tcPr>
          <w:p w14:paraId="0A9261DA">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单位</w:t>
            </w:r>
          </w:p>
        </w:tc>
        <w:tc>
          <w:tcPr>
            <w:tcW w:w="900" w:type="dxa"/>
            <w:tcBorders>
              <w:top w:val="single" w:color="000000" w:sz="8" w:space="0"/>
              <w:left w:val="single" w:color="000000" w:sz="4" w:space="0"/>
              <w:bottom w:val="single" w:color="000000" w:sz="4" w:space="0"/>
              <w:right w:val="single" w:color="000000" w:sz="4" w:space="0"/>
            </w:tcBorders>
            <w:noWrap w:val="0"/>
            <w:vAlign w:val="center"/>
          </w:tcPr>
          <w:p w14:paraId="1BC3B133">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数量</w:t>
            </w:r>
          </w:p>
        </w:tc>
      </w:tr>
      <w:tr w14:paraId="241AEE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98" w:type="dxa"/>
            <w:tcBorders>
              <w:top w:val="nil"/>
              <w:left w:val="single" w:color="000000" w:sz="8" w:space="0"/>
              <w:bottom w:val="single" w:color="000000" w:sz="4" w:space="0"/>
              <w:right w:val="single" w:color="000000" w:sz="4" w:space="0"/>
            </w:tcBorders>
            <w:noWrap w:val="0"/>
            <w:vAlign w:val="center"/>
          </w:tcPr>
          <w:p w14:paraId="2147DDF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c>
          <w:tcPr>
            <w:tcW w:w="1068" w:type="dxa"/>
            <w:tcBorders>
              <w:top w:val="nil"/>
              <w:left w:val="single" w:color="000000" w:sz="4" w:space="0"/>
              <w:bottom w:val="single" w:color="000000" w:sz="4" w:space="0"/>
              <w:right w:val="single" w:color="000000" w:sz="4" w:space="0"/>
            </w:tcBorders>
            <w:noWrap w:val="0"/>
            <w:vAlign w:val="center"/>
          </w:tcPr>
          <w:p w14:paraId="4820C856">
            <w:pPr>
              <w:keepNext w:val="0"/>
              <w:keepLines w:val="0"/>
              <w:pageBreakBefore w:val="0"/>
              <w:widowControl/>
              <w:suppressLineNumbers w:val="0"/>
              <w:kinsoku/>
              <w:wordWrap/>
              <w:overflowPunct/>
              <w:topLinePunct w:val="0"/>
              <w:autoSpaceDE/>
              <w:autoSpaceDN/>
              <w:bidi w:val="0"/>
              <w:adjustRightInd/>
              <w:snapToGrid/>
              <w:spacing w:line="360" w:lineRule="auto"/>
              <w:ind w:left="0" w:leftChars="0" w:right="0" w:rightChars="0" w:firstLine="0" w:firstLineChars="0"/>
              <w:jc w:val="center"/>
              <w:textAlignment w:val="center"/>
              <w:rPr>
                <w:rFonts w:hint="eastAsia" w:ascii="黑体" w:hAnsi="宋体" w:eastAsia="黑体" w:cs="黑体"/>
                <w:i w:val="0"/>
                <w:iCs w:val="0"/>
                <w:color w:val="000000"/>
                <w:kern w:val="0"/>
                <w:sz w:val="22"/>
                <w:szCs w:val="22"/>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监控</w:t>
            </w:r>
          </w:p>
        </w:tc>
        <w:tc>
          <w:tcPr>
            <w:tcW w:w="12230" w:type="dxa"/>
            <w:tcBorders>
              <w:top w:val="nil"/>
              <w:left w:val="single" w:color="000000" w:sz="4" w:space="0"/>
              <w:bottom w:val="single" w:color="000000" w:sz="4" w:space="0"/>
              <w:right w:val="single" w:color="000000" w:sz="4" w:space="0"/>
            </w:tcBorders>
            <w:noWrap w:val="0"/>
            <w:vAlign w:val="center"/>
          </w:tcPr>
          <w:p w14:paraId="7359D836">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c>
          <w:tcPr>
            <w:tcW w:w="723" w:type="dxa"/>
            <w:tcBorders>
              <w:top w:val="nil"/>
              <w:left w:val="single" w:color="000000" w:sz="4" w:space="0"/>
              <w:bottom w:val="single" w:color="000000" w:sz="4" w:space="0"/>
              <w:right w:val="single" w:color="000000" w:sz="4" w:space="0"/>
            </w:tcBorders>
            <w:noWrap w:val="0"/>
            <w:vAlign w:val="center"/>
          </w:tcPr>
          <w:p w14:paraId="7667B58E">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c>
          <w:tcPr>
            <w:tcW w:w="900" w:type="dxa"/>
            <w:tcBorders>
              <w:top w:val="nil"/>
              <w:left w:val="single" w:color="000000" w:sz="4" w:space="0"/>
              <w:bottom w:val="single" w:color="000000" w:sz="4" w:space="0"/>
              <w:right w:val="single" w:color="000000" w:sz="4" w:space="0"/>
            </w:tcBorders>
            <w:noWrap w:val="0"/>
            <w:vAlign w:val="center"/>
          </w:tcPr>
          <w:p w14:paraId="2E8A0CE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r>
      <w:tr w14:paraId="0E26A0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48FF217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1D31D78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400万红外筒型摄像机（POE）</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7F4BC2DD">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400万筒型网络摄像机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最高分辨率可达2560 × 1440 @25 fps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支持SmartIR，防止夜间红外过曝</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支持背光补偿，强光抑制，3D数字降噪，数字宽动态，适应不同使用环境</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支持开放型网络视频接口，ISAPI，SDK，GB28181协议，支持萤石平台接入</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1个内置麦克风</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智能补光，支持白光/红外双补光，红外光最远可达50 m，白光最远可达30 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符合IP67防尘防水设计，可靠性高</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传感器类型：1/2.7" Progressive Scan CMOS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最低照度：彩色：0.005 Lux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宽动态：数字宽动态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焦距&amp;视场角：4 mm，水平视场角：70°，垂直视场角：35°，对角视场角：85°</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6 mm，水平视场角：46°，垂直视场角：24°，对角视场角：54°</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8 mm，水平视场角：43°，垂直视场角：24°，对角视场角：50°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12 mm，水平视场角：27°，垂直视场角：15°，对角视场角：31°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红外波长范围：850 nm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防补光过曝：支持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补光灯类型：智能补光，可切换白光灯、红外灯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补光距离：红外光最远可达50 m，白光最远可达30 m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最大分辨率：2560 × 1440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视频压缩标准：主码流：H.265，支持超级智能编码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子码流：H.265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音频：1个内置麦克风</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网络：1个RJ45 10 M/100 M自适应以太网口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启动及工作温湿度：-30 ℃~60 ℃，湿度小于95%（无凝结）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存储温湿度：-30 ℃~60 ℃，湿度小于95%（无凝结）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恢复出厂设置：支持客户端或浏览器恢复</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供电方式：DC：12 V ± 25%，支持防反接保护</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PoE：IEEE 802.3af，Class 3</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电流及功耗：DC：12 V，0.42 A，最大功耗：5 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PoE：IEEE 802.3af，CLASS 3，最大功耗：6.5 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电源接口类型：Ø5.5 mm圆口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产品尺寸：87.1 × 83.7 × 171.7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包装尺寸：216 × 121 × 118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设备重量：360 g</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带包装重量：540 g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防护：IP67 </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7273E06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B17A1E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12</w:t>
            </w:r>
          </w:p>
        </w:tc>
      </w:tr>
      <w:tr w14:paraId="7B76A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2ABB924D">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2</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5E2A52A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5口交换机（POE）</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7C41A9B9">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提供4个千兆PoE电口，1个千兆网络电口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交换容量 10 Gbps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包转发率 7.44 Mpps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支持IEEE 802.3at/af</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端口最大供电功率 30 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整机最大供电功率 60 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支持6KV防浪涌（PoE口）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支持PoE输出功率管理</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千兆网络接入设计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线速转发、无阻塞设计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存储转发交换方式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坚固式高强度金属外壳</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无风扇设计，高可靠性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安装方式：桌面式可壁挂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工作温度：0°C~40°C</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7F4E3B2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E1DA556">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w:t>
            </w:r>
          </w:p>
        </w:tc>
      </w:tr>
      <w:tr w14:paraId="40151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592F2AF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3</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2BC2696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16路硬盘录像机</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2FD6EBD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400万 星光级1/1.8" CMOS AI智能人员统计筒型网络摄像机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AI智能人员检测筒型摄像机内嵌深度学习算法，以海量图片及视频资源为路基，实现对客流统计、区域关注度、人员密度等功能的准确统计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支持3种智能切换：倾斜客流、人员密度、人数统计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人数统计：支持同时运行人员统计、区域关注度、在离岗检测、热度图功能，除热度图为1个识别区域外，其他功能至多支持8个识别区域，128个目标</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倾斜客流：基于行人轨迹分析，统计指定场景内目标人员进入和离开的情况，至多支持3个识别区域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人员密度：可检测指定场景内人员的拥挤情况，根据人数和占空比配置密度等级，至多支持8个识别区域</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最低照度: 彩色：0.0005 Lux @（F1.2，AGC ON）；黑白：0.0001 Lux @（F1.2，AGC ON），0 Lux with IR</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宽动态: 120 dB</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焦距＆视场角: 2.8 mm：水平视场角：98.4°，垂直视场角：53.2°，对角视场角：115.4°</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补光灯类型: 红外灯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补光距离: 普通监控：最远可达30 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防补光过曝: 支持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红外波长范围: 850 nm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最大图像尺寸: 2560 × 1440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视频压缩标准: 主码流：H.265/H.264</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网络存储: 支持MicroSD(即TF卡)/MicroSDHC/MicroSDXC卡（最大256 GB）断网本地存储及断网续传，NAS（NFS，SMB/CIFS均支持），配合海康黑卡支持SD卡加密及SD卡状态检测</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Wi-Fi: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Wi-Fi协议: IEEE802.11b，802.11g，802.11n</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频率范围: 2.4~2.4835 GHz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信道带宽: 20/40 MHz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调制方式: 802.11b: CCK，QPSK，BPSK；802.11g/n：OFDM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传输速率: 最远50 m（空旷环境下）</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网络: 1个RJ45 10 M/100 M自适应以太网口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音频: 1路输入（Line in），1路输出（Line out），1个内置麦克风</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报警 : 1路输入，1路输出（报警输入支持开关量，报警输出最大支持DC12 V，30 mA）</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复位: 支持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接口类型: 外甩线</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产品尺寸: 93.9 × 93.5 × 194.1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包装尺寸: 235 × 120 × 125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设备重量: 735 g</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带包装重量: 940 g</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存储温湿度: -30 ℃~60 ℃，湿度小于95%（无凝结）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启动和工作温湿度: -30 ℃~60 ℃，湿度小于95%（无凝结）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电流及功耗: DC：12 V，0.79 A，最大功耗：9.48 W</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供电方式: DC：12 V ± 20%</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电源接口类型: 3芯接口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线缆长度: 35 cm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防护: IP67</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0C83B355">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EDF8E0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2C1000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3AF29E5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2FB7506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4T硬盘</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6D4B7E4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4TB容量，3.5英寸，SATA3.0接口，5400RPM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空气盘， CMR传统磁记录</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传输速率180MB/s，流畅存储视频有效防止丢帧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高级格式（AF）512e扇区技术，保障硬盘扇区4K对齐</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满足数据严苛的7*24小时运行可靠性、安全性的需求</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适用海拔高度范围-305m至3050m</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3231074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6F56B5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w:t>
            </w:r>
          </w:p>
        </w:tc>
      </w:tr>
      <w:tr w14:paraId="0EC23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000DF336">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5</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6C825F2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汇聚交换机</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245F77A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 提供5个千兆电口</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千兆网络接入设计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线速转发、无阻塞设计</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存储转发交换方式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坚固式高强度金属外壳</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无风扇设计，高可靠性</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4D9DB6A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72E9FB4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7D9D0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498" w:type="dxa"/>
            <w:tcBorders>
              <w:top w:val="single" w:color="000000" w:sz="4" w:space="0"/>
              <w:left w:val="single" w:color="000000" w:sz="8" w:space="0"/>
              <w:bottom w:val="single" w:color="000000" w:sz="4" w:space="0"/>
              <w:right w:val="single" w:color="000000" w:sz="4" w:space="0"/>
            </w:tcBorders>
            <w:shd w:val="clear" w:color="auto" w:fill="auto"/>
            <w:noWrap/>
            <w:vAlign w:val="center"/>
          </w:tcPr>
          <w:p w14:paraId="76546A79">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6</w:t>
            </w:r>
          </w:p>
        </w:tc>
        <w:tc>
          <w:tcPr>
            <w:tcW w:w="106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A619C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32寸显示器</w:t>
            </w:r>
          </w:p>
        </w:tc>
        <w:tc>
          <w:tcPr>
            <w:tcW w:w="1223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EA9C7D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32寸行业FHD塑胶监视器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支持1920 × 1080高清显示</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采用 3-D 数字梳状滤波器，采用 3-D 降噪技术</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自动彩色，改善图像的对比度，细节，边缘等</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具有自动消除残影功能，保护液晶屏的长期使用</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支持软件展频技术可降低 EMI 辐射</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显示尺寸：32 inch</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屏幕可视区域：698.4 (H) mm × 392.85 (V)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物理分辨率：1920 × 1080 @ 60 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亮度：300 cd/m²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可视角：178° (H) / 178° (V)</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对比度：4000 : 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响应时间：6.5 ms</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刷新率：60 Hz</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连续使用时间：7 × 24H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音视频输入接口：VGA × 1，HDMI 1.4 × 1，AudioOutput × 1</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音视频输出接口：N/A</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数据传输接口：无</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控制接口：无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待机功耗：≤ 0.5 W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工作温度：0 ℃~ 40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工作湿度：20 % ~ 80 % RH (无冷凝水)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外壳材料：塑料</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安装孔距：100 (H) mm × 100 (V) mm ( 4 - M6 × 10 mm)</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边框宽度：16.7 mm (上/左/右), 20.5 mm (下)</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产品尺寸：735.08 (W) mm × 433.46 (H) mm × 80.19 (D) mm（不含底座） </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735.08 (W) mm × 489.16 (H) mm × 207.95 (D) mm（含底座）</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 xml:space="preserve">备注说明：*出货默认带底座； </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0612D1EB">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台</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2D454C7D">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11C12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2989F243">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7</w:t>
            </w:r>
          </w:p>
        </w:tc>
        <w:tc>
          <w:tcPr>
            <w:tcW w:w="1068" w:type="dxa"/>
            <w:tcBorders>
              <w:top w:val="single" w:color="000000" w:sz="4" w:space="0"/>
              <w:left w:val="single" w:color="000000" w:sz="4" w:space="0"/>
              <w:bottom w:val="single" w:color="000000" w:sz="4" w:space="0"/>
              <w:right w:val="single" w:color="000000" w:sz="4" w:space="0"/>
            </w:tcBorders>
            <w:noWrap w:val="0"/>
            <w:vAlign w:val="top"/>
          </w:tcPr>
          <w:p w14:paraId="04F697C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p w14:paraId="1B9AA1AA">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p w14:paraId="7FD634C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p w14:paraId="4D1FFAD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p w14:paraId="15AF07A5">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网线</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3301385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超五类网络线。</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该线缆采用无氧铜芯，直流电阻小，传输损耗小；护套采用环保阻燃聚氯乙烯（PVC）材质，抗拉强度高，安全系数强；线缆采用高密度双绞结构，线对之间串扰小，产品符合国内外技术标准。</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支持千兆以太网信号传输。</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无氧铜芯，直流电阻小，信号衰减小。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PVC护套，耐磨、抗拉强度高。</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阻燃线缆，有国缆检验中心测试报告。</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均匀双绞结构，有效降低干扰，确保信号传输质量。</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符合RoHS 2.0 和Reach认证。</w:t>
            </w:r>
            <w:r>
              <w:rPr>
                <w:rFonts w:hint="eastAsia" w:ascii="黑体" w:hAnsi="宋体" w:eastAsia="黑体" w:cs="黑体"/>
                <w:i w:val="0"/>
                <w:iCs w:val="0"/>
                <w:color w:val="000000"/>
                <w:kern w:val="0"/>
                <w:sz w:val="22"/>
                <w:szCs w:val="22"/>
                <w:u w:val="none"/>
                <w:lang w:val="en-US" w:eastAsia="zh-CN" w:bidi="ar"/>
              </w:rPr>
              <w:br w:type="textWrapping"/>
            </w:r>
            <w:r>
              <w:rPr>
                <w:rFonts w:hint="eastAsia" w:ascii="黑体" w:hAnsi="宋体" w:eastAsia="黑体" w:cs="黑体"/>
                <w:i w:val="0"/>
                <w:iCs w:val="0"/>
                <w:color w:val="000000"/>
                <w:kern w:val="0"/>
                <w:sz w:val="22"/>
                <w:szCs w:val="22"/>
                <w:u w:val="none"/>
                <w:lang w:val="en-US" w:eastAsia="zh-CN" w:bidi="ar"/>
              </w:rPr>
              <w:t>产品性能稳定，有国缆检验中心测试报告。</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74984F0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1B0469E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600</w:t>
            </w:r>
          </w:p>
        </w:tc>
      </w:tr>
      <w:tr w14:paraId="0BB9E2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7CBD66E4">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8</w:t>
            </w:r>
          </w:p>
        </w:tc>
        <w:tc>
          <w:tcPr>
            <w:tcW w:w="1068" w:type="dxa"/>
            <w:tcBorders>
              <w:top w:val="single" w:color="000000" w:sz="4" w:space="0"/>
              <w:left w:val="single" w:color="000000" w:sz="4" w:space="0"/>
              <w:bottom w:val="single" w:color="000000" w:sz="4" w:space="0"/>
              <w:right w:val="single" w:color="000000" w:sz="4" w:space="0"/>
            </w:tcBorders>
            <w:noWrap w:val="0"/>
            <w:vAlign w:val="top"/>
          </w:tcPr>
          <w:p w14:paraId="7E91157E">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电源线</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08FB2187">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2059CD11">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米</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493567E">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400</w:t>
            </w:r>
          </w:p>
        </w:tc>
      </w:tr>
      <w:tr w14:paraId="45C36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6"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5D3CF342">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9</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474C146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辅材</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7062F23F">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0E041938">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批</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3606736C">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w:t>
            </w:r>
          </w:p>
        </w:tc>
      </w:tr>
      <w:tr w14:paraId="07C8F9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 w:hRule="atLeast"/>
        </w:trPr>
        <w:tc>
          <w:tcPr>
            <w:tcW w:w="498" w:type="dxa"/>
            <w:tcBorders>
              <w:top w:val="single" w:color="000000" w:sz="4" w:space="0"/>
              <w:left w:val="single" w:color="000000" w:sz="8" w:space="0"/>
              <w:bottom w:val="single" w:color="000000" w:sz="4" w:space="0"/>
              <w:right w:val="single" w:color="000000" w:sz="4" w:space="0"/>
            </w:tcBorders>
            <w:noWrap/>
            <w:vAlign w:val="center"/>
          </w:tcPr>
          <w:p w14:paraId="571E8069">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10</w:t>
            </w:r>
          </w:p>
        </w:tc>
        <w:tc>
          <w:tcPr>
            <w:tcW w:w="1068" w:type="dxa"/>
            <w:tcBorders>
              <w:top w:val="single" w:color="000000" w:sz="4" w:space="0"/>
              <w:left w:val="single" w:color="000000" w:sz="4" w:space="0"/>
              <w:bottom w:val="single" w:color="000000" w:sz="4" w:space="0"/>
              <w:right w:val="single" w:color="000000" w:sz="4" w:space="0"/>
            </w:tcBorders>
            <w:noWrap w:val="0"/>
            <w:vAlign w:val="center"/>
          </w:tcPr>
          <w:p w14:paraId="0579B2E0">
            <w:pPr>
              <w:keepNext w:val="0"/>
              <w:keepLines w:val="0"/>
              <w:widowControl/>
              <w:suppressLineNumbers w:val="0"/>
              <w:jc w:val="left"/>
              <w:textAlignment w:val="center"/>
              <w:rPr>
                <w:rFonts w:hint="eastAsia" w:ascii="黑体" w:hAnsi="宋体" w:eastAsia="黑体" w:cs="黑体"/>
                <w:i w:val="0"/>
                <w:iCs w:val="0"/>
                <w:color w:val="000000"/>
                <w:kern w:val="0"/>
                <w:sz w:val="22"/>
                <w:szCs w:val="22"/>
                <w:u w:val="none"/>
                <w:lang w:val="en-US" w:eastAsia="zh-CN" w:bidi="ar"/>
              </w:rPr>
            </w:pPr>
            <w:r>
              <w:rPr>
                <w:rFonts w:hint="eastAsia" w:ascii="黑体" w:hAnsi="宋体" w:eastAsia="黑体" w:cs="黑体"/>
                <w:i w:val="0"/>
                <w:iCs w:val="0"/>
                <w:color w:val="000000"/>
                <w:kern w:val="0"/>
                <w:sz w:val="22"/>
                <w:szCs w:val="22"/>
                <w:u w:val="none"/>
                <w:lang w:val="en-US" w:eastAsia="zh-CN" w:bidi="ar"/>
              </w:rPr>
              <w:t>安装调试费</w:t>
            </w:r>
          </w:p>
        </w:tc>
        <w:tc>
          <w:tcPr>
            <w:tcW w:w="12230" w:type="dxa"/>
            <w:tcBorders>
              <w:top w:val="single" w:color="000000" w:sz="4" w:space="0"/>
              <w:left w:val="single" w:color="000000" w:sz="4" w:space="0"/>
              <w:bottom w:val="single" w:color="000000" w:sz="4" w:space="0"/>
              <w:right w:val="single" w:color="000000" w:sz="4" w:space="0"/>
            </w:tcBorders>
            <w:noWrap w:val="0"/>
            <w:vAlign w:val="center"/>
          </w:tcPr>
          <w:p w14:paraId="4B0A3029">
            <w:pPr>
              <w:keepNext w:val="0"/>
              <w:keepLines w:val="0"/>
              <w:widowControl/>
              <w:suppressLineNumbers w:val="0"/>
              <w:jc w:val="left"/>
              <w:textAlignment w:val="center"/>
              <w:rPr>
                <w:rFonts w:hint="eastAsia" w:ascii="黑体" w:hAnsi="宋体" w:eastAsia="黑体" w:cs="黑体"/>
                <w:b/>
                <w:bCs/>
                <w:i w:val="0"/>
                <w:iCs w:val="0"/>
                <w:color w:val="000000"/>
                <w:kern w:val="0"/>
                <w:sz w:val="22"/>
                <w:szCs w:val="22"/>
                <w:u w:val="none"/>
                <w:lang w:val="en-US" w:eastAsia="zh-CN" w:bidi="ar"/>
              </w:rPr>
            </w:pPr>
            <w:r>
              <w:rPr>
                <w:rFonts w:hint="eastAsia" w:ascii="黑体" w:hAnsi="宋体" w:eastAsia="黑体" w:cs="黑体"/>
                <w:b/>
                <w:bCs/>
                <w:i w:val="0"/>
                <w:iCs w:val="0"/>
                <w:color w:val="000000"/>
                <w:kern w:val="0"/>
                <w:sz w:val="22"/>
                <w:szCs w:val="22"/>
                <w:u w:val="none"/>
                <w:lang w:val="en-US" w:eastAsia="zh-CN" w:bidi="ar"/>
              </w:rPr>
              <w:t>安装，调试等</w:t>
            </w:r>
          </w:p>
        </w:tc>
        <w:tc>
          <w:tcPr>
            <w:tcW w:w="723" w:type="dxa"/>
            <w:tcBorders>
              <w:top w:val="single" w:color="000000" w:sz="4" w:space="0"/>
              <w:left w:val="single" w:color="000000" w:sz="4" w:space="0"/>
              <w:bottom w:val="single" w:color="000000" w:sz="4" w:space="0"/>
              <w:right w:val="single" w:color="000000" w:sz="4" w:space="0"/>
            </w:tcBorders>
            <w:noWrap w:val="0"/>
            <w:vAlign w:val="center"/>
          </w:tcPr>
          <w:p w14:paraId="08172CB2">
            <w:pPr>
              <w:keepNext w:val="0"/>
              <w:keepLines w:val="0"/>
              <w:widowControl/>
              <w:suppressLineNumbers w:val="0"/>
              <w:jc w:val="left"/>
              <w:textAlignment w:val="center"/>
              <w:rPr>
                <w:rFonts w:hint="eastAsia" w:ascii="黑体" w:hAnsi="宋体" w:eastAsia="黑体" w:cs="黑体"/>
                <w:b/>
                <w:bCs/>
                <w:i w:val="0"/>
                <w:iCs w:val="0"/>
                <w:color w:val="000000"/>
                <w:kern w:val="0"/>
                <w:sz w:val="22"/>
                <w:szCs w:val="22"/>
                <w:u w:val="none"/>
                <w:lang w:val="en-US" w:eastAsia="zh-CN" w:bidi="ar"/>
              </w:rPr>
            </w:pPr>
            <w:r>
              <w:rPr>
                <w:rFonts w:hint="eastAsia" w:ascii="黑体" w:hAnsi="宋体" w:eastAsia="黑体" w:cs="黑体"/>
                <w:b/>
                <w:bCs/>
                <w:i w:val="0"/>
                <w:iCs w:val="0"/>
                <w:color w:val="000000"/>
                <w:kern w:val="0"/>
                <w:sz w:val="22"/>
                <w:szCs w:val="22"/>
                <w:u w:val="none"/>
                <w:lang w:val="en-US" w:eastAsia="zh-CN" w:bidi="ar"/>
              </w:rPr>
              <w:t>项</w:t>
            </w:r>
          </w:p>
        </w:tc>
        <w:tc>
          <w:tcPr>
            <w:tcW w:w="900" w:type="dxa"/>
            <w:tcBorders>
              <w:top w:val="single" w:color="000000" w:sz="4" w:space="0"/>
              <w:left w:val="single" w:color="000000" w:sz="4" w:space="0"/>
              <w:bottom w:val="single" w:color="000000" w:sz="4" w:space="0"/>
              <w:right w:val="single" w:color="000000" w:sz="4" w:space="0"/>
            </w:tcBorders>
            <w:noWrap w:val="0"/>
            <w:vAlign w:val="center"/>
          </w:tcPr>
          <w:p w14:paraId="5E4658C6">
            <w:pPr>
              <w:keepNext w:val="0"/>
              <w:keepLines w:val="0"/>
              <w:widowControl/>
              <w:suppressLineNumbers w:val="0"/>
              <w:jc w:val="left"/>
              <w:textAlignment w:val="center"/>
              <w:rPr>
                <w:rFonts w:hint="eastAsia" w:ascii="黑体" w:hAnsi="宋体" w:eastAsia="黑体" w:cs="黑体"/>
                <w:b/>
                <w:bCs/>
                <w:i w:val="0"/>
                <w:iCs w:val="0"/>
                <w:color w:val="000000"/>
                <w:kern w:val="0"/>
                <w:sz w:val="22"/>
                <w:szCs w:val="22"/>
                <w:u w:val="none"/>
                <w:lang w:val="en-US" w:eastAsia="zh-CN" w:bidi="ar"/>
              </w:rPr>
            </w:pPr>
            <w:r>
              <w:rPr>
                <w:rFonts w:hint="eastAsia" w:ascii="黑体" w:hAnsi="宋体" w:eastAsia="黑体" w:cs="黑体"/>
                <w:b/>
                <w:bCs/>
                <w:i w:val="0"/>
                <w:iCs w:val="0"/>
                <w:color w:val="000000"/>
                <w:kern w:val="0"/>
                <w:sz w:val="22"/>
                <w:szCs w:val="22"/>
                <w:u w:val="none"/>
                <w:lang w:val="en-US" w:eastAsia="zh-CN" w:bidi="ar"/>
              </w:rPr>
              <w:t>1</w:t>
            </w:r>
          </w:p>
        </w:tc>
      </w:tr>
    </w:tbl>
    <w:p w14:paraId="366317DB"/>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icrosoft YaHei UI">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58E3D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25</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2026-06-30T08:23:36Z</dcterms:created>
  <dc:creator>Administrator</dc:creator>
  <cp:lastModifiedBy>Administrator</cp:lastModifiedBy>
  <dcterms:modified xsi:type="dcterms:W3CDTF">2026-06-30T08:24:01Z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eyJoZGlkIjoiNzNjN2RiOWM2ZTcxYTIyNzAxNzEwNmU1NzlhZTE2MWEiLCJ1c2VySWQiOiIxMjc5NDU5NDg2In0=</vt:lpwstr>
  </property>
  <property fmtid="{D5CDD505-2E9C-101B-9397-08002B2CF9AE}" pid="4" name="ICV">
    <vt:lpwstr>B1EFE7F752CD4EF08E10B69496A51ED6_12</vt:lpwstr>
  </property>
</Properties>
</file>