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753C141">
      <w:pPr>
        <w:pStyle w:val="3"/>
        <w:spacing w:before="0" w:after="0" w:line="460" w:lineRule="exact"/>
        <w:jc w:val="center"/>
        <w:rPr>
          <w:rFonts w:hint="eastAsia" w:ascii="仿宋" w:hAnsi="仿宋" w:eastAsia="仿宋" w:cs="仿宋"/>
          <w:sz w:val="24"/>
          <w:szCs w:val="24"/>
        </w:rPr>
      </w:pPr>
      <w:bookmarkStart w:id="0" w:name="_Toc262628248"/>
      <w:bookmarkStart w:id="1" w:name="_Toc281381163"/>
      <w:bookmarkStart w:id="2" w:name="_Toc286758337"/>
      <w:bookmarkStart w:id="3" w:name="_Toc9222"/>
      <w:r>
        <w:rPr>
          <w:rFonts w:hint="eastAsia" w:ascii="仿宋" w:hAnsi="仿宋" w:eastAsia="仿宋" w:cs="仿宋"/>
          <w:sz w:val="24"/>
          <w:szCs w:val="24"/>
        </w:rPr>
        <w:t>采购需求</w:t>
      </w:r>
      <w:bookmarkEnd w:id="0"/>
      <w:bookmarkEnd w:id="1"/>
      <w:bookmarkEnd w:id="2"/>
      <w:bookmarkEnd w:id="3"/>
    </w:p>
    <w:p w14:paraId="4F7B5864">
      <w:pPr>
        <w:widowControl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z w:val="24"/>
          <w:szCs w:val="24"/>
          <w:highlight w:val="none"/>
        </w:rPr>
        <w:t xml:space="preserve">（一） </w:t>
      </w:r>
      <w:r>
        <w:rPr>
          <w:rFonts w:hint="eastAsia" w:ascii="宋体" w:hAnsi="宋体" w:eastAsia="宋体" w:cs="宋体"/>
          <w:b/>
          <w:bCs/>
          <w:color w:val="auto"/>
          <w:sz w:val="24"/>
          <w:szCs w:val="24"/>
          <w:highlight w:val="none"/>
          <w:lang w:eastAsia="zh-CN"/>
        </w:rPr>
        <w:t>服务</w:t>
      </w:r>
      <w:r>
        <w:rPr>
          <w:rFonts w:ascii="宋体" w:hAnsi="宋体" w:eastAsia="宋体" w:cs="宋体"/>
          <w:b/>
          <w:bCs/>
          <w:color w:val="auto"/>
          <w:sz w:val="24"/>
          <w:szCs w:val="24"/>
          <w:highlight w:val="none"/>
        </w:rPr>
        <w:t>需求</w:t>
      </w:r>
    </w:p>
    <w:p w14:paraId="49FACFAA">
      <w:pPr>
        <w:widowControl w:val="0"/>
        <w:spacing w:line="242" w:lineRule="auto"/>
        <w:rPr>
          <w:color w:val="auto"/>
          <w:highlight w:val="none"/>
        </w:rPr>
      </w:pPr>
    </w:p>
    <w:p w14:paraId="35FD96B5">
      <w:pPr>
        <w:spacing w:line="460" w:lineRule="exact"/>
        <w:rPr>
          <w:rFonts w:asciiTheme="minorEastAsia" w:hAnsiTheme="minorEastAsia" w:eastAsiaTheme="minorEastAsia" w:cstheme="minorEastAsia"/>
          <w:b/>
          <w:bCs/>
          <w:color w:val="auto"/>
          <w:w w:val="99"/>
          <w:sz w:val="24"/>
          <w:szCs w:val="24"/>
          <w:highlight w:val="none"/>
        </w:rPr>
      </w:pPr>
      <w:r>
        <w:rPr>
          <w:rFonts w:hint="eastAsia" w:asciiTheme="minorEastAsia" w:hAnsiTheme="minorEastAsia" w:eastAsiaTheme="minorEastAsia" w:cstheme="minorEastAsia"/>
          <w:b/>
          <w:bCs/>
          <w:color w:val="auto"/>
          <w:sz w:val="24"/>
          <w:szCs w:val="24"/>
          <w:highlight w:val="none"/>
          <w:lang w:eastAsia="zh-CN"/>
        </w:rPr>
        <w:t>1、</w:t>
      </w:r>
      <w:r>
        <w:rPr>
          <w:rFonts w:hint="eastAsia" w:asciiTheme="minorEastAsia" w:hAnsiTheme="minorEastAsia" w:eastAsiaTheme="minorEastAsia" w:cstheme="minorEastAsia"/>
          <w:b/>
          <w:bCs/>
          <w:color w:val="auto"/>
          <w:sz w:val="24"/>
          <w:szCs w:val="24"/>
          <w:highlight w:val="none"/>
        </w:rPr>
        <w:t>项目背景</w:t>
      </w:r>
    </w:p>
    <w:p w14:paraId="5C8B717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为进一步挖掘红谷滩区库存土地，盘活历史储备用地，提高土地收储工</w:t>
      </w:r>
      <w:r>
        <w:rPr>
          <w:rFonts w:hint="eastAsia" w:asciiTheme="minorEastAsia" w:hAnsiTheme="minorEastAsia" w:eastAsiaTheme="minorEastAsia" w:cstheme="minorEastAsia"/>
          <w:color w:val="auto"/>
          <w:spacing w:val="-3"/>
          <w:sz w:val="24"/>
          <w:szCs w:val="24"/>
          <w:highlight w:val="none"/>
          <w:lang w:eastAsia="zh-CN"/>
        </w:rPr>
        <w:t>作效率、提升土地经营水平、增加土地收益，需要对红谷滩区部分用地</w:t>
      </w:r>
      <w:r>
        <w:rPr>
          <w:rFonts w:hint="eastAsia" w:asciiTheme="minorEastAsia" w:hAnsiTheme="minorEastAsia" w:eastAsiaTheme="minorEastAsia" w:cstheme="minorEastAsia"/>
          <w:color w:val="auto"/>
          <w:sz w:val="24"/>
          <w:szCs w:val="24"/>
          <w:highlight w:val="none"/>
          <w:lang w:eastAsia="zh-CN"/>
        </w:rPr>
        <w:t>进行重新梳理，并开展地块规划相关调整及研究工作。上述工作列入《2026年南昌市红谷滩区部分用地控规调整及规划服务》项目编制之中。</w:t>
      </w:r>
    </w:p>
    <w:p w14:paraId="6C8C1E7E">
      <w:pPr>
        <w:spacing w:line="460" w:lineRule="exact"/>
        <w:rPr>
          <w:rFonts w:asciiTheme="minorEastAsia" w:hAnsiTheme="minorEastAsia" w:eastAsiaTheme="minorEastAsia" w:cstheme="minorEastAsia"/>
          <w:b/>
          <w:bCs/>
          <w:color w:val="auto"/>
          <w:w w:val="99"/>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2、规划主要任务及内容</w:t>
      </w:r>
    </w:p>
    <w:p w14:paraId="567AC02F">
      <w:pPr>
        <w:spacing w:line="460" w:lineRule="exact"/>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2.1、规划主要任务</w:t>
      </w:r>
    </w:p>
    <w:p w14:paraId="3E2BA10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（1）根据甲方提供的部分用地进行规划评估和筛选。</w:t>
      </w:r>
    </w:p>
    <w:p w14:paraId="2ACCFD6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对筛选地块按照控规确定的用地性质、容积率、建筑密度、绿地率等规划技术指标及管控要求，开展修建性详细规划设计（深度为强排方案设计）、城市设计等工作，明确地块的规划技术指标能否满足出让（划拨）要求。如地块规划技术指标不能满足年度出让（划拨）计划要求的，需根据分析结果开展控规调整论证、城市设计分析等相关工作。</w:t>
      </w:r>
    </w:p>
    <w:p w14:paraId="1522484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（3）根据规划调整相关工作，提供必要的年度动态技术服务，并按照南昌市自然资源和规划局成果入库相关要求，配合做好成果入库相关工作。</w:t>
      </w:r>
    </w:p>
    <w:p w14:paraId="5F3BF9A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（4）根据工作要求，提供相关规划服务工作，并按照南昌市自然资源和规划局成果入库相关要求，配合做好成果入库相关工作。</w:t>
      </w:r>
    </w:p>
    <w:p w14:paraId="1AE4588D">
      <w:pPr>
        <w:spacing w:line="460" w:lineRule="exact"/>
        <w:rPr>
          <w:rFonts w:asciiTheme="minorEastAsia" w:hAnsiTheme="minorEastAsia" w:eastAsiaTheme="minorEastAsia" w:cstheme="minorEastAsia"/>
          <w:b/>
          <w:bCs/>
          <w:color w:val="auto"/>
          <w:w w:val="99"/>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2.2、规划主要内容</w:t>
      </w:r>
    </w:p>
    <w:p w14:paraId="4525E281">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该规划工作内容可包含五部分工作内容：</w:t>
      </w:r>
    </w:p>
    <w:p w14:paraId="596F3B1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（1）对部分地块开展控规调整论证相关工作，并形成控规调整论证报告成果；</w:t>
      </w:r>
    </w:p>
    <w:p w14:paraId="1B39CA9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（2）对部分地块开展修建性详细规划设计（深度为强排方案设计）工作，合理分析地块规划技术指标，形成地块修建性详细规划总平面图（强排方案深度）；</w:t>
      </w:r>
    </w:p>
    <w:p w14:paraId="131E3E1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（3）对部分地块开展城市设计工作，对地块整体空间形态进行分析论证；</w:t>
      </w:r>
    </w:p>
    <w:p w14:paraId="0A41423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（4）对部分地块开展控规技术修正工作，并形成技术修正相关成果；</w:t>
      </w:r>
    </w:p>
    <w:p w14:paraId="0495F87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（5）其他规划服务工作，包含但不限于零星城镇建设用地调整、乡镇区域详细规划编制等相关工作，并形成相关规划研究成果。</w:t>
      </w:r>
    </w:p>
    <w:p w14:paraId="086AE2A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上述五项工作内容可整体组织开展，也可对上述五部分工作中的任意项单独开展论证。</w:t>
      </w:r>
    </w:p>
    <w:p w14:paraId="0786C5B7">
      <w:pPr>
        <w:spacing w:line="460" w:lineRule="exact"/>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2.3、各项工作主要内容</w:t>
      </w:r>
    </w:p>
    <w:p w14:paraId="585BC02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（1）控规调整部分应包含工作内容</w:t>
      </w:r>
    </w:p>
    <w:p w14:paraId="52E7FE6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1）工作内容</w:t>
      </w:r>
    </w:p>
    <w:p w14:paraId="2918560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①地块现状调查及调整必要性论证；</w:t>
      </w:r>
    </w:p>
    <w:p w14:paraId="25A9B18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②地块规划调整的可行性分析；</w:t>
      </w:r>
    </w:p>
    <w:p w14:paraId="7A0D219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③地块规划调整的城市设计研究分析；</w:t>
      </w:r>
    </w:p>
    <w:p w14:paraId="64CFC1D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④成果入库等相关技术服务工作。</w:t>
      </w:r>
    </w:p>
    <w:p w14:paraId="114BBF9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2）成果构成</w:t>
      </w:r>
    </w:p>
    <w:p w14:paraId="22024BC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项目成果主要为控规局部调整论证报告，控规局部调整论证报告包括说明书、图纸、图则、附件。</w:t>
      </w:r>
    </w:p>
    <w:p w14:paraId="4D21695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3）技术要求</w:t>
      </w:r>
    </w:p>
    <w:p w14:paraId="15D3A90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 规划调整论证说明书技术内容项目基本情况；原控规及上层次规划和相关规划要求；修改要求、理由及依据；常住居住人口计算；公共服务影响论证；道路交通影响论证；生态环境影响论证；空间景观影响论证；市政设施论证；概念性详细规划方案以及论证结论。</w:t>
      </w:r>
    </w:p>
    <w:p w14:paraId="7407D9F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 图纸内容：</w:t>
      </w:r>
    </w:p>
    <w:p w14:paraId="6C40C412">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位置图（以控规编制单元范围为界）；</w:t>
      </w:r>
    </w:p>
    <w:p w14:paraId="0BAED85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控规范围依据图（主要反映片区内路网和配套设施）；</w:t>
      </w:r>
    </w:p>
    <w:p w14:paraId="4DAEF19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现状图（体现项目用地及周边至少一个街坊内用地现状情况）；</w:t>
      </w:r>
    </w:p>
    <w:p w14:paraId="4B7772E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项目周边用地情况图（体现项目用地周边至少一个街坊内单位用地红线及规划、建设情况）；</w:t>
      </w:r>
    </w:p>
    <w:p w14:paraId="4080704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e 原控规各地块控制性详细规划分图图则（只包括发生变化的地块）；</w:t>
      </w:r>
    </w:p>
    <w:p w14:paraId="1A5FEB2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f 修改后各地块控制性详细规划分图图则（只包括发生变化的地块）；</w:t>
      </w:r>
    </w:p>
    <w:p w14:paraId="6CCDC43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g 道路交通规划图（涉及到道路修改应出修改前后对比图）；</w:t>
      </w:r>
    </w:p>
    <w:p w14:paraId="2CEE160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h 各项论证分析图（空间景观分析图等）；</w:t>
      </w:r>
    </w:p>
    <w:p w14:paraId="44D0CC0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i 概念性方案及日照分析图（达到详规方案总图深度，日照分析需符合《南昌市建设项目日照分析技术规则》对日照的相关要求）。</w:t>
      </w:r>
    </w:p>
    <w:p w14:paraId="1931456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③附件内容</w:t>
      </w:r>
    </w:p>
    <w:p w14:paraId="12402DC1">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相关部门申请规划调整的函件；</w:t>
      </w:r>
    </w:p>
    <w:p w14:paraId="4327F47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城乡规划行政主管部门所指定的论证要点内容；</w:t>
      </w:r>
    </w:p>
    <w:p w14:paraId="6EDA71A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征求职能部门意见表及相关利害人意见表；</w:t>
      </w:r>
    </w:p>
    <w:p w14:paraId="4D467672">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相关部门的批示、批文、文件；</w:t>
      </w:r>
    </w:p>
    <w:p w14:paraId="233AD38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e 其他规划修改依据及基础资料。包括规划修改地段的现状人口、用地、建筑、市政等资料，规划修改地段周边状况，经济测算的依据材料等。</w:t>
      </w:r>
    </w:p>
    <w:p w14:paraId="22D27D6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上述成果材料可根据南昌市自然资源和规划局红谷滩分局工作相关要求，适当进行调整或者增删。</w:t>
      </w:r>
    </w:p>
    <w:p w14:paraId="002270B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（2）修建性详细规划设计（深度为：强排方案设计）部分</w:t>
      </w:r>
    </w:p>
    <w:p w14:paraId="444B56E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对地块的控规图则有关技术指标进行分析研究；</w:t>
      </w:r>
    </w:p>
    <w:p w14:paraId="1951B2C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落实地块有关上位规划及城市设计要求；</w:t>
      </w:r>
    </w:p>
    <w:p w14:paraId="6E43B8B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按照地块规划技术指标，形成地块修建性详细规划方案（深度为：强排设计方案）；</w:t>
      </w:r>
    </w:p>
    <w:p w14:paraId="3711D7B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修建性详细规划方案应满足相关日照、退距、消防、停车配建等相关规划要求，并对上述要求进行核验，提交方案总平面图等相关材料。</w:t>
      </w:r>
    </w:p>
    <w:p w14:paraId="428E3B5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（3）城市设计技术优化部分</w:t>
      </w:r>
    </w:p>
    <w:p w14:paraId="6588201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1）工作内容</w:t>
      </w:r>
    </w:p>
    <w:p w14:paraId="32452E1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 指标验证方案、空间形态意向示意</w:t>
      </w:r>
    </w:p>
    <w:p w14:paraId="2305E041">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基于法定控规对设计控制地块相关指标及配套要求，研究地块的指标及空间形态验证方案，并提出设计控制地块及其周边空间形态塑造意向。</w:t>
      </w:r>
    </w:p>
    <w:p w14:paraId="3378E46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 设计控制要求</w:t>
      </w:r>
    </w:p>
    <w:p w14:paraId="3FDFCFA9">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基于现状周边情况、上位及相关规划要求、空间塑造与验证方案提出地块设计控制要求，涉及建筑形态、建筑风貌、公共空间、交通空间、地下空间等方面，细化地块在空间形态、空间品质塑造等方面的设计管控要求。</w:t>
      </w:r>
    </w:p>
    <w:p w14:paraId="082E6AB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2）成果形式</w:t>
      </w:r>
    </w:p>
    <w:p w14:paraId="77C11D5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设计控制地块城市设计图则及其他相关材料，城市设计图则旨在对地块出具规划设计条件提出技术指导，图则按照相关的规范和标准及地块出让意向进行编制。</w:t>
      </w:r>
    </w:p>
    <w:p w14:paraId="469050A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（4）控规技术修正部分</w:t>
      </w:r>
    </w:p>
    <w:p w14:paraId="2973D93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1）工作内容</w:t>
      </w:r>
    </w:p>
    <w:p w14:paraId="5C61AB3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①地块现状调查及调整必要性论证；</w:t>
      </w:r>
    </w:p>
    <w:p w14:paraId="29F21D5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②地块规划调整的可行性分析；</w:t>
      </w:r>
    </w:p>
    <w:p w14:paraId="485C93EE">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③成果入库等相关技术服务工作。</w:t>
      </w:r>
    </w:p>
    <w:p w14:paraId="22A3FEE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2）成果构成</w:t>
      </w:r>
    </w:p>
    <w:p w14:paraId="0877D8C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项目成果主要为控规技术修正报告，控规局部调整论证报告包括图纸、图则、附件。</w:t>
      </w:r>
    </w:p>
    <w:p w14:paraId="78C384AE">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3）技术要求</w:t>
      </w:r>
    </w:p>
    <w:p w14:paraId="7FC6113A">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 规划技术修正现状情况、调整原由、调整依据；调整主要内容、调整必要性、调整可行性。</w:t>
      </w:r>
    </w:p>
    <w:p w14:paraId="6C8FCE6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 图纸内容：</w:t>
      </w:r>
    </w:p>
    <w:p w14:paraId="63ED909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位置图（以控规编制单元范围为界）；</w:t>
      </w:r>
    </w:p>
    <w:p w14:paraId="2BD0EEF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现状图（体现项目用地及周边至少一个街坊内用地现状情况）；</w:t>
      </w:r>
    </w:p>
    <w:p w14:paraId="096C21B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调整前后对比图图（体现项目用地周边至少一个街坊内单位用地红线及规划、建设情况）；</w:t>
      </w:r>
    </w:p>
    <w:p w14:paraId="14574FB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原控规各地块控制性详细规划分图图则（只包括发生变化的地块）；</w:t>
      </w:r>
    </w:p>
    <w:p w14:paraId="7499E33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e 修改后各地块控制性详细规划分图图则（只包括发生变化的地块）；</w:t>
      </w:r>
    </w:p>
    <w:p w14:paraId="4EAE969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③附件内容</w:t>
      </w:r>
    </w:p>
    <w:p w14:paraId="1AD4D29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城乡规划行政主管部门所指定的论证要点内容；</w:t>
      </w:r>
    </w:p>
    <w:p w14:paraId="719F9E41">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征求职能部门意见表及相关利害人意见表；</w:t>
      </w:r>
    </w:p>
    <w:p w14:paraId="138714A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相关部门的批示、批文、文件；</w:t>
      </w:r>
    </w:p>
    <w:p w14:paraId="403134C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其他规划修改依据及基础资料。</w:t>
      </w:r>
    </w:p>
    <w:p w14:paraId="3AC34AEE">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上述成果材料可根据南昌市自然资源和规划局红谷滩分局工作相关要求，适当进行调整或者增删。</w:t>
      </w:r>
    </w:p>
    <w:p w14:paraId="711E579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（5）相关规划及服务部分</w:t>
      </w:r>
    </w:p>
    <w:p w14:paraId="341402FE">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1）工作内容</w:t>
      </w:r>
    </w:p>
    <w:p w14:paraId="7EC3A5E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①现状调查工作；</w:t>
      </w:r>
    </w:p>
    <w:p w14:paraId="32C0BB1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②规划可行性及相关规划研究工作；</w:t>
      </w:r>
    </w:p>
    <w:p w14:paraId="26D6BE2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③成果入库等相关技术服务工作。</w:t>
      </w:r>
    </w:p>
    <w:p w14:paraId="174A5CC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2）成果构成</w:t>
      </w:r>
    </w:p>
    <w:p w14:paraId="1AD5FA0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项目成果主要为规划研究成果报告。</w:t>
      </w:r>
    </w:p>
    <w:p w14:paraId="1DE5160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3）技术要求</w:t>
      </w:r>
    </w:p>
    <w:p w14:paraId="788A518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 规划研究现状情况、规划依据；规划主要内容、规划可行性。</w:t>
      </w:r>
    </w:p>
    <w:p w14:paraId="6D6652C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 图纸内容：</w:t>
      </w:r>
    </w:p>
    <w:p w14:paraId="09817E4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位置图；</w:t>
      </w:r>
    </w:p>
    <w:p w14:paraId="47D5F3E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现状图；</w:t>
      </w:r>
    </w:p>
    <w:p w14:paraId="75FAF92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其他规划研究相关图纸；</w:t>
      </w:r>
    </w:p>
    <w:p w14:paraId="38342568">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③附件内容</w:t>
      </w:r>
    </w:p>
    <w:p w14:paraId="438BC619">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a 城乡规划行政主管部门所指定的论证要点内容；</w:t>
      </w:r>
    </w:p>
    <w:p w14:paraId="643B733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b 征求职能部门意见表及相关利害人意见表；</w:t>
      </w:r>
    </w:p>
    <w:p w14:paraId="57BFDF6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c 相关部门的批示、批文、文件；</w:t>
      </w:r>
    </w:p>
    <w:p w14:paraId="76EAEEE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d 其他规划修改依据及基础资料。</w:t>
      </w:r>
    </w:p>
    <w:p w14:paraId="2DDCD8E2">
      <w:pPr>
        <w:widowControl w:val="0"/>
        <w:spacing w:line="460" w:lineRule="exact"/>
        <w:rPr>
          <w:color w:val="auto"/>
          <w:highlight w:val="none"/>
          <w:lang w:eastAsia="zh-CN"/>
        </w:rPr>
      </w:pPr>
      <w:r>
        <w:rPr>
          <w:rFonts w:hint="eastAsia" w:asciiTheme="minorEastAsia" w:hAnsiTheme="minorEastAsia" w:eastAsiaTheme="minorEastAsia" w:cstheme="minorEastAsia"/>
          <w:color w:val="auto"/>
          <w:sz w:val="24"/>
          <w:szCs w:val="24"/>
          <w:highlight w:val="none"/>
          <w:lang w:eastAsia="zh-CN"/>
        </w:rPr>
        <w:t>上述成果材料可根据南昌市自然资源和规划局红谷滩分局工作相关要求，适当进行调整或者增删。</w:t>
      </w:r>
    </w:p>
    <w:p w14:paraId="184884CE">
      <w:pPr>
        <w:widowControl w:val="0"/>
        <w:spacing w:before="78" w:line="219" w:lineRule="auto"/>
        <w:rPr>
          <w:rFonts w:ascii="宋体" w:hAnsi="宋体" w:eastAsia="宋体" w:cs="宋体"/>
          <w:b/>
          <w:bCs/>
          <w:color w:val="auto"/>
          <w:sz w:val="24"/>
          <w:szCs w:val="24"/>
          <w:highlight w:val="none"/>
          <w:lang w:eastAsia="zh-CN"/>
        </w:rPr>
      </w:pPr>
    </w:p>
    <w:p w14:paraId="67C6ABEF">
      <w:pPr>
        <w:widowControl w:val="0"/>
        <w:spacing w:before="78" w:line="219" w:lineRule="auto"/>
        <w:rPr>
          <w:rFonts w:ascii="宋体" w:hAnsi="宋体" w:eastAsia="宋体" w:cs="宋体"/>
          <w:b/>
          <w:bCs/>
          <w:color w:val="auto"/>
          <w:sz w:val="24"/>
          <w:szCs w:val="24"/>
          <w:highlight w:val="none"/>
          <w:lang w:eastAsia="zh-CN"/>
        </w:rPr>
      </w:pPr>
    </w:p>
    <w:p w14:paraId="14647CA6">
      <w:pPr>
        <w:widowControl w:val="0"/>
        <w:spacing w:before="78" w:line="219" w:lineRule="auto"/>
        <w:rPr>
          <w:rFonts w:ascii="宋体" w:hAnsi="宋体" w:eastAsia="宋体" w:cs="宋体"/>
          <w:color w:val="auto"/>
          <w:sz w:val="24"/>
          <w:szCs w:val="24"/>
          <w:highlight w:val="none"/>
          <w:lang w:eastAsia="zh-CN"/>
        </w:rPr>
      </w:pPr>
      <w:r>
        <w:rPr>
          <w:rFonts w:ascii="宋体" w:hAnsi="宋体" w:eastAsia="宋体" w:cs="宋体"/>
          <w:b/>
          <w:bCs/>
          <w:color w:val="auto"/>
          <w:sz w:val="24"/>
          <w:szCs w:val="24"/>
          <w:highlight w:val="none"/>
          <w:lang w:eastAsia="zh-CN"/>
        </w:rPr>
        <w:t>（二） 商务条件</w:t>
      </w:r>
    </w:p>
    <w:p w14:paraId="6E0EB6DB">
      <w:pPr>
        <w:spacing w:line="460" w:lineRule="exact"/>
        <w:rPr>
          <w:rFonts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1、工作进度</w:t>
      </w:r>
    </w:p>
    <w:p w14:paraId="4589E57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由于《2026年南昌市红谷滩区部分用地控规调整及规划服务》工作跨度较大，计划于2027年6月底前完成本项工作。项目可根据采购人工作进展情况，对工作进度适当进行微调。</w:t>
      </w:r>
    </w:p>
    <w:p w14:paraId="56360F61">
      <w:pPr>
        <w:spacing w:line="460" w:lineRule="exact"/>
        <w:rPr>
          <w:rFonts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2、服务期</w:t>
      </w:r>
    </w:p>
    <w:p w14:paraId="72F8D8B2">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自签订合同之日起服务至2027年6月底前完成。项目可根据采购人工作进展情况，对服务期适当进行微调。</w:t>
      </w:r>
    </w:p>
    <w:p w14:paraId="4F9E2A69">
      <w:pPr>
        <w:spacing w:line="460" w:lineRule="exact"/>
        <w:rPr>
          <w:rFonts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3、服务地点</w:t>
      </w:r>
    </w:p>
    <w:p w14:paraId="01CDE0D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采购人指定地点。</w:t>
      </w:r>
    </w:p>
    <w:p w14:paraId="5236E0F5">
      <w:pPr>
        <w:spacing w:line="460" w:lineRule="exact"/>
        <w:rPr>
          <w:rFonts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4、付款方式</w:t>
      </w:r>
    </w:p>
    <w:p w14:paraId="1E60FCD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（1）在合同签订后10个工作日内，采购人支付中标人规划设计费总额的20%；</w:t>
      </w:r>
    </w:p>
    <w:p w14:paraId="50B9068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 xml:space="preserve"> </w:t>
      </w:r>
      <w:r>
        <w:rPr>
          <w:rFonts w:asciiTheme="minorEastAsia" w:hAnsiTheme="minorEastAsia" w:eastAsiaTheme="minorEastAsia" w:cstheme="minorEastAsia"/>
          <w:color w:val="auto"/>
          <w:sz w:val="24"/>
          <w:szCs w:val="24"/>
          <w:highlight w:val="none"/>
          <w:lang w:eastAsia="zh-CN"/>
        </w:rPr>
        <w:t>(2)</w:t>
      </w:r>
      <w:r>
        <w:rPr>
          <w:rFonts w:hint="eastAsia" w:asciiTheme="minorEastAsia" w:hAnsiTheme="minorEastAsia" w:eastAsiaTheme="minorEastAsia" w:cstheme="minorEastAsia"/>
          <w:color w:val="auto"/>
          <w:sz w:val="24"/>
          <w:szCs w:val="24"/>
          <w:highlight w:val="none"/>
          <w:lang w:eastAsia="zh-CN"/>
        </w:rPr>
        <w:t>达到验收要求的项目设计费用累加至合同总费用</w:t>
      </w:r>
      <w:r>
        <w:rPr>
          <w:rFonts w:asciiTheme="minorEastAsia" w:hAnsiTheme="minorEastAsia" w:eastAsiaTheme="minorEastAsia" w:cstheme="minorEastAsia"/>
          <w:color w:val="auto"/>
          <w:sz w:val="24"/>
          <w:szCs w:val="24"/>
          <w:highlight w:val="none"/>
          <w:lang w:eastAsia="zh-CN"/>
        </w:rPr>
        <w:t>50%</w:t>
      </w:r>
      <w:r>
        <w:rPr>
          <w:rFonts w:hint="eastAsia" w:asciiTheme="minorEastAsia" w:hAnsiTheme="minorEastAsia" w:eastAsiaTheme="minorEastAsia" w:cstheme="minorEastAsia"/>
          <w:color w:val="auto"/>
          <w:sz w:val="24"/>
          <w:szCs w:val="24"/>
          <w:highlight w:val="none"/>
          <w:lang w:eastAsia="zh-CN"/>
        </w:rPr>
        <w:t>时，</w:t>
      </w:r>
      <w:r>
        <w:rPr>
          <w:rFonts w:asciiTheme="minorEastAsia" w:hAnsiTheme="minorEastAsia" w:eastAsiaTheme="minorEastAsia" w:cstheme="minorEastAsia"/>
          <w:color w:val="auto"/>
          <w:sz w:val="24"/>
          <w:szCs w:val="24"/>
          <w:highlight w:val="none"/>
          <w:lang w:eastAsia="zh-CN"/>
        </w:rPr>
        <w:t>10</w:t>
      </w:r>
      <w:r>
        <w:rPr>
          <w:rFonts w:hint="eastAsia" w:asciiTheme="minorEastAsia" w:hAnsiTheme="minorEastAsia" w:eastAsiaTheme="minorEastAsia" w:cstheme="minorEastAsia"/>
          <w:color w:val="auto"/>
          <w:sz w:val="24"/>
          <w:szCs w:val="24"/>
          <w:highlight w:val="none"/>
          <w:lang w:eastAsia="zh-CN"/>
        </w:rPr>
        <w:t>个工作日内，采购人支付中标人规划设计费至总额的</w:t>
      </w:r>
      <w:r>
        <w:rPr>
          <w:rFonts w:asciiTheme="minorEastAsia" w:hAnsiTheme="minorEastAsia" w:eastAsiaTheme="minorEastAsia" w:cstheme="minorEastAsia"/>
          <w:color w:val="auto"/>
          <w:sz w:val="24"/>
          <w:szCs w:val="24"/>
          <w:highlight w:val="none"/>
          <w:lang w:eastAsia="zh-CN"/>
        </w:rPr>
        <w:t>50%</w:t>
      </w:r>
      <w:r>
        <w:rPr>
          <w:rFonts w:hint="eastAsia" w:asciiTheme="minorEastAsia" w:hAnsiTheme="minorEastAsia" w:eastAsiaTheme="minorEastAsia" w:cstheme="minorEastAsia"/>
          <w:color w:val="auto"/>
          <w:sz w:val="24"/>
          <w:szCs w:val="24"/>
          <w:highlight w:val="none"/>
          <w:lang w:eastAsia="zh-CN"/>
        </w:rPr>
        <w:t>。</w:t>
      </w:r>
    </w:p>
    <w:p w14:paraId="20A669B2">
      <w:pPr>
        <w:spacing w:line="460" w:lineRule="exact"/>
        <w:ind w:firstLine="480" w:firstLineChars="200"/>
        <w:rPr>
          <w:rFonts w:hint="eastAsia" w:asciiTheme="minorEastAsia" w:hAnsiTheme="minorEastAsia" w:eastAsiaTheme="minorEastAsia" w:cstheme="minorEastAsia"/>
          <w:color w:val="auto"/>
          <w:sz w:val="24"/>
          <w:szCs w:val="24"/>
          <w:highlight w:val="none"/>
          <w:lang w:eastAsia="zh-CN"/>
        </w:rPr>
      </w:pPr>
      <w:r>
        <w:rPr>
          <w:rFonts w:asciiTheme="minorEastAsia" w:hAnsiTheme="minorEastAsia" w:eastAsiaTheme="minorEastAsia" w:cstheme="minorEastAsia"/>
          <w:color w:val="auto"/>
          <w:sz w:val="24"/>
          <w:szCs w:val="24"/>
          <w:highlight w:val="none"/>
          <w:lang w:eastAsia="zh-CN"/>
        </w:rPr>
        <w:t>(3)</w:t>
      </w:r>
      <w:r>
        <w:rPr>
          <w:rFonts w:hint="eastAsia" w:asciiTheme="minorEastAsia" w:hAnsiTheme="minorEastAsia" w:eastAsiaTheme="minorEastAsia" w:cstheme="minorEastAsia"/>
          <w:color w:val="auto"/>
          <w:sz w:val="24"/>
          <w:szCs w:val="24"/>
          <w:highlight w:val="none"/>
          <w:lang w:eastAsia="zh-CN"/>
        </w:rPr>
        <w:t>达到验收要求的项目设计费用累加至合同总费用</w:t>
      </w:r>
      <w:r>
        <w:rPr>
          <w:rFonts w:asciiTheme="minorEastAsia" w:hAnsiTheme="minorEastAsia" w:eastAsiaTheme="minorEastAsia" w:cstheme="minorEastAsia"/>
          <w:color w:val="auto"/>
          <w:sz w:val="24"/>
          <w:szCs w:val="24"/>
          <w:highlight w:val="none"/>
          <w:lang w:eastAsia="zh-CN"/>
        </w:rPr>
        <w:t>100%</w:t>
      </w:r>
      <w:r>
        <w:rPr>
          <w:rFonts w:hint="eastAsia" w:asciiTheme="minorEastAsia" w:hAnsiTheme="minorEastAsia" w:eastAsiaTheme="minorEastAsia" w:cstheme="minorEastAsia"/>
          <w:color w:val="auto"/>
          <w:sz w:val="24"/>
          <w:szCs w:val="24"/>
          <w:highlight w:val="none"/>
          <w:lang w:eastAsia="zh-CN"/>
        </w:rPr>
        <w:t>时，</w:t>
      </w:r>
      <w:r>
        <w:rPr>
          <w:rFonts w:asciiTheme="minorEastAsia" w:hAnsiTheme="minorEastAsia" w:eastAsiaTheme="minorEastAsia" w:cstheme="minorEastAsia"/>
          <w:color w:val="auto"/>
          <w:sz w:val="24"/>
          <w:szCs w:val="24"/>
          <w:highlight w:val="none"/>
          <w:lang w:eastAsia="zh-CN"/>
        </w:rPr>
        <w:t>10</w:t>
      </w:r>
      <w:r>
        <w:rPr>
          <w:rFonts w:hint="eastAsia" w:asciiTheme="minorEastAsia" w:hAnsiTheme="minorEastAsia" w:eastAsiaTheme="minorEastAsia" w:cstheme="minorEastAsia"/>
          <w:color w:val="auto"/>
          <w:sz w:val="24"/>
          <w:szCs w:val="24"/>
          <w:highlight w:val="none"/>
          <w:lang w:eastAsia="zh-CN"/>
        </w:rPr>
        <w:t>个工作日内，采购人向中标人支付剩余规划设计费。</w:t>
      </w:r>
    </w:p>
    <w:p w14:paraId="1A65CCB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备注：该项目费用按招标文件中所述子项目的计价方式进行累加计算。当所有子项目累计总额达到中标总价，最终支付总费用按中标价进行支付。</w:t>
      </w:r>
    </w:p>
    <w:p w14:paraId="4F3B22E9">
      <w:pPr>
        <w:spacing w:line="460" w:lineRule="exact"/>
        <w:rPr>
          <w:rFonts w:asciiTheme="minorEastAsia" w:hAnsiTheme="minorEastAsia" w:eastAsiaTheme="minorEastAsia" w:cstheme="minorEastAsia"/>
          <w:b/>
          <w:bCs/>
          <w:color w:val="auto"/>
          <w:sz w:val="24"/>
          <w:szCs w:val="24"/>
          <w:highlight w:val="none"/>
          <w:lang w:eastAsia="zh-CN"/>
        </w:rPr>
      </w:pPr>
      <w:r>
        <w:rPr>
          <w:rFonts w:asciiTheme="minorEastAsia" w:hAnsiTheme="minorEastAsia" w:eastAsiaTheme="minorEastAsia" w:cstheme="minorEastAsia"/>
          <w:b/>
          <w:bCs/>
          <w:color w:val="auto"/>
          <w:sz w:val="24"/>
          <w:szCs w:val="24"/>
          <w:highlight w:val="none"/>
          <w:lang w:eastAsia="zh-CN"/>
        </w:rPr>
        <w:t>5</w:t>
      </w:r>
      <w:r>
        <w:rPr>
          <w:rFonts w:hint="eastAsia" w:asciiTheme="minorEastAsia" w:hAnsiTheme="minorEastAsia" w:eastAsiaTheme="minorEastAsia" w:cstheme="minorEastAsia"/>
          <w:b/>
          <w:bCs/>
          <w:color w:val="auto"/>
          <w:sz w:val="24"/>
          <w:szCs w:val="24"/>
          <w:highlight w:val="none"/>
          <w:lang w:eastAsia="zh-CN"/>
        </w:rPr>
        <w:t>、验收的标准及方式</w:t>
      </w:r>
    </w:p>
    <w:p w14:paraId="2AB72D0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本项目取得政府批复的子项以政府批复作为验收依据，无政府批复的子项，需取得专家出具的书面验收意见或评审意见，视为通过验收，乙方按甲方的要求提供验收必需的所有汇报资料并进行工作成果介绍。</w:t>
      </w:r>
    </w:p>
    <w:p w14:paraId="5046F3A1">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（2）乙方必须于验收前一周派专人将需报送的所有汇报资料、基础资料、过程资料、成果资料及资料清单等送达甲方，经清点资料后签收。</w:t>
      </w:r>
    </w:p>
    <w:p w14:paraId="4CFD470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（3）本项目需取得专家出具的书面验收意见，并且项目成果符合本协议第一条的技术标准及要求。</w:t>
      </w:r>
    </w:p>
    <w:p w14:paraId="2B9A7B5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（4）工作成果审查后，乙方应根据验收意见修改形成正式的工作成果，报送给甲方及配合甲方完成验收工作。</w:t>
      </w:r>
    </w:p>
    <w:p w14:paraId="26FBFDFC">
      <w:pPr>
        <w:spacing w:line="460" w:lineRule="exact"/>
        <w:ind w:firstLine="0" w:firstLineChars="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（5）提交的正式工作成果必须加注甲方名称、乙方名称及加盖乙方公章。</w:t>
      </w:r>
    </w:p>
    <w:p w14:paraId="4E6AA054">
      <w:pPr>
        <w:spacing w:line="460" w:lineRule="exact"/>
        <w:rPr>
          <w:rFonts w:asciiTheme="minorEastAsia" w:hAnsiTheme="minorEastAsia" w:eastAsiaTheme="minorEastAsia" w:cstheme="minorEastAsia"/>
          <w:b/>
          <w:bCs/>
          <w:color w:val="auto"/>
          <w:sz w:val="24"/>
          <w:szCs w:val="24"/>
          <w:highlight w:val="none"/>
          <w:lang w:eastAsia="zh-CN"/>
        </w:rPr>
      </w:pPr>
      <w:r>
        <w:rPr>
          <w:rFonts w:asciiTheme="minorEastAsia" w:hAnsiTheme="minorEastAsia" w:eastAsiaTheme="minorEastAsia" w:cstheme="minorEastAsia"/>
          <w:b/>
          <w:bCs/>
          <w:color w:val="auto"/>
          <w:sz w:val="24"/>
          <w:szCs w:val="24"/>
          <w:highlight w:val="none"/>
          <w:lang w:eastAsia="zh-CN"/>
        </w:rPr>
        <w:t>6</w:t>
      </w:r>
      <w:r>
        <w:rPr>
          <w:rFonts w:hint="eastAsia" w:asciiTheme="minorEastAsia" w:hAnsiTheme="minorEastAsia" w:eastAsiaTheme="minorEastAsia" w:cstheme="minorEastAsia"/>
          <w:b/>
          <w:bCs/>
          <w:color w:val="auto"/>
          <w:sz w:val="24"/>
          <w:szCs w:val="24"/>
          <w:highlight w:val="none"/>
          <w:lang w:eastAsia="zh-CN"/>
        </w:rPr>
        <w:t>、项目报价</w:t>
      </w:r>
    </w:p>
    <w:p w14:paraId="6B95A449">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（1）项目</w:t>
      </w:r>
      <w:r>
        <w:rPr>
          <w:rFonts w:ascii="宋体" w:hAnsi="宋体" w:eastAsia="宋体" w:cs="宋体"/>
          <w:color w:val="auto"/>
          <w:sz w:val="24"/>
          <w:szCs w:val="24"/>
          <w:highlight w:val="none"/>
          <w:lang w:eastAsia="zh-CN"/>
        </w:rPr>
        <w:t>最高限价</w:t>
      </w:r>
      <w:r>
        <w:rPr>
          <w:rFonts w:hint="eastAsia" w:asciiTheme="minorEastAsia" w:hAnsiTheme="minorEastAsia" w:eastAsiaTheme="minorEastAsia" w:cstheme="minorEastAsia"/>
          <w:color w:val="auto"/>
          <w:sz w:val="24"/>
          <w:szCs w:val="24"/>
          <w:highlight w:val="none"/>
          <w:lang w:eastAsia="zh-CN"/>
        </w:rPr>
        <w:t>199.8</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万元。该项目报价包括成交单位完成服务项目的所有费用，包括且不限于：基础资料调查、现场实地调研、方案编制修改、汇报、交通、食宿、所需设备、人员培训、技术支持、文本资料打印、成本、税金、后期项目专家评审费（按甲方标准）、采购代理服务费及不可预见等费用。如中标，采购人不再支付任何费用。</w:t>
      </w:r>
    </w:p>
    <w:p w14:paraId="66CC6254">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（2）项目计价标准</w:t>
      </w:r>
    </w:p>
    <w:p w14:paraId="49E51A3D">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该项目可包含控规调整论证内容、建性详细规划设计（深度为强排方案设计）内容、城市设计技术服务内容中任一子项目或上述子项目的合并项。该项目子项目的计费方式根据2017年的《城市规划设计计费指导意见》修订稿进行计算。计价方式如下：</w:t>
      </w:r>
    </w:p>
    <w:p w14:paraId="752C7B4F">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 控规调整论证内容:控规调整论证计价参照控制性详细规划计价方式进行计算，计费基价为30万元计价,控规调整论证报告按基价的50%收费，最终控规调整内容计价为15万元/个（其中完成专家评审控规调整论证计价为10.5万/个）。多个地块合并调整的，较为复杂的控规调整论证报告按基价30万元/个。</w:t>
      </w:r>
    </w:p>
    <w:p w14:paraId="46838E25">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 修建性详细规划设计（深度为强排方案设计）内容:参照修建性详细规划居住区的收费基价为10万元，强排方案基本属于总平面方案设计深度，按50%标准收费，即按照基价5万元进行计价。</w:t>
      </w:r>
    </w:p>
    <w:p w14:paraId="3FF0F27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 城市设计技术服务内容：参照城市设计中，控制性详细规划、修建性详细规划按其规划设计计费的50％－80％收取。参照控规调整论证内容15万元/个为基数，取值30%－50％收取费用后，则城市设计计费5万元进行计费。</w:t>
      </w:r>
    </w:p>
    <w:p w14:paraId="19919A17">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 控规技术修正技术服务内容：根据工作内容及深度，按控规调整计费的的10％－20％收取。参照控规调整论证内容15万元/个为基数，则技术修正按2万元进行计费。</w:t>
      </w:r>
    </w:p>
    <w:p w14:paraId="01D13150">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⑤其他规划技术服务内容：结合技术服务内容，根据2017年的《城市规划设计计费指导意见》修订稿进行计算。</w:t>
      </w:r>
    </w:p>
    <w:p w14:paraId="515D6C14">
      <w:pPr>
        <w:spacing w:line="460" w:lineRule="exact"/>
        <w:ind w:firstLine="480" w:firstLineChars="200"/>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预估项目价格表</w:t>
      </w:r>
    </w:p>
    <w:tbl>
      <w:tblPr>
        <w:tblStyle w:val="39"/>
        <w:tblW w:w="487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27"/>
        <w:gridCol w:w="2958"/>
        <w:gridCol w:w="1790"/>
        <w:gridCol w:w="1687"/>
        <w:gridCol w:w="1685"/>
      </w:tblGrid>
      <w:tr w14:paraId="31A8A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bottom w:val="single" w:color="auto" w:sz="4" w:space="0"/>
            </w:tcBorders>
            <w:vAlign w:val="center"/>
          </w:tcPr>
          <w:p w14:paraId="080826F2">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序号</w:t>
            </w:r>
          </w:p>
        </w:tc>
        <w:tc>
          <w:tcPr>
            <w:tcW w:w="1634" w:type="pct"/>
            <w:tcBorders>
              <w:bottom w:val="single" w:color="auto" w:sz="4" w:space="0"/>
            </w:tcBorders>
            <w:vAlign w:val="center"/>
          </w:tcPr>
          <w:p w14:paraId="3BCAB6B4">
            <w:pPr>
              <w:spacing w:line="460" w:lineRule="exact"/>
              <w:ind w:left="-107" w:leftChars="-51"/>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项目</w:t>
            </w:r>
          </w:p>
        </w:tc>
        <w:tc>
          <w:tcPr>
            <w:tcW w:w="989" w:type="pct"/>
            <w:vAlign w:val="center"/>
          </w:tcPr>
          <w:p w14:paraId="6ACFF858">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单价</w:t>
            </w:r>
          </w:p>
        </w:tc>
        <w:tc>
          <w:tcPr>
            <w:tcW w:w="932" w:type="pct"/>
            <w:vAlign w:val="center"/>
          </w:tcPr>
          <w:p w14:paraId="477749D2">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预估数量</w:t>
            </w:r>
          </w:p>
        </w:tc>
        <w:tc>
          <w:tcPr>
            <w:tcW w:w="931" w:type="pct"/>
            <w:vAlign w:val="center"/>
          </w:tcPr>
          <w:p w14:paraId="4657CEE3">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小计</w:t>
            </w:r>
          </w:p>
        </w:tc>
      </w:tr>
      <w:tr w14:paraId="534BB4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2EFD52D0">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1634" w:type="pct"/>
            <w:vAlign w:val="center"/>
          </w:tcPr>
          <w:p w14:paraId="475EC0F1">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控规调整论证</w:t>
            </w:r>
          </w:p>
        </w:tc>
        <w:tc>
          <w:tcPr>
            <w:tcW w:w="989" w:type="pct"/>
            <w:vAlign w:val="center"/>
          </w:tcPr>
          <w:p w14:paraId="191CAD0D">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15万元/项</w:t>
            </w:r>
          </w:p>
        </w:tc>
        <w:tc>
          <w:tcPr>
            <w:tcW w:w="932" w:type="pct"/>
            <w:vAlign w:val="center"/>
          </w:tcPr>
          <w:p w14:paraId="7C279AD8">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w:t>
            </w:r>
          </w:p>
        </w:tc>
        <w:tc>
          <w:tcPr>
            <w:tcW w:w="931" w:type="pct"/>
            <w:vAlign w:val="center"/>
          </w:tcPr>
          <w:p w14:paraId="166C497B">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75万元</w:t>
            </w:r>
          </w:p>
        </w:tc>
      </w:tr>
      <w:tr w14:paraId="54EBC7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1A5E0A4A">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1634" w:type="pct"/>
            <w:vAlign w:val="center"/>
          </w:tcPr>
          <w:p w14:paraId="24BD8563">
            <w:pPr>
              <w:spacing w:line="460" w:lineRule="exact"/>
              <w:jc w:val="center"/>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修建性详细规划设计（深度为强排方案设计）</w:t>
            </w:r>
          </w:p>
        </w:tc>
        <w:tc>
          <w:tcPr>
            <w:tcW w:w="989" w:type="pct"/>
            <w:vAlign w:val="center"/>
          </w:tcPr>
          <w:p w14:paraId="15B2EBE7">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5万元/项</w:t>
            </w:r>
          </w:p>
        </w:tc>
        <w:tc>
          <w:tcPr>
            <w:tcW w:w="932" w:type="pct"/>
            <w:vAlign w:val="center"/>
          </w:tcPr>
          <w:p w14:paraId="0C10B498">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w:t>
            </w:r>
          </w:p>
        </w:tc>
        <w:tc>
          <w:tcPr>
            <w:tcW w:w="931" w:type="pct"/>
            <w:vAlign w:val="center"/>
          </w:tcPr>
          <w:p w14:paraId="77ECDD1E">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15万元</w:t>
            </w:r>
          </w:p>
        </w:tc>
      </w:tr>
      <w:tr w14:paraId="443473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74402100">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w:t>
            </w:r>
          </w:p>
        </w:tc>
        <w:tc>
          <w:tcPr>
            <w:tcW w:w="1634" w:type="pct"/>
            <w:vAlign w:val="center"/>
          </w:tcPr>
          <w:p w14:paraId="5B3EF0B0">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城市设计技术服务</w:t>
            </w:r>
          </w:p>
        </w:tc>
        <w:tc>
          <w:tcPr>
            <w:tcW w:w="989" w:type="pct"/>
            <w:vAlign w:val="center"/>
          </w:tcPr>
          <w:p w14:paraId="18A47B2A">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5万/项</w:t>
            </w:r>
          </w:p>
        </w:tc>
        <w:tc>
          <w:tcPr>
            <w:tcW w:w="932" w:type="pct"/>
            <w:vAlign w:val="center"/>
          </w:tcPr>
          <w:p w14:paraId="7915AAF5">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931" w:type="pct"/>
            <w:vAlign w:val="center"/>
          </w:tcPr>
          <w:p w14:paraId="4F4C7BC1">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10万元</w:t>
            </w:r>
          </w:p>
        </w:tc>
      </w:tr>
      <w:tr w14:paraId="7F4731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2B43C8A4">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w:t>
            </w:r>
          </w:p>
        </w:tc>
        <w:tc>
          <w:tcPr>
            <w:tcW w:w="1634" w:type="pct"/>
            <w:vAlign w:val="center"/>
          </w:tcPr>
          <w:p w14:paraId="6275126B">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控规技术修正</w:t>
            </w:r>
          </w:p>
        </w:tc>
        <w:tc>
          <w:tcPr>
            <w:tcW w:w="989" w:type="pct"/>
            <w:vAlign w:val="center"/>
          </w:tcPr>
          <w:p w14:paraId="405080B7">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2万元/项</w:t>
            </w:r>
          </w:p>
        </w:tc>
        <w:tc>
          <w:tcPr>
            <w:tcW w:w="932" w:type="pct"/>
            <w:vAlign w:val="center"/>
          </w:tcPr>
          <w:p w14:paraId="6B66D142">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15</w:t>
            </w:r>
          </w:p>
        </w:tc>
        <w:tc>
          <w:tcPr>
            <w:tcW w:w="931" w:type="pct"/>
            <w:vAlign w:val="center"/>
          </w:tcPr>
          <w:p w14:paraId="6276B694">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30万元</w:t>
            </w:r>
          </w:p>
        </w:tc>
      </w:tr>
      <w:tr w14:paraId="03C16B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693AE8CE">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w:t>
            </w:r>
          </w:p>
        </w:tc>
        <w:tc>
          <w:tcPr>
            <w:tcW w:w="1634" w:type="pct"/>
            <w:vAlign w:val="center"/>
          </w:tcPr>
          <w:p w14:paraId="140209AB">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其他规划服务</w:t>
            </w:r>
          </w:p>
        </w:tc>
        <w:tc>
          <w:tcPr>
            <w:tcW w:w="989" w:type="pct"/>
            <w:vAlign w:val="center"/>
          </w:tcPr>
          <w:p w14:paraId="2D39AF00">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w:t>
            </w:r>
          </w:p>
        </w:tc>
        <w:tc>
          <w:tcPr>
            <w:tcW w:w="932" w:type="pct"/>
            <w:vAlign w:val="center"/>
          </w:tcPr>
          <w:p w14:paraId="18FB7097">
            <w:pPr>
              <w:spacing w:line="460" w:lineRule="exact"/>
              <w:jc w:val="center"/>
              <w:rPr>
                <w:rFonts w:asciiTheme="minorEastAsia" w:hAnsiTheme="minorEastAsia" w:eastAsiaTheme="minorEastAsia" w:cstheme="minorEastAsia"/>
                <w:color w:val="auto"/>
                <w:sz w:val="24"/>
                <w:szCs w:val="24"/>
                <w:highlight w:val="none"/>
              </w:rPr>
            </w:pPr>
          </w:p>
        </w:tc>
        <w:tc>
          <w:tcPr>
            <w:tcW w:w="931" w:type="pct"/>
            <w:vAlign w:val="center"/>
          </w:tcPr>
          <w:p w14:paraId="011AFF51">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69.8</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万元</w:t>
            </w:r>
            <w:bookmarkStart w:id="4" w:name="_GoBack"/>
            <w:bookmarkEnd w:id="4"/>
          </w:p>
        </w:tc>
      </w:tr>
      <w:tr w14:paraId="7A4DB8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12" w:type="pct"/>
            <w:tcBorders>
              <w:top w:val="single" w:color="auto" w:sz="4" w:space="0"/>
              <w:bottom w:val="single" w:color="auto" w:sz="4" w:space="0"/>
            </w:tcBorders>
            <w:vAlign w:val="center"/>
          </w:tcPr>
          <w:p w14:paraId="2E3AFDF1">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总计</w:t>
            </w:r>
          </w:p>
        </w:tc>
        <w:tc>
          <w:tcPr>
            <w:tcW w:w="1634" w:type="pct"/>
            <w:vAlign w:val="center"/>
          </w:tcPr>
          <w:p w14:paraId="282CC72C">
            <w:pPr>
              <w:spacing w:line="460" w:lineRule="exact"/>
              <w:jc w:val="center"/>
              <w:rPr>
                <w:rFonts w:asciiTheme="minorEastAsia" w:hAnsiTheme="minorEastAsia" w:eastAsiaTheme="minorEastAsia" w:cstheme="minorEastAsia"/>
                <w:color w:val="auto"/>
                <w:sz w:val="24"/>
                <w:szCs w:val="24"/>
                <w:highlight w:val="none"/>
              </w:rPr>
            </w:pPr>
          </w:p>
        </w:tc>
        <w:tc>
          <w:tcPr>
            <w:tcW w:w="989" w:type="pct"/>
            <w:vAlign w:val="center"/>
          </w:tcPr>
          <w:p w14:paraId="58E1BB83">
            <w:pPr>
              <w:spacing w:line="460" w:lineRule="exact"/>
              <w:jc w:val="center"/>
              <w:rPr>
                <w:rFonts w:asciiTheme="minorEastAsia" w:hAnsiTheme="minorEastAsia" w:eastAsiaTheme="minorEastAsia" w:cstheme="minorEastAsia"/>
                <w:color w:val="auto"/>
                <w:sz w:val="24"/>
                <w:szCs w:val="24"/>
                <w:highlight w:val="none"/>
              </w:rPr>
            </w:pPr>
          </w:p>
        </w:tc>
        <w:tc>
          <w:tcPr>
            <w:tcW w:w="932" w:type="pct"/>
            <w:vAlign w:val="center"/>
          </w:tcPr>
          <w:p w14:paraId="66E36E96">
            <w:pPr>
              <w:spacing w:line="460" w:lineRule="exact"/>
              <w:jc w:val="center"/>
              <w:rPr>
                <w:rFonts w:asciiTheme="minorEastAsia" w:hAnsiTheme="minorEastAsia" w:eastAsiaTheme="minorEastAsia" w:cstheme="minorEastAsia"/>
                <w:color w:val="auto"/>
                <w:sz w:val="24"/>
                <w:szCs w:val="24"/>
                <w:highlight w:val="none"/>
              </w:rPr>
            </w:pPr>
          </w:p>
        </w:tc>
        <w:tc>
          <w:tcPr>
            <w:tcW w:w="931" w:type="pct"/>
            <w:vAlign w:val="center"/>
          </w:tcPr>
          <w:p w14:paraId="3E16587E">
            <w:pPr>
              <w:spacing w:line="460" w:lineRule="exact"/>
              <w:jc w:val="center"/>
              <w:rPr>
                <w:rFonts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199.8</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万元</w:t>
            </w:r>
          </w:p>
        </w:tc>
      </w:tr>
    </w:tbl>
    <w:p w14:paraId="129CD7F3">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（3）项目总费用支付方式</w:t>
      </w:r>
    </w:p>
    <w:p w14:paraId="26154DB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《2026年南昌市红谷滩区部分用地控规调整及规划服务》项目费用按分项单价的计价方式进行累加计算。当年度所有子项目累计总额达到中标总价，最终支付总费用按中标价进行支付。</w:t>
      </w:r>
    </w:p>
    <w:p w14:paraId="1A53F194">
      <w:pPr>
        <w:spacing w:line="460" w:lineRule="exact"/>
        <w:rPr>
          <w:rFonts w:asciiTheme="minorEastAsia" w:hAnsiTheme="minorEastAsia" w:eastAsiaTheme="minorEastAsia" w:cstheme="minorEastAsia"/>
          <w:b/>
          <w:bCs/>
          <w:color w:val="auto"/>
          <w:sz w:val="24"/>
          <w:szCs w:val="24"/>
          <w:highlight w:val="none"/>
          <w:lang w:eastAsia="zh-CN"/>
        </w:rPr>
      </w:pPr>
      <w:r>
        <w:rPr>
          <w:rFonts w:asciiTheme="minorEastAsia" w:hAnsiTheme="minorEastAsia" w:eastAsiaTheme="minorEastAsia" w:cstheme="minorEastAsia"/>
          <w:b/>
          <w:bCs/>
          <w:color w:val="auto"/>
          <w:sz w:val="24"/>
          <w:szCs w:val="24"/>
          <w:highlight w:val="none"/>
          <w:lang w:eastAsia="zh-CN"/>
        </w:rPr>
        <w:t>7</w:t>
      </w:r>
      <w:r>
        <w:rPr>
          <w:rFonts w:hint="eastAsia" w:asciiTheme="minorEastAsia" w:hAnsiTheme="minorEastAsia" w:eastAsiaTheme="minorEastAsia" w:cstheme="minorEastAsia"/>
          <w:b/>
          <w:bCs/>
          <w:color w:val="auto"/>
          <w:sz w:val="24"/>
          <w:szCs w:val="24"/>
          <w:highlight w:val="none"/>
          <w:lang w:eastAsia="zh-CN"/>
        </w:rPr>
        <w:t>、关于规划成果的知识产权</w:t>
      </w:r>
    </w:p>
    <w:p w14:paraId="21676ACC">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投标人向采购人提供的阶段性研究成果（包括但不限于本合同约定的初步方案、正式方案成果及投标人受采购人委托所研究的文本、图纸、文字说明及其他资料等）及最终成果在采购人按阶段向投标人支付合同费用后，该阶段研究成果的知识产权（包括但不限于专利权、著作权）及相关财产权利均归属于采购人。</w:t>
      </w:r>
    </w:p>
    <w:p w14:paraId="1778D82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2）投标人除依法保留备份存档外，不得再留存任何副本。未经采购人许可，投标人不得将前述研究成果用于本研究项目之外的其他项目，亦不得向其他组织或个人泄露、转让、交换、赠与采购人所拥有的研究成果和相关资料，否则，投标人除停止侵害外，每次应当向采购人支付项目合同额的 20%作为违约金，并据实赔偿采购人损失。</w:t>
      </w:r>
    </w:p>
    <w:p w14:paraId="1208DA96">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（3）投标人在事先取得采购人同意的情况下，可以将该研究成果运用在投标人的市场宣传、学术讨论及参加相关奖项评选等活动中。</w:t>
      </w:r>
    </w:p>
    <w:p w14:paraId="78B6697B">
      <w:pPr>
        <w:spacing w:line="460" w:lineRule="exact"/>
        <w:ind w:firstLine="480" w:firstLineChars="200"/>
        <w:rPr>
          <w:rFonts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（4）投标人应保证其提交的研究成果不侵犯任何其他第三人的知识产权或其它合法权利，否则应由投标人承担所有责任，并赔偿采购人由此造成的所有损失。</w:t>
      </w:r>
    </w:p>
    <w:p w14:paraId="08F98E58">
      <w:pPr>
        <w:spacing w:line="460" w:lineRule="exact"/>
        <w:rPr>
          <w:rFonts w:hint="eastAsia" w:asciiTheme="minorEastAsia" w:hAnsiTheme="minorEastAsia" w:eastAsiaTheme="minorEastAsia" w:cstheme="minorEastAsia"/>
          <w:color w:val="auto"/>
          <w:spacing w:val="2"/>
          <w:sz w:val="24"/>
          <w:szCs w:val="24"/>
          <w:highlight w:val="none"/>
          <w:lang w:val="en-US" w:eastAsia="zh-CN"/>
        </w:rPr>
      </w:pPr>
      <w:r>
        <w:rPr>
          <w:rFonts w:asciiTheme="minorEastAsia" w:hAnsiTheme="minorEastAsia" w:eastAsiaTheme="minorEastAsia" w:cstheme="minorEastAsia"/>
          <w:b/>
          <w:bCs/>
          <w:color w:val="auto"/>
          <w:sz w:val="24"/>
          <w:szCs w:val="24"/>
          <w:highlight w:val="none"/>
          <w:lang w:eastAsia="zh-CN"/>
        </w:rPr>
        <w:t>8</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人员</w:t>
      </w:r>
      <w:r>
        <w:rPr>
          <w:rFonts w:hint="eastAsia" w:asciiTheme="minorEastAsia" w:hAnsiTheme="minorEastAsia" w:eastAsiaTheme="minorEastAsia" w:cstheme="minorEastAsia"/>
          <w:b/>
          <w:bCs/>
          <w:color w:val="auto"/>
          <w:sz w:val="24"/>
          <w:szCs w:val="24"/>
          <w:highlight w:val="none"/>
          <w:lang w:eastAsia="zh-CN"/>
        </w:rPr>
        <w:t>要求：</w:t>
      </w:r>
      <w:r>
        <w:rPr>
          <w:rFonts w:hint="eastAsia" w:asciiTheme="minorEastAsia" w:hAnsiTheme="minorEastAsia" w:eastAsiaTheme="minorEastAsia" w:cstheme="minorEastAsia"/>
          <w:color w:val="auto"/>
          <w:spacing w:val="2"/>
          <w:sz w:val="24"/>
          <w:szCs w:val="24"/>
          <w:highlight w:val="none"/>
          <w:lang w:eastAsia="zh-CN"/>
        </w:rPr>
        <w:t>中标人拟派本项目人员须包含项目负责人、技术负责人和专业</w:t>
      </w:r>
      <w:r>
        <w:rPr>
          <w:rFonts w:hint="eastAsia" w:asciiTheme="minorEastAsia" w:hAnsiTheme="minorEastAsia" w:eastAsiaTheme="minorEastAsia" w:cstheme="minorEastAsia"/>
          <w:color w:val="auto"/>
          <w:spacing w:val="2"/>
          <w:sz w:val="24"/>
          <w:szCs w:val="24"/>
          <w:highlight w:val="none"/>
          <w:lang w:val="en-US" w:eastAsia="zh-CN"/>
        </w:rPr>
        <w:t>团队</w:t>
      </w:r>
      <w:r>
        <w:rPr>
          <w:rFonts w:hint="eastAsia" w:asciiTheme="minorEastAsia" w:hAnsiTheme="minorEastAsia" w:eastAsiaTheme="minorEastAsia" w:cstheme="minorEastAsia"/>
          <w:color w:val="auto"/>
          <w:spacing w:val="2"/>
          <w:sz w:val="24"/>
          <w:szCs w:val="24"/>
          <w:highlight w:val="none"/>
          <w:lang w:eastAsia="zh-CN"/>
        </w:rPr>
        <w:t>人员，</w:t>
      </w:r>
      <w:r>
        <w:rPr>
          <w:rFonts w:hint="eastAsia" w:asciiTheme="minorEastAsia" w:hAnsiTheme="minorEastAsia" w:eastAsiaTheme="minorEastAsia" w:cstheme="minorEastAsia"/>
          <w:color w:val="auto"/>
          <w:spacing w:val="2"/>
          <w:sz w:val="24"/>
          <w:szCs w:val="24"/>
          <w:highlight w:val="none"/>
          <w:lang w:val="en-US" w:eastAsia="zh-CN"/>
        </w:rPr>
        <w:t>其中</w:t>
      </w:r>
      <w:r>
        <w:rPr>
          <w:rFonts w:hint="eastAsia" w:asciiTheme="minorEastAsia" w:hAnsiTheme="minorEastAsia" w:eastAsiaTheme="minorEastAsia" w:cstheme="minorEastAsia"/>
          <w:color w:val="auto"/>
          <w:spacing w:val="2"/>
          <w:sz w:val="24"/>
          <w:szCs w:val="24"/>
          <w:highlight w:val="none"/>
          <w:lang w:eastAsia="zh-CN"/>
        </w:rPr>
        <w:t>项目负责人、技术负责人应具备</w:t>
      </w:r>
      <w:r>
        <w:rPr>
          <w:rFonts w:hint="eastAsia" w:asciiTheme="minorEastAsia" w:hAnsiTheme="minorEastAsia" w:eastAsiaTheme="minorEastAsia" w:cstheme="minorEastAsia"/>
          <w:color w:val="auto"/>
          <w:sz w:val="24"/>
          <w:szCs w:val="24"/>
          <w:highlight w:val="none"/>
          <w:lang w:eastAsia="zh-CN"/>
        </w:rPr>
        <w:t>城乡（市）规划或国土空间规划</w:t>
      </w:r>
      <w:r>
        <w:rPr>
          <w:rFonts w:hint="eastAsia" w:asciiTheme="minorEastAsia" w:hAnsiTheme="minorEastAsia" w:eastAsiaTheme="minorEastAsia" w:cstheme="minorEastAsia"/>
          <w:color w:val="auto"/>
          <w:sz w:val="24"/>
          <w:szCs w:val="24"/>
          <w:highlight w:val="none"/>
          <w:lang w:val="en-US" w:eastAsia="zh-CN"/>
        </w:rPr>
        <w:t>初级</w:t>
      </w:r>
      <w:r>
        <w:rPr>
          <w:rFonts w:hint="eastAsia" w:asciiTheme="minorEastAsia" w:hAnsiTheme="minorEastAsia" w:eastAsiaTheme="minorEastAsia" w:cstheme="minorEastAsia"/>
          <w:color w:val="auto"/>
          <w:sz w:val="24"/>
          <w:szCs w:val="24"/>
          <w:highlight w:val="none"/>
          <w:lang w:eastAsia="zh-CN"/>
        </w:rPr>
        <w:t>工程师职称，</w:t>
      </w:r>
      <w:r>
        <w:rPr>
          <w:rFonts w:hint="eastAsia" w:asciiTheme="minorEastAsia" w:hAnsiTheme="minorEastAsia" w:eastAsiaTheme="minorEastAsia" w:cstheme="minorEastAsia"/>
          <w:color w:val="auto"/>
          <w:sz w:val="24"/>
          <w:szCs w:val="24"/>
          <w:highlight w:val="none"/>
          <w:lang w:val="en-US" w:eastAsia="zh-CN"/>
        </w:rPr>
        <w:t>专业团队人员需具备</w:t>
      </w:r>
      <w:r>
        <w:rPr>
          <w:rFonts w:hint="eastAsia" w:asciiTheme="minorEastAsia" w:hAnsiTheme="minorEastAsia" w:eastAsiaTheme="minorEastAsia" w:cstheme="minorEastAsia"/>
          <w:color w:val="auto"/>
          <w:spacing w:val="2"/>
          <w:sz w:val="24"/>
          <w:szCs w:val="24"/>
          <w:highlight w:val="none"/>
          <w:lang w:eastAsia="zh-CN"/>
        </w:rPr>
        <w:t>相关专业职称，中标人拟派本项目的人员，须为投标文件中提供的人员，未经采购人同意不得随意更换。</w:t>
      </w:r>
    </w:p>
    <w:p w14:paraId="44B87D78">
      <w:pPr>
        <w:spacing w:line="460" w:lineRule="exact"/>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9</w:t>
      </w:r>
      <w:r>
        <w:rPr>
          <w:rFonts w:hint="eastAsia" w:asciiTheme="minorEastAsia" w:hAnsiTheme="minorEastAsia" w:eastAsiaTheme="minorEastAsia" w:cstheme="minorEastAsia"/>
          <w:b/>
          <w:bCs/>
          <w:color w:val="auto"/>
          <w:sz w:val="24"/>
          <w:szCs w:val="24"/>
          <w:highlight w:val="none"/>
          <w:lang w:eastAsia="zh-CN"/>
        </w:rPr>
        <w:t>、服务要求：</w:t>
      </w:r>
      <w:r>
        <w:rPr>
          <w:rFonts w:hint="eastAsia" w:asciiTheme="minorEastAsia" w:hAnsiTheme="minorEastAsia" w:eastAsiaTheme="minorEastAsia" w:cstheme="minorEastAsia"/>
          <w:color w:val="auto"/>
          <w:spacing w:val="2"/>
          <w:sz w:val="24"/>
          <w:szCs w:val="24"/>
          <w:highlight w:val="none"/>
          <w:lang w:eastAsia="zh-CN"/>
        </w:rPr>
        <w:t>服务期间如存在工作态度和质量问题，采购人有权要求供应商立即进行更换。中标人需提供现场及远程等多种技术服务，以现场服务为主。对于采购人提出的服务请求，供应商需在24小时内（含24小时）</w:t>
      </w:r>
      <w:r>
        <w:rPr>
          <w:rFonts w:hint="eastAsia" w:asciiTheme="minorEastAsia" w:hAnsiTheme="minorEastAsia" w:eastAsiaTheme="minorEastAsia" w:cstheme="minorEastAsia"/>
          <w:color w:val="auto"/>
          <w:spacing w:val="2"/>
          <w:sz w:val="24"/>
          <w:szCs w:val="24"/>
          <w:highlight w:val="none"/>
          <w:lang w:val="en-US" w:eastAsia="zh-CN"/>
        </w:rPr>
        <w:t>响应。</w:t>
      </w:r>
    </w:p>
    <w:p w14:paraId="31D25C05">
      <w:pPr>
        <w:spacing w:line="460" w:lineRule="exact"/>
        <w:rPr>
          <w:rFonts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val="en-US" w:eastAsia="zh-CN"/>
        </w:rPr>
        <w:t>10</w:t>
      </w:r>
      <w:r>
        <w:rPr>
          <w:rFonts w:hint="eastAsia" w:asciiTheme="minorEastAsia" w:hAnsiTheme="minorEastAsia" w:eastAsiaTheme="minorEastAsia" w:cstheme="minorEastAsia"/>
          <w:b/>
          <w:bCs/>
          <w:color w:val="auto"/>
          <w:sz w:val="24"/>
          <w:szCs w:val="24"/>
          <w:highlight w:val="none"/>
          <w:lang w:eastAsia="zh-CN"/>
        </w:rPr>
        <w:t>、争议解决方式</w:t>
      </w:r>
    </w:p>
    <w:p w14:paraId="684244D7">
      <w:pPr>
        <w:spacing w:line="480" w:lineRule="exact"/>
        <w:rPr>
          <w:rFonts w:hint="eastAsia" w:ascii="宋体" w:hAnsi="宋体" w:cs="宋体"/>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因履行合同发生争议，应由各方通过友好协商解决。协商不成的，向采购人所在地人民法院提起诉讼。</w:t>
      </w:r>
    </w:p>
    <w:sectPr>
      <w:headerReference r:id="rId3" w:type="default"/>
      <w:footerReference r:id="rId4" w:type="default"/>
      <w:footerReference r:id="rId5" w:type="even"/>
      <w:pgSz w:w="11906" w:h="16838"/>
      <w:pgMar w:top="1247" w:right="1417" w:bottom="1702" w:left="141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FangSong_GB2312">
    <w:altName w:val="仿宋"/>
    <w:panose1 w:val="02010609060101010101"/>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B82AE">
    <w:pPr>
      <w:pStyle w:val="23"/>
      <w:jc w:val="center"/>
    </w:pPr>
    <w:r>
      <w:fldChar w:fldCharType="begin"/>
    </w:r>
    <w:r>
      <w:instrText xml:space="preserve"> PAGE   \* MERGEFORMAT </w:instrText>
    </w:r>
    <w:r>
      <w:fldChar w:fldCharType="separate"/>
    </w:r>
    <w:r>
      <w:rPr>
        <w:lang w:val="zh-CN"/>
      </w:rPr>
      <w:t>2</w:t>
    </w:r>
    <w:r>
      <w:rPr>
        <w:lang w:val="zh-CN"/>
      </w:rPr>
      <w:fldChar w:fldCharType="end"/>
    </w:r>
  </w:p>
  <w:p w14:paraId="55F86E3A">
    <w:pPr>
      <w:pStyle w:val="2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ABC26">
    <w:pPr>
      <w:pStyle w:val="23"/>
      <w:framePr w:wrap="around" w:vAnchor="text" w:hAnchor="margin" w:xAlign="center" w:y="1"/>
      <w:rPr>
        <w:rStyle w:val="43"/>
      </w:rPr>
    </w:pPr>
    <w:r>
      <w:fldChar w:fldCharType="begin"/>
    </w:r>
    <w:r>
      <w:rPr>
        <w:rStyle w:val="43"/>
      </w:rPr>
      <w:instrText xml:space="preserve">PAGE  </w:instrText>
    </w:r>
    <w:r>
      <w:fldChar w:fldCharType="end"/>
    </w:r>
  </w:p>
  <w:p w14:paraId="56C94DD3">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235D3">
    <w:pPr>
      <w:pStyle w:val="2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5"/>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YjMxMTA5ZTE1MTYwZTliMTJkYzI3ODFkMTYyODBhZGEifQ=="/>
    <w:docVar w:name="KSO_WPS_MARK_KEY" w:val="c96d8c1a-7b6e-49b6-b3ae-5d045768bc9a"/>
  </w:docVars>
  <w:rsids>
    <w:rsidRoot w:val="00172A27"/>
    <w:rsid w:val="00000569"/>
    <w:rsid w:val="00000BAA"/>
    <w:rsid w:val="00000C4F"/>
    <w:rsid w:val="00001317"/>
    <w:rsid w:val="000030BF"/>
    <w:rsid w:val="00003F35"/>
    <w:rsid w:val="00004266"/>
    <w:rsid w:val="000042DA"/>
    <w:rsid w:val="00004CF8"/>
    <w:rsid w:val="00004F43"/>
    <w:rsid w:val="00005D32"/>
    <w:rsid w:val="00006BAC"/>
    <w:rsid w:val="00007B8C"/>
    <w:rsid w:val="00010DE6"/>
    <w:rsid w:val="000126C4"/>
    <w:rsid w:val="000133D3"/>
    <w:rsid w:val="0001341C"/>
    <w:rsid w:val="00015D57"/>
    <w:rsid w:val="00017DA6"/>
    <w:rsid w:val="00021193"/>
    <w:rsid w:val="00023402"/>
    <w:rsid w:val="000248EC"/>
    <w:rsid w:val="00024F42"/>
    <w:rsid w:val="00026A94"/>
    <w:rsid w:val="00026DAF"/>
    <w:rsid w:val="000272CF"/>
    <w:rsid w:val="00030396"/>
    <w:rsid w:val="00032AD0"/>
    <w:rsid w:val="000346F1"/>
    <w:rsid w:val="000354BB"/>
    <w:rsid w:val="00036427"/>
    <w:rsid w:val="00036E51"/>
    <w:rsid w:val="0003712C"/>
    <w:rsid w:val="000410AC"/>
    <w:rsid w:val="0004139A"/>
    <w:rsid w:val="000422C2"/>
    <w:rsid w:val="00042DAF"/>
    <w:rsid w:val="00043708"/>
    <w:rsid w:val="00043B3B"/>
    <w:rsid w:val="000448B3"/>
    <w:rsid w:val="00046963"/>
    <w:rsid w:val="00050DB8"/>
    <w:rsid w:val="000510E6"/>
    <w:rsid w:val="000520FB"/>
    <w:rsid w:val="000532CD"/>
    <w:rsid w:val="0005372A"/>
    <w:rsid w:val="00054079"/>
    <w:rsid w:val="0005410D"/>
    <w:rsid w:val="00054B4B"/>
    <w:rsid w:val="00057086"/>
    <w:rsid w:val="000576CD"/>
    <w:rsid w:val="00057F56"/>
    <w:rsid w:val="00060E2B"/>
    <w:rsid w:val="0006129A"/>
    <w:rsid w:val="00061311"/>
    <w:rsid w:val="00061F80"/>
    <w:rsid w:val="00062279"/>
    <w:rsid w:val="00063A90"/>
    <w:rsid w:val="00065F84"/>
    <w:rsid w:val="000664E8"/>
    <w:rsid w:val="00066EC5"/>
    <w:rsid w:val="000673D6"/>
    <w:rsid w:val="000676F1"/>
    <w:rsid w:val="00067C22"/>
    <w:rsid w:val="0007092F"/>
    <w:rsid w:val="00071DCC"/>
    <w:rsid w:val="00073C10"/>
    <w:rsid w:val="0007511D"/>
    <w:rsid w:val="000751AD"/>
    <w:rsid w:val="0007641A"/>
    <w:rsid w:val="000770A2"/>
    <w:rsid w:val="000774ED"/>
    <w:rsid w:val="00077716"/>
    <w:rsid w:val="00077DA2"/>
    <w:rsid w:val="000803C5"/>
    <w:rsid w:val="00081071"/>
    <w:rsid w:val="000815E3"/>
    <w:rsid w:val="00084BD4"/>
    <w:rsid w:val="00084D2D"/>
    <w:rsid w:val="000859AC"/>
    <w:rsid w:val="00085C01"/>
    <w:rsid w:val="000878D0"/>
    <w:rsid w:val="00087AA0"/>
    <w:rsid w:val="00087B64"/>
    <w:rsid w:val="00087D72"/>
    <w:rsid w:val="000906F9"/>
    <w:rsid w:val="000908B2"/>
    <w:rsid w:val="000908C7"/>
    <w:rsid w:val="000910D9"/>
    <w:rsid w:val="000917F4"/>
    <w:rsid w:val="00094055"/>
    <w:rsid w:val="0009473C"/>
    <w:rsid w:val="00095423"/>
    <w:rsid w:val="000A479C"/>
    <w:rsid w:val="000A53F7"/>
    <w:rsid w:val="000A55A8"/>
    <w:rsid w:val="000A5623"/>
    <w:rsid w:val="000A566C"/>
    <w:rsid w:val="000A58AC"/>
    <w:rsid w:val="000A6CE4"/>
    <w:rsid w:val="000A7B3B"/>
    <w:rsid w:val="000A7C53"/>
    <w:rsid w:val="000A7D19"/>
    <w:rsid w:val="000B2BAA"/>
    <w:rsid w:val="000B37E4"/>
    <w:rsid w:val="000B49D9"/>
    <w:rsid w:val="000B4B48"/>
    <w:rsid w:val="000B5CD4"/>
    <w:rsid w:val="000C089E"/>
    <w:rsid w:val="000C0ADD"/>
    <w:rsid w:val="000C12E4"/>
    <w:rsid w:val="000C196D"/>
    <w:rsid w:val="000C1D83"/>
    <w:rsid w:val="000C1F6D"/>
    <w:rsid w:val="000C269C"/>
    <w:rsid w:val="000C2FD6"/>
    <w:rsid w:val="000C2FD9"/>
    <w:rsid w:val="000C490E"/>
    <w:rsid w:val="000C72E5"/>
    <w:rsid w:val="000C7BF8"/>
    <w:rsid w:val="000D03E3"/>
    <w:rsid w:val="000D1CAA"/>
    <w:rsid w:val="000D1EB1"/>
    <w:rsid w:val="000D3FDF"/>
    <w:rsid w:val="000D4655"/>
    <w:rsid w:val="000D46FA"/>
    <w:rsid w:val="000D4AAF"/>
    <w:rsid w:val="000D4CE3"/>
    <w:rsid w:val="000D6F9F"/>
    <w:rsid w:val="000E06E5"/>
    <w:rsid w:val="000E10F9"/>
    <w:rsid w:val="000E25F1"/>
    <w:rsid w:val="000E29F0"/>
    <w:rsid w:val="000E2F76"/>
    <w:rsid w:val="000E39C2"/>
    <w:rsid w:val="000E40D2"/>
    <w:rsid w:val="000E60E7"/>
    <w:rsid w:val="000E66C4"/>
    <w:rsid w:val="000E678A"/>
    <w:rsid w:val="000E745D"/>
    <w:rsid w:val="000E74A2"/>
    <w:rsid w:val="000F0B53"/>
    <w:rsid w:val="000F0F9E"/>
    <w:rsid w:val="000F1707"/>
    <w:rsid w:val="000F1B9F"/>
    <w:rsid w:val="000F233E"/>
    <w:rsid w:val="000F5121"/>
    <w:rsid w:val="000F5ECC"/>
    <w:rsid w:val="000F6394"/>
    <w:rsid w:val="000F6DF4"/>
    <w:rsid w:val="0010022E"/>
    <w:rsid w:val="00100A68"/>
    <w:rsid w:val="00101539"/>
    <w:rsid w:val="00101545"/>
    <w:rsid w:val="00102471"/>
    <w:rsid w:val="0010328D"/>
    <w:rsid w:val="00104098"/>
    <w:rsid w:val="001049AF"/>
    <w:rsid w:val="00104CED"/>
    <w:rsid w:val="00104D12"/>
    <w:rsid w:val="00105372"/>
    <w:rsid w:val="001065DA"/>
    <w:rsid w:val="001079F2"/>
    <w:rsid w:val="00107A24"/>
    <w:rsid w:val="001101FC"/>
    <w:rsid w:val="0011147D"/>
    <w:rsid w:val="0011182D"/>
    <w:rsid w:val="00111909"/>
    <w:rsid w:val="00111E37"/>
    <w:rsid w:val="00112576"/>
    <w:rsid w:val="0011295A"/>
    <w:rsid w:val="00114625"/>
    <w:rsid w:val="00115EFC"/>
    <w:rsid w:val="00115F7B"/>
    <w:rsid w:val="0011776A"/>
    <w:rsid w:val="00117C38"/>
    <w:rsid w:val="0012028B"/>
    <w:rsid w:val="00121444"/>
    <w:rsid w:val="00121C4A"/>
    <w:rsid w:val="00121F3F"/>
    <w:rsid w:val="00124B22"/>
    <w:rsid w:val="0012549A"/>
    <w:rsid w:val="00125D06"/>
    <w:rsid w:val="001263A4"/>
    <w:rsid w:val="00126BC5"/>
    <w:rsid w:val="001272A8"/>
    <w:rsid w:val="0013121E"/>
    <w:rsid w:val="00131338"/>
    <w:rsid w:val="00131361"/>
    <w:rsid w:val="00131AEA"/>
    <w:rsid w:val="0013245C"/>
    <w:rsid w:val="00133621"/>
    <w:rsid w:val="0013363E"/>
    <w:rsid w:val="00133EA5"/>
    <w:rsid w:val="00134353"/>
    <w:rsid w:val="00135A0C"/>
    <w:rsid w:val="00136422"/>
    <w:rsid w:val="00136A4A"/>
    <w:rsid w:val="00136EA8"/>
    <w:rsid w:val="00140873"/>
    <w:rsid w:val="00141380"/>
    <w:rsid w:val="00141DEF"/>
    <w:rsid w:val="00142C92"/>
    <w:rsid w:val="001439D7"/>
    <w:rsid w:val="001449BD"/>
    <w:rsid w:val="00145040"/>
    <w:rsid w:val="00145CDF"/>
    <w:rsid w:val="00147343"/>
    <w:rsid w:val="0014743D"/>
    <w:rsid w:val="001475E1"/>
    <w:rsid w:val="00147CC5"/>
    <w:rsid w:val="001508E9"/>
    <w:rsid w:val="00151056"/>
    <w:rsid w:val="0015121D"/>
    <w:rsid w:val="00151F4F"/>
    <w:rsid w:val="0015329B"/>
    <w:rsid w:val="00155888"/>
    <w:rsid w:val="00156592"/>
    <w:rsid w:val="00156CCE"/>
    <w:rsid w:val="00157766"/>
    <w:rsid w:val="00157D10"/>
    <w:rsid w:val="00157E3A"/>
    <w:rsid w:val="001602D3"/>
    <w:rsid w:val="00160965"/>
    <w:rsid w:val="00161BD1"/>
    <w:rsid w:val="00161F14"/>
    <w:rsid w:val="00162574"/>
    <w:rsid w:val="00162F81"/>
    <w:rsid w:val="00163029"/>
    <w:rsid w:val="00163509"/>
    <w:rsid w:val="00163B5C"/>
    <w:rsid w:val="001653C3"/>
    <w:rsid w:val="001666A5"/>
    <w:rsid w:val="00166F9D"/>
    <w:rsid w:val="00167B8A"/>
    <w:rsid w:val="00167C78"/>
    <w:rsid w:val="00167FC0"/>
    <w:rsid w:val="0017030C"/>
    <w:rsid w:val="00170C2A"/>
    <w:rsid w:val="00170D59"/>
    <w:rsid w:val="00171200"/>
    <w:rsid w:val="00171A49"/>
    <w:rsid w:val="001720FE"/>
    <w:rsid w:val="00172213"/>
    <w:rsid w:val="00172A27"/>
    <w:rsid w:val="00173BE8"/>
    <w:rsid w:val="00175195"/>
    <w:rsid w:val="00175D7B"/>
    <w:rsid w:val="001774C0"/>
    <w:rsid w:val="001803D7"/>
    <w:rsid w:val="0018123B"/>
    <w:rsid w:val="001817E6"/>
    <w:rsid w:val="00182980"/>
    <w:rsid w:val="00183EE7"/>
    <w:rsid w:val="00186E9D"/>
    <w:rsid w:val="00187836"/>
    <w:rsid w:val="0019019A"/>
    <w:rsid w:val="00190AB8"/>
    <w:rsid w:val="00192579"/>
    <w:rsid w:val="00193623"/>
    <w:rsid w:val="00193687"/>
    <w:rsid w:val="00196560"/>
    <w:rsid w:val="0019705B"/>
    <w:rsid w:val="0019721E"/>
    <w:rsid w:val="00197BAD"/>
    <w:rsid w:val="001A0D97"/>
    <w:rsid w:val="001A0DD8"/>
    <w:rsid w:val="001A17F4"/>
    <w:rsid w:val="001A3B2F"/>
    <w:rsid w:val="001A4593"/>
    <w:rsid w:val="001A4AC0"/>
    <w:rsid w:val="001A5421"/>
    <w:rsid w:val="001A67C6"/>
    <w:rsid w:val="001A6C4F"/>
    <w:rsid w:val="001A7BE5"/>
    <w:rsid w:val="001B00F2"/>
    <w:rsid w:val="001B1170"/>
    <w:rsid w:val="001B134C"/>
    <w:rsid w:val="001B36B5"/>
    <w:rsid w:val="001B3979"/>
    <w:rsid w:val="001B3C82"/>
    <w:rsid w:val="001B3FCA"/>
    <w:rsid w:val="001B4AFA"/>
    <w:rsid w:val="001B6AD2"/>
    <w:rsid w:val="001C023E"/>
    <w:rsid w:val="001C16BA"/>
    <w:rsid w:val="001C23DA"/>
    <w:rsid w:val="001C246D"/>
    <w:rsid w:val="001C247A"/>
    <w:rsid w:val="001C60A3"/>
    <w:rsid w:val="001C69A3"/>
    <w:rsid w:val="001D0A6D"/>
    <w:rsid w:val="001D1555"/>
    <w:rsid w:val="001D1F42"/>
    <w:rsid w:val="001D362F"/>
    <w:rsid w:val="001D41BD"/>
    <w:rsid w:val="001D799C"/>
    <w:rsid w:val="001E0BDF"/>
    <w:rsid w:val="001E0C9E"/>
    <w:rsid w:val="001E1813"/>
    <w:rsid w:val="001E1D9C"/>
    <w:rsid w:val="001E2185"/>
    <w:rsid w:val="001E26F6"/>
    <w:rsid w:val="001E2D55"/>
    <w:rsid w:val="001E2F19"/>
    <w:rsid w:val="001E4165"/>
    <w:rsid w:val="001E4616"/>
    <w:rsid w:val="001E47E1"/>
    <w:rsid w:val="001E5426"/>
    <w:rsid w:val="001E5451"/>
    <w:rsid w:val="001E6BF0"/>
    <w:rsid w:val="001E7B92"/>
    <w:rsid w:val="001F0763"/>
    <w:rsid w:val="001F1164"/>
    <w:rsid w:val="001F11D0"/>
    <w:rsid w:val="001F5EE2"/>
    <w:rsid w:val="001F60D6"/>
    <w:rsid w:val="001F65A3"/>
    <w:rsid w:val="001F67BE"/>
    <w:rsid w:val="00200601"/>
    <w:rsid w:val="00200C18"/>
    <w:rsid w:val="00201C71"/>
    <w:rsid w:val="00201D2A"/>
    <w:rsid w:val="00202A91"/>
    <w:rsid w:val="00203ECF"/>
    <w:rsid w:val="00206480"/>
    <w:rsid w:val="00207505"/>
    <w:rsid w:val="00210F52"/>
    <w:rsid w:val="00213380"/>
    <w:rsid w:val="00215122"/>
    <w:rsid w:val="00215330"/>
    <w:rsid w:val="002158EE"/>
    <w:rsid w:val="00215AA7"/>
    <w:rsid w:val="00215BDD"/>
    <w:rsid w:val="00216A95"/>
    <w:rsid w:val="00216F3E"/>
    <w:rsid w:val="0021746B"/>
    <w:rsid w:val="00217FA6"/>
    <w:rsid w:val="00220527"/>
    <w:rsid w:val="002209C7"/>
    <w:rsid w:val="0022295C"/>
    <w:rsid w:val="00222CC0"/>
    <w:rsid w:val="00223332"/>
    <w:rsid w:val="00223606"/>
    <w:rsid w:val="0022378B"/>
    <w:rsid w:val="00225251"/>
    <w:rsid w:val="002258BB"/>
    <w:rsid w:val="00227137"/>
    <w:rsid w:val="00230764"/>
    <w:rsid w:val="0023192B"/>
    <w:rsid w:val="00232ADB"/>
    <w:rsid w:val="00232E73"/>
    <w:rsid w:val="002353DC"/>
    <w:rsid w:val="00236317"/>
    <w:rsid w:val="00236CEB"/>
    <w:rsid w:val="00237244"/>
    <w:rsid w:val="0023759B"/>
    <w:rsid w:val="00237C1C"/>
    <w:rsid w:val="0024109E"/>
    <w:rsid w:val="0024188E"/>
    <w:rsid w:val="00242C71"/>
    <w:rsid w:val="00242D6E"/>
    <w:rsid w:val="00243901"/>
    <w:rsid w:val="0024442E"/>
    <w:rsid w:val="00245503"/>
    <w:rsid w:val="002461E9"/>
    <w:rsid w:val="00246F49"/>
    <w:rsid w:val="002478F7"/>
    <w:rsid w:val="002513E5"/>
    <w:rsid w:val="00252EBE"/>
    <w:rsid w:val="00253161"/>
    <w:rsid w:val="00253D15"/>
    <w:rsid w:val="00255EE8"/>
    <w:rsid w:val="002575D3"/>
    <w:rsid w:val="002576CB"/>
    <w:rsid w:val="002577AF"/>
    <w:rsid w:val="00257F1A"/>
    <w:rsid w:val="002605B4"/>
    <w:rsid w:val="002607C9"/>
    <w:rsid w:val="00261132"/>
    <w:rsid w:val="00261416"/>
    <w:rsid w:val="00263FB8"/>
    <w:rsid w:val="0026591A"/>
    <w:rsid w:val="00265A4C"/>
    <w:rsid w:val="00266348"/>
    <w:rsid w:val="0026772B"/>
    <w:rsid w:val="0027022C"/>
    <w:rsid w:val="00270FA3"/>
    <w:rsid w:val="00271F1E"/>
    <w:rsid w:val="00273E86"/>
    <w:rsid w:val="0027521D"/>
    <w:rsid w:val="00275A68"/>
    <w:rsid w:val="002765BC"/>
    <w:rsid w:val="00277434"/>
    <w:rsid w:val="00277C9B"/>
    <w:rsid w:val="002813EC"/>
    <w:rsid w:val="0028156D"/>
    <w:rsid w:val="00282FD5"/>
    <w:rsid w:val="00283381"/>
    <w:rsid w:val="00283D37"/>
    <w:rsid w:val="00284781"/>
    <w:rsid w:val="00287E43"/>
    <w:rsid w:val="0029180D"/>
    <w:rsid w:val="00295DDB"/>
    <w:rsid w:val="00296CA7"/>
    <w:rsid w:val="002A096E"/>
    <w:rsid w:val="002A206A"/>
    <w:rsid w:val="002A27BC"/>
    <w:rsid w:val="002A4333"/>
    <w:rsid w:val="002A47A3"/>
    <w:rsid w:val="002A480F"/>
    <w:rsid w:val="002A4D3E"/>
    <w:rsid w:val="002A4F55"/>
    <w:rsid w:val="002A5023"/>
    <w:rsid w:val="002A5B9E"/>
    <w:rsid w:val="002A5E99"/>
    <w:rsid w:val="002A600A"/>
    <w:rsid w:val="002A67CE"/>
    <w:rsid w:val="002A7199"/>
    <w:rsid w:val="002B00FC"/>
    <w:rsid w:val="002B19E5"/>
    <w:rsid w:val="002B1DBA"/>
    <w:rsid w:val="002B3503"/>
    <w:rsid w:val="002B35CD"/>
    <w:rsid w:val="002B5469"/>
    <w:rsid w:val="002B6997"/>
    <w:rsid w:val="002B6E81"/>
    <w:rsid w:val="002B7562"/>
    <w:rsid w:val="002B7C10"/>
    <w:rsid w:val="002C02C2"/>
    <w:rsid w:val="002C04C0"/>
    <w:rsid w:val="002C0896"/>
    <w:rsid w:val="002C14E7"/>
    <w:rsid w:val="002C2BE2"/>
    <w:rsid w:val="002C2C58"/>
    <w:rsid w:val="002C357F"/>
    <w:rsid w:val="002C6F98"/>
    <w:rsid w:val="002C70FC"/>
    <w:rsid w:val="002D05A8"/>
    <w:rsid w:val="002D1630"/>
    <w:rsid w:val="002D178B"/>
    <w:rsid w:val="002D3F73"/>
    <w:rsid w:val="002D415A"/>
    <w:rsid w:val="002D50D6"/>
    <w:rsid w:val="002D5583"/>
    <w:rsid w:val="002D5E52"/>
    <w:rsid w:val="002D5EC5"/>
    <w:rsid w:val="002D64D4"/>
    <w:rsid w:val="002D6F7D"/>
    <w:rsid w:val="002D6FB0"/>
    <w:rsid w:val="002E0D74"/>
    <w:rsid w:val="002E16F3"/>
    <w:rsid w:val="002E17D2"/>
    <w:rsid w:val="002E1CD9"/>
    <w:rsid w:val="002E20D6"/>
    <w:rsid w:val="002E27E8"/>
    <w:rsid w:val="002E2845"/>
    <w:rsid w:val="002E4153"/>
    <w:rsid w:val="002E4FC3"/>
    <w:rsid w:val="002E5666"/>
    <w:rsid w:val="002E6696"/>
    <w:rsid w:val="002E692A"/>
    <w:rsid w:val="002E6FC4"/>
    <w:rsid w:val="002E71AF"/>
    <w:rsid w:val="002E7C5B"/>
    <w:rsid w:val="002F0165"/>
    <w:rsid w:val="002F2050"/>
    <w:rsid w:val="002F2345"/>
    <w:rsid w:val="002F3AA2"/>
    <w:rsid w:val="002F44AE"/>
    <w:rsid w:val="002F499F"/>
    <w:rsid w:val="002F6976"/>
    <w:rsid w:val="002F729D"/>
    <w:rsid w:val="002F79A4"/>
    <w:rsid w:val="002F7CDD"/>
    <w:rsid w:val="00300024"/>
    <w:rsid w:val="0030009A"/>
    <w:rsid w:val="00300BA2"/>
    <w:rsid w:val="00300D63"/>
    <w:rsid w:val="00300F08"/>
    <w:rsid w:val="003016B4"/>
    <w:rsid w:val="00302BA6"/>
    <w:rsid w:val="00302C84"/>
    <w:rsid w:val="00302F7B"/>
    <w:rsid w:val="003034EC"/>
    <w:rsid w:val="00303B40"/>
    <w:rsid w:val="00304245"/>
    <w:rsid w:val="00304275"/>
    <w:rsid w:val="00304293"/>
    <w:rsid w:val="00304481"/>
    <w:rsid w:val="00304E38"/>
    <w:rsid w:val="00305267"/>
    <w:rsid w:val="003057D6"/>
    <w:rsid w:val="00305CEF"/>
    <w:rsid w:val="0030630C"/>
    <w:rsid w:val="0030731B"/>
    <w:rsid w:val="00307C36"/>
    <w:rsid w:val="00310A1A"/>
    <w:rsid w:val="00310BDA"/>
    <w:rsid w:val="00311818"/>
    <w:rsid w:val="00311EA4"/>
    <w:rsid w:val="00313320"/>
    <w:rsid w:val="00313C86"/>
    <w:rsid w:val="00313CF1"/>
    <w:rsid w:val="00314DA4"/>
    <w:rsid w:val="003156EB"/>
    <w:rsid w:val="00320862"/>
    <w:rsid w:val="00320B1C"/>
    <w:rsid w:val="00321506"/>
    <w:rsid w:val="003218F4"/>
    <w:rsid w:val="00321DD0"/>
    <w:rsid w:val="00321FE0"/>
    <w:rsid w:val="003225A3"/>
    <w:rsid w:val="00322B46"/>
    <w:rsid w:val="00322FB2"/>
    <w:rsid w:val="003251B2"/>
    <w:rsid w:val="003258BD"/>
    <w:rsid w:val="00327612"/>
    <w:rsid w:val="00330010"/>
    <w:rsid w:val="00330A5B"/>
    <w:rsid w:val="0033162C"/>
    <w:rsid w:val="003316B0"/>
    <w:rsid w:val="00332BCF"/>
    <w:rsid w:val="00333239"/>
    <w:rsid w:val="00333FAA"/>
    <w:rsid w:val="00334541"/>
    <w:rsid w:val="0033546E"/>
    <w:rsid w:val="003364CF"/>
    <w:rsid w:val="003431F7"/>
    <w:rsid w:val="003440C8"/>
    <w:rsid w:val="00345234"/>
    <w:rsid w:val="00346C83"/>
    <w:rsid w:val="00350500"/>
    <w:rsid w:val="00350AD7"/>
    <w:rsid w:val="0035197E"/>
    <w:rsid w:val="00352302"/>
    <w:rsid w:val="00352A77"/>
    <w:rsid w:val="003531FC"/>
    <w:rsid w:val="003532CE"/>
    <w:rsid w:val="00354818"/>
    <w:rsid w:val="00355B40"/>
    <w:rsid w:val="00355CAB"/>
    <w:rsid w:val="00355EA3"/>
    <w:rsid w:val="00356279"/>
    <w:rsid w:val="003562CD"/>
    <w:rsid w:val="00356948"/>
    <w:rsid w:val="00356B03"/>
    <w:rsid w:val="00356CC0"/>
    <w:rsid w:val="00357563"/>
    <w:rsid w:val="00357A02"/>
    <w:rsid w:val="003602B3"/>
    <w:rsid w:val="003602C8"/>
    <w:rsid w:val="00360CF1"/>
    <w:rsid w:val="0036115C"/>
    <w:rsid w:val="00362477"/>
    <w:rsid w:val="00363DFC"/>
    <w:rsid w:val="00366D37"/>
    <w:rsid w:val="00366FBC"/>
    <w:rsid w:val="00371F62"/>
    <w:rsid w:val="00372086"/>
    <w:rsid w:val="003723E6"/>
    <w:rsid w:val="003725C2"/>
    <w:rsid w:val="0037314F"/>
    <w:rsid w:val="003739E3"/>
    <w:rsid w:val="00374A39"/>
    <w:rsid w:val="00374C1A"/>
    <w:rsid w:val="00374F0E"/>
    <w:rsid w:val="00377344"/>
    <w:rsid w:val="0038081A"/>
    <w:rsid w:val="00380956"/>
    <w:rsid w:val="00380B2A"/>
    <w:rsid w:val="0038110E"/>
    <w:rsid w:val="00381B08"/>
    <w:rsid w:val="00382AA4"/>
    <w:rsid w:val="00382D30"/>
    <w:rsid w:val="00383582"/>
    <w:rsid w:val="003840E0"/>
    <w:rsid w:val="003840E5"/>
    <w:rsid w:val="00385735"/>
    <w:rsid w:val="00385B65"/>
    <w:rsid w:val="00386E11"/>
    <w:rsid w:val="00386FA8"/>
    <w:rsid w:val="0038764E"/>
    <w:rsid w:val="00387A1E"/>
    <w:rsid w:val="003910B4"/>
    <w:rsid w:val="003915C0"/>
    <w:rsid w:val="00393978"/>
    <w:rsid w:val="00393D73"/>
    <w:rsid w:val="00394544"/>
    <w:rsid w:val="00394992"/>
    <w:rsid w:val="00394FCD"/>
    <w:rsid w:val="003950F4"/>
    <w:rsid w:val="00395459"/>
    <w:rsid w:val="00395C45"/>
    <w:rsid w:val="003965FF"/>
    <w:rsid w:val="00396BE4"/>
    <w:rsid w:val="003A3B6A"/>
    <w:rsid w:val="003A4C10"/>
    <w:rsid w:val="003A6089"/>
    <w:rsid w:val="003A7254"/>
    <w:rsid w:val="003A7CC1"/>
    <w:rsid w:val="003B1A5A"/>
    <w:rsid w:val="003B1DFC"/>
    <w:rsid w:val="003B3EB5"/>
    <w:rsid w:val="003B3F56"/>
    <w:rsid w:val="003B4685"/>
    <w:rsid w:val="003B745A"/>
    <w:rsid w:val="003C1F21"/>
    <w:rsid w:val="003C22A8"/>
    <w:rsid w:val="003C2F0E"/>
    <w:rsid w:val="003C3474"/>
    <w:rsid w:val="003C61FA"/>
    <w:rsid w:val="003C629C"/>
    <w:rsid w:val="003C62B3"/>
    <w:rsid w:val="003C67E0"/>
    <w:rsid w:val="003C6CB3"/>
    <w:rsid w:val="003C6DB3"/>
    <w:rsid w:val="003C76C0"/>
    <w:rsid w:val="003D0655"/>
    <w:rsid w:val="003D0D4E"/>
    <w:rsid w:val="003D2345"/>
    <w:rsid w:val="003D2629"/>
    <w:rsid w:val="003D2867"/>
    <w:rsid w:val="003D44F0"/>
    <w:rsid w:val="003D48F1"/>
    <w:rsid w:val="003D4A3D"/>
    <w:rsid w:val="003D66BC"/>
    <w:rsid w:val="003D782C"/>
    <w:rsid w:val="003E0068"/>
    <w:rsid w:val="003E0838"/>
    <w:rsid w:val="003E15C5"/>
    <w:rsid w:val="003E1C54"/>
    <w:rsid w:val="003E1FE7"/>
    <w:rsid w:val="003E2B98"/>
    <w:rsid w:val="003E3A1B"/>
    <w:rsid w:val="003E5129"/>
    <w:rsid w:val="003E567F"/>
    <w:rsid w:val="003E5BFD"/>
    <w:rsid w:val="003E71E5"/>
    <w:rsid w:val="003F0739"/>
    <w:rsid w:val="003F1E11"/>
    <w:rsid w:val="003F251D"/>
    <w:rsid w:val="003F25CE"/>
    <w:rsid w:val="003F2BDB"/>
    <w:rsid w:val="003F4C5F"/>
    <w:rsid w:val="003F6109"/>
    <w:rsid w:val="003F7CD6"/>
    <w:rsid w:val="00400D0C"/>
    <w:rsid w:val="0040161C"/>
    <w:rsid w:val="00401BE8"/>
    <w:rsid w:val="00401C47"/>
    <w:rsid w:val="004023E2"/>
    <w:rsid w:val="004035C2"/>
    <w:rsid w:val="00404757"/>
    <w:rsid w:val="004054C8"/>
    <w:rsid w:val="00405743"/>
    <w:rsid w:val="00405E47"/>
    <w:rsid w:val="00406455"/>
    <w:rsid w:val="00406AFE"/>
    <w:rsid w:val="00406C4B"/>
    <w:rsid w:val="004070DE"/>
    <w:rsid w:val="00410564"/>
    <w:rsid w:val="004106B1"/>
    <w:rsid w:val="0041101D"/>
    <w:rsid w:val="004112C3"/>
    <w:rsid w:val="004118FD"/>
    <w:rsid w:val="00413257"/>
    <w:rsid w:val="00414167"/>
    <w:rsid w:val="0041541D"/>
    <w:rsid w:val="004161D7"/>
    <w:rsid w:val="004203CC"/>
    <w:rsid w:val="00420F29"/>
    <w:rsid w:val="004215C8"/>
    <w:rsid w:val="0042253A"/>
    <w:rsid w:val="00422ACE"/>
    <w:rsid w:val="00425699"/>
    <w:rsid w:val="004277AA"/>
    <w:rsid w:val="00427F81"/>
    <w:rsid w:val="00431220"/>
    <w:rsid w:val="00431EDF"/>
    <w:rsid w:val="0043237F"/>
    <w:rsid w:val="00432586"/>
    <w:rsid w:val="00432829"/>
    <w:rsid w:val="00432A08"/>
    <w:rsid w:val="00432DF2"/>
    <w:rsid w:val="00433CF4"/>
    <w:rsid w:val="00434298"/>
    <w:rsid w:val="00434BD6"/>
    <w:rsid w:val="00434DC3"/>
    <w:rsid w:val="00435620"/>
    <w:rsid w:val="0043764B"/>
    <w:rsid w:val="0043785A"/>
    <w:rsid w:val="004379D3"/>
    <w:rsid w:val="00437DDC"/>
    <w:rsid w:val="00442288"/>
    <w:rsid w:val="0044277D"/>
    <w:rsid w:val="00443497"/>
    <w:rsid w:val="00443C3E"/>
    <w:rsid w:val="00444291"/>
    <w:rsid w:val="00445122"/>
    <w:rsid w:val="004457AC"/>
    <w:rsid w:val="00450F1F"/>
    <w:rsid w:val="0045105A"/>
    <w:rsid w:val="00451245"/>
    <w:rsid w:val="0045175B"/>
    <w:rsid w:val="004525C8"/>
    <w:rsid w:val="00452F70"/>
    <w:rsid w:val="004532D4"/>
    <w:rsid w:val="004532F0"/>
    <w:rsid w:val="004535CF"/>
    <w:rsid w:val="00453CA2"/>
    <w:rsid w:val="004560FB"/>
    <w:rsid w:val="0045699D"/>
    <w:rsid w:val="00457A45"/>
    <w:rsid w:val="00457AE1"/>
    <w:rsid w:val="00463995"/>
    <w:rsid w:val="00465008"/>
    <w:rsid w:val="004650B1"/>
    <w:rsid w:val="00465BA3"/>
    <w:rsid w:val="00466862"/>
    <w:rsid w:val="00466DFF"/>
    <w:rsid w:val="00472FF6"/>
    <w:rsid w:val="004740AA"/>
    <w:rsid w:val="00475306"/>
    <w:rsid w:val="0047657E"/>
    <w:rsid w:val="0047779A"/>
    <w:rsid w:val="004815F2"/>
    <w:rsid w:val="00482AA1"/>
    <w:rsid w:val="00483D84"/>
    <w:rsid w:val="00484285"/>
    <w:rsid w:val="0048533C"/>
    <w:rsid w:val="004856FC"/>
    <w:rsid w:val="004857EB"/>
    <w:rsid w:val="00485A6B"/>
    <w:rsid w:val="00486D24"/>
    <w:rsid w:val="00487121"/>
    <w:rsid w:val="00487BF7"/>
    <w:rsid w:val="004907CE"/>
    <w:rsid w:val="00490EE2"/>
    <w:rsid w:val="00490F6A"/>
    <w:rsid w:val="00491438"/>
    <w:rsid w:val="004923FA"/>
    <w:rsid w:val="004933D2"/>
    <w:rsid w:val="00493669"/>
    <w:rsid w:val="00493CA2"/>
    <w:rsid w:val="004947E3"/>
    <w:rsid w:val="00494881"/>
    <w:rsid w:val="00495160"/>
    <w:rsid w:val="004A0735"/>
    <w:rsid w:val="004A088F"/>
    <w:rsid w:val="004A0C09"/>
    <w:rsid w:val="004A1CED"/>
    <w:rsid w:val="004A25AC"/>
    <w:rsid w:val="004A39A6"/>
    <w:rsid w:val="004A411F"/>
    <w:rsid w:val="004A45F0"/>
    <w:rsid w:val="004A462B"/>
    <w:rsid w:val="004A4C36"/>
    <w:rsid w:val="004A6470"/>
    <w:rsid w:val="004B1079"/>
    <w:rsid w:val="004B112F"/>
    <w:rsid w:val="004B3976"/>
    <w:rsid w:val="004B4BBF"/>
    <w:rsid w:val="004B4E66"/>
    <w:rsid w:val="004B5522"/>
    <w:rsid w:val="004B640C"/>
    <w:rsid w:val="004B6660"/>
    <w:rsid w:val="004B6C6D"/>
    <w:rsid w:val="004B6CE9"/>
    <w:rsid w:val="004C044A"/>
    <w:rsid w:val="004C0D58"/>
    <w:rsid w:val="004C1B79"/>
    <w:rsid w:val="004C278C"/>
    <w:rsid w:val="004C330D"/>
    <w:rsid w:val="004C343F"/>
    <w:rsid w:val="004C3550"/>
    <w:rsid w:val="004C36AC"/>
    <w:rsid w:val="004C6847"/>
    <w:rsid w:val="004C6B01"/>
    <w:rsid w:val="004C76EE"/>
    <w:rsid w:val="004D033C"/>
    <w:rsid w:val="004D035C"/>
    <w:rsid w:val="004D09D0"/>
    <w:rsid w:val="004D1A34"/>
    <w:rsid w:val="004D2510"/>
    <w:rsid w:val="004D25BE"/>
    <w:rsid w:val="004D2608"/>
    <w:rsid w:val="004D2BE2"/>
    <w:rsid w:val="004D2DEA"/>
    <w:rsid w:val="004D2F5E"/>
    <w:rsid w:val="004D2F82"/>
    <w:rsid w:val="004D376D"/>
    <w:rsid w:val="004D3860"/>
    <w:rsid w:val="004D4B7E"/>
    <w:rsid w:val="004D73F4"/>
    <w:rsid w:val="004E1701"/>
    <w:rsid w:val="004E18E8"/>
    <w:rsid w:val="004E3932"/>
    <w:rsid w:val="004E5420"/>
    <w:rsid w:val="004E60DB"/>
    <w:rsid w:val="004E6761"/>
    <w:rsid w:val="004E70BA"/>
    <w:rsid w:val="004E7D77"/>
    <w:rsid w:val="004E7F8B"/>
    <w:rsid w:val="004F1D5D"/>
    <w:rsid w:val="004F3098"/>
    <w:rsid w:val="004F3373"/>
    <w:rsid w:val="004F3D99"/>
    <w:rsid w:val="004F471F"/>
    <w:rsid w:val="004F562B"/>
    <w:rsid w:val="004F5A4C"/>
    <w:rsid w:val="004F5F77"/>
    <w:rsid w:val="004F786C"/>
    <w:rsid w:val="005021D2"/>
    <w:rsid w:val="00503514"/>
    <w:rsid w:val="00505878"/>
    <w:rsid w:val="0050652D"/>
    <w:rsid w:val="005069B9"/>
    <w:rsid w:val="00507BA8"/>
    <w:rsid w:val="005100BD"/>
    <w:rsid w:val="0051046F"/>
    <w:rsid w:val="005125E1"/>
    <w:rsid w:val="005128FA"/>
    <w:rsid w:val="00513634"/>
    <w:rsid w:val="00513EB6"/>
    <w:rsid w:val="00514020"/>
    <w:rsid w:val="005159C1"/>
    <w:rsid w:val="00515D41"/>
    <w:rsid w:val="005168C1"/>
    <w:rsid w:val="00517FD0"/>
    <w:rsid w:val="00520408"/>
    <w:rsid w:val="00520DF4"/>
    <w:rsid w:val="00521CA8"/>
    <w:rsid w:val="005228DB"/>
    <w:rsid w:val="005239C6"/>
    <w:rsid w:val="00523BC2"/>
    <w:rsid w:val="00523D27"/>
    <w:rsid w:val="00527765"/>
    <w:rsid w:val="00527E02"/>
    <w:rsid w:val="005304C3"/>
    <w:rsid w:val="00530787"/>
    <w:rsid w:val="005310C1"/>
    <w:rsid w:val="00532353"/>
    <w:rsid w:val="005330C8"/>
    <w:rsid w:val="00533577"/>
    <w:rsid w:val="00533E77"/>
    <w:rsid w:val="00534306"/>
    <w:rsid w:val="00535CA0"/>
    <w:rsid w:val="005369B9"/>
    <w:rsid w:val="005376BF"/>
    <w:rsid w:val="00537700"/>
    <w:rsid w:val="005407A9"/>
    <w:rsid w:val="005410DB"/>
    <w:rsid w:val="005417D9"/>
    <w:rsid w:val="0054202A"/>
    <w:rsid w:val="00542EC2"/>
    <w:rsid w:val="005447DC"/>
    <w:rsid w:val="00545C91"/>
    <w:rsid w:val="00545F8F"/>
    <w:rsid w:val="0054687C"/>
    <w:rsid w:val="00550948"/>
    <w:rsid w:val="00551019"/>
    <w:rsid w:val="005530F1"/>
    <w:rsid w:val="005566B5"/>
    <w:rsid w:val="005571B0"/>
    <w:rsid w:val="00557BB5"/>
    <w:rsid w:val="00560008"/>
    <w:rsid w:val="00561757"/>
    <w:rsid w:val="00562552"/>
    <w:rsid w:val="00562716"/>
    <w:rsid w:val="00562D9F"/>
    <w:rsid w:val="00563971"/>
    <w:rsid w:val="00564280"/>
    <w:rsid w:val="00564315"/>
    <w:rsid w:val="00564CED"/>
    <w:rsid w:val="00565E00"/>
    <w:rsid w:val="005663DB"/>
    <w:rsid w:val="00566A55"/>
    <w:rsid w:val="005673ED"/>
    <w:rsid w:val="00567FE1"/>
    <w:rsid w:val="00571921"/>
    <w:rsid w:val="00571B78"/>
    <w:rsid w:val="00572B08"/>
    <w:rsid w:val="00573DA6"/>
    <w:rsid w:val="00574DFF"/>
    <w:rsid w:val="00576927"/>
    <w:rsid w:val="00576B22"/>
    <w:rsid w:val="0058066E"/>
    <w:rsid w:val="005808DB"/>
    <w:rsid w:val="00580FE1"/>
    <w:rsid w:val="005825A7"/>
    <w:rsid w:val="005839ED"/>
    <w:rsid w:val="00583B80"/>
    <w:rsid w:val="00584EEA"/>
    <w:rsid w:val="005852B8"/>
    <w:rsid w:val="005857EE"/>
    <w:rsid w:val="005859A6"/>
    <w:rsid w:val="00586320"/>
    <w:rsid w:val="0058649A"/>
    <w:rsid w:val="00586C3A"/>
    <w:rsid w:val="00587058"/>
    <w:rsid w:val="00587386"/>
    <w:rsid w:val="005909D5"/>
    <w:rsid w:val="00591DFC"/>
    <w:rsid w:val="00592ABB"/>
    <w:rsid w:val="00592BEA"/>
    <w:rsid w:val="005931B9"/>
    <w:rsid w:val="00593571"/>
    <w:rsid w:val="00594744"/>
    <w:rsid w:val="005948F6"/>
    <w:rsid w:val="00594B67"/>
    <w:rsid w:val="00594CA7"/>
    <w:rsid w:val="00594E7E"/>
    <w:rsid w:val="00595DB3"/>
    <w:rsid w:val="0059699A"/>
    <w:rsid w:val="00596EC5"/>
    <w:rsid w:val="00596EDD"/>
    <w:rsid w:val="005A3194"/>
    <w:rsid w:val="005A33C8"/>
    <w:rsid w:val="005A513F"/>
    <w:rsid w:val="005A533A"/>
    <w:rsid w:val="005A59F7"/>
    <w:rsid w:val="005A67B6"/>
    <w:rsid w:val="005A698B"/>
    <w:rsid w:val="005A6D1D"/>
    <w:rsid w:val="005A7B69"/>
    <w:rsid w:val="005B0191"/>
    <w:rsid w:val="005B0429"/>
    <w:rsid w:val="005B2770"/>
    <w:rsid w:val="005B29AE"/>
    <w:rsid w:val="005B330B"/>
    <w:rsid w:val="005B3499"/>
    <w:rsid w:val="005B7EC0"/>
    <w:rsid w:val="005B7EC9"/>
    <w:rsid w:val="005C118F"/>
    <w:rsid w:val="005C3FBA"/>
    <w:rsid w:val="005C4E4D"/>
    <w:rsid w:val="005C4F3C"/>
    <w:rsid w:val="005C6658"/>
    <w:rsid w:val="005C77F3"/>
    <w:rsid w:val="005C7A8D"/>
    <w:rsid w:val="005D0508"/>
    <w:rsid w:val="005D1357"/>
    <w:rsid w:val="005D20C4"/>
    <w:rsid w:val="005D2612"/>
    <w:rsid w:val="005D398C"/>
    <w:rsid w:val="005D4E04"/>
    <w:rsid w:val="005D5A53"/>
    <w:rsid w:val="005D687B"/>
    <w:rsid w:val="005D6B5B"/>
    <w:rsid w:val="005D763E"/>
    <w:rsid w:val="005D77FF"/>
    <w:rsid w:val="005E0B8F"/>
    <w:rsid w:val="005E3738"/>
    <w:rsid w:val="005E4443"/>
    <w:rsid w:val="005E4F20"/>
    <w:rsid w:val="005E55C8"/>
    <w:rsid w:val="005E7346"/>
    <w:rsid w:val="005F0EC1"/>
    <w:rsid w:val="005F256D"/>
    <w:rsid w:val="005F266E"/>
    <w:rsid w:val="005F27F4"/>
    <w:rsid w:val="005F2FA5"/>
    <w:rsid w:val="005F3C34"/>
    <w:rsid w:val="005F4185"/>
    <w:rsid w:val="005F5A56"/>
    <w:rsid w:val="005F6BD8"/>
    <w:rsid w:val="005F702A"/>
    <w:rsid w:val="0060099C"/>
    <w:rsid w:val="00602CE0"/>
    <w:rsid w:val="0060306A"/>
    <w:rsid w:val="0060315F"/>
    <w:rsid w:val="006057C8"/>
    <w:rsid w:val="00606BC6"/>
    <w:rsid w:val="00610A71"/>
    <w:rsid w:val="0061391A"/>
    <w:rsid w:val="00613BBD"/>
    <w:rsid w:val="00613C28"/>
    <w:rsid w:val="00613E41"/>
    <w:rsid w:val="00615421"/>
    <w:rsid w:val="00617475"/>
    <w:rsid w:val="00622C71"/>
    <w:rsid w:val="00622DE8"/>
    <w:rsid w:val="0062441C"/>
    <w:rsid w:val="00625D73"/>
    <w:rsid w:val="00625FC3"/>
    <w:rsid w:val="0062616A"/>
    <w:rsid w:val="00626301"/>
    <w:rsid w:val="00626DB0"/>
    <w:rsid w:val="006313EE"/>
    <w:rsid w:val="00632936"/>
    <w:rsid w:val="00632B19"/>
    <w:rsid w:val="00632C31"/>
    <w:rsid w:val="00635292"/>
    <w:rsid w:val="006412DB"/>
    <w:rsid w:val="00642126"/>
    <w:rsid w:val="0064298B"/>
    <w:rsid w:val="00643A5E"/>
    <w:rsid w:val="00644652"/>
    <w:rsid w:val="00644E68"/>
    <w:rsid w:val="00645229"/>
    <w:rsid w:val="0065119E"/>
    <w:rsid w:val="00651512"/>
    <w:rsid w:val="0065255D"/>
    <w:rsid w:val="00652BB1"/>
    <w:rsid w:val="00652CC5"/>
    <w:rsid w:val="006560F2"/>
    <w:rsid w:val="00656C72"/>
    <w:rsid w:val="00656D9C"/>
    <w:rsid w:val="00657E07"/>
    <w:rsid w:val="00662416"/>
    <w:rsid w:val="00662772"/>
    <w:rsid w:val="00663532"/>
    <w:rsid w:val="0066438C"/>
    <w:rsid w:val="00664A7E"/>
    <w:rsid w:val="0066595E"/>
    <w:rsid w:val="00666D3C"/>
    <w:rsid w:val="006672B7"/>
    <w:rsid w:val="006711C7"/>
    <w:rsid w:val="006712EA"/>
    <w:rsid w:val="006734FD"/>
    <w:rsid w:val="0067367A"/>
    <w:rsid w:val="0067505C"/>
    <w:rsid w:val="006751C9"/>
    <w:rsid w:val="006760D1"/>
    <w:rsid w:val="00681010"/>
    <w:rsid w:val="00681431"/>
    <w:rsid w:val="00682502"/>
    <w:rsid w:val="00682AB8"/>
    <w:rsid w:val="00683427"/>
    <w:rsid w:val="00683F22"/>
    <w:rsid w:val="00684DCE"/>
    <w:rsid w:val="0068635F"/>
    <w:rsid w:val="006867BB"/>
    <w:rsid w:val="0069033C"/>
    <w:rsid w:val="00690918"/>
    <w:rsid w:val="0069163E"/>
    <w:rsid w:val="00692504"/>
    <w:rsid w:val="006937DA"/>
    <w:rsid w:val="00694233"/>
    <w:rsid w:val="006947DB"/>
    <w:rsid w:val="006950D5"/>
    <w:rsid w:val="0069572A"/>
    <w:rsid w:val="00695868"/>
    <w:rsid w:val="00695FF9"/>
    <w:rsid w:val="00696174"/>
    <w:rsid w:val="006969C3"/>
    <w:rsid w:val="006A039F"/>
    <w:rsid w:val="006A0BDF"/>
    <w:rsid w:val="006A1F0B"/>
    <w:rsid w:val="006A2812"/>
    <w:rsid w:val="006A3292"/>
    <w:rsid w:val="006A35EE"/>
    <w:rsid w:val="006A4A39"/>
    <w:rsid w:val="006A518B"/>
    <w:rsid w:val="006A5286"/>
    <w:rsid w:val="006A591B"/>
    <w:rsid w:val="006A6D5B"/>
    <w:rsid w:val="006A6FFC"/>
    <w:rsid w:val="006B0185"/>
    <w:rsid w:val="006B0760"/>
    <w:rsid w:val="006B08C7"/>
    <w:rsid w:val="006B30AA"/>
    <w:rsid w:val="006B3F78"/>
    <w:rsid w:val="006B687D"/>
    <w:rsid w:val="006B7B54"/>
    <w:rsid w:val="006C03DB"/>
    <w:rsid w:val="006C0456"/>
    <w:rsid w:val="006C09D7"/>
    <w:rsid w:val="006C1000"/>
    <w:rsid w:val="006C12E7"/>
    <w:rsid w:val="006C1530"/>
    <w:rsid w:val="006C1B51"/>
    <w:rsid w:val="006C1C06"/>
    <w:rsid w:val="006C27B4"/>
    <w:rsid w:val="006C3AC7"/>
    <w:rsid w:val="006C43B1"/>
    <w:rsid w:val="006C4F39"/>
    <w:rsid w:val="006D1C13"/>
    <w:rsid w:val="006D1D9B"/>
    <w:rsid w:val="006E0712"/>
    <w:rsid w:val="006E084F"/>
    <w:rsid w:val="006E0FCC"/>
    <w:rsid w:val="006E1928"/>
    <w:rsid w:val="006E1B43"/>
    <w:rsid w:val="006E2A33"/>
    <w:rsid w:val="006E529C"/>
    <w:rsid w:val="006E54F3"/>
    <w:rsid w:val="006E5616"/>
    <w:rsid w:val="006F0752"/>
    <w:rsid w:val="006F09C5"/>
    <w:rsid w:val="006F29FD"/>
    <w:rsid w:val="006F3E4E"/>
    <w:rsid w:val="006F45BC"/>
    <w:rsid w:val="006F4830"/>
    <w:rsid w:val="006F4CF6"/>
    <w:rsid w:val="006F4E18"/>
    <w:rsid w:val="006F55D5"/>
    <w:rsid w:val="006F5F2A"/>
    <w:rsid w:val="006F6066"/>
    <w:rsid w:val="006F735D"/>
    <w:rsid w:val="00700671"/>
    <w:rsid w:val="007008BA"/>
    <w:rsid w:val="00700F97"/>
    <w:rsid w:val="00701190"/>
    <w:rsid w:val="00701BE4"/>
    <w:rsid w:val="0070214A"/>
    <w:rsid w:val="00702EAE"/>
    <w:rsid w:val="007038E6"/>
    <w:rsid w:val="00703B93"/>
    <w:rsid w:val="00703EBE"/>
    <w:rsid w:val="00704309"/>
    <w:rsid w:val="00705C34"/>
    <w:rsid w:val="007072A7"/>
    <w:rsid w:val="00707348"/>
    <w:rsid w:val="00711A98"/>
    <w:rsid w:val="00712CE3"/>
    <w:rsid w:val="00713205"/>
    <w:rsid w:val="00713609"/>
    <w:rsid w:val="00715A5D"/>
    <w:rsid w:val="00715E70"/>
    <w:rsid w:val="00716FBD"/>
    <w:rsid w:val="00717047"/>
    <w:rsid w:val="00717D96"/>
    <w:rsid w:val="007202A3"/>
    <w:rsid w:val="00720693"/>
    <w:rsid w:val="00720C93"/>
    <w:rsid w:val="00721041"/>
    <w:rsid w:val="0072114A"/>
    <w:rsid w:val="00721B8C"/>
    <w:rsid w:val="00722DD8"/>
    <w:rsid w:val="007242B8"/>
    <w:rsid w:val="007243DA"/>
    <w:rsid w:val="0072558A"/>
    <w:rsid w:val="00725864"/>
    <w:rsid w:val="00726602"/>
    <w:rsid w:val="00726A03"/>
    <w:rsid w:val="007302E4"/>
    <w:rsid w:val="0073049B"/>
    <w:rsid w:val="00731025"/>
    <w:rsid w:val="0073104F"/>
    <w:rsid w:val="007323D6"/>
    <w:rsid w:val="00732774"/>
    <w:rsid w:val="0073444C"/>
    <w:rsid w:val="0073552A"/>
    <w:rsid w:val="00735DDB"/>
    <w:rsid w:val="00736789"/>
    <w:rsid w:val="00740B75"/>
    <w:rsid w:val="00741390"/>
    <w:rsid w:val="00741895"/>
    <w:rsid w:val="00742285"/>
    <w:rsid w:val="007426ED"/>
    <w:rsid w:val="0074284D"/>
    <w:rsid w:val="007438C4"/>
    <w:rsid w:val="00744C45"/>
    <w:rsid w:val="00744FC1"/>
    <w:rsid w:val="00746C97"/>
    <w:rsid w:val="00747F7E"/>
    <w:rsid w:val="00750C56"/>
    <w:rsid w:val="007527C0"/>
    <w:rsid w:val="00754014"/>
    <w:rsid w:val="007542F1"/>
    <w:rsid w:val="00754A7D"/>
    <w:rsid w:val="00754BF1"/>
    <w:rsid w:val="00754C7F"/>
    <w:rsid w:val="00755355"/>
    <w:rsid w:val="007554B6"/>
    <w:rsid w:val="0075704E"/>
    <w:rsid w:val="00757766"/>
    <w:rsid w:val="00757EEB"/>
    <w:rsid w:val="00761CAC"/>
    <w:rsid w:val="0076466F"/>
    <w:rsid w:val="00765176"/>
    <w:rsid w:val="00765777"/>
    <w:rsid w:val="00765BEC"/>
    <w:rsid w:val="007673B5"/>
    <w:rsid w:val="00767CDA"/>
    <w:rsid w:val="00770B33"/>
    <w:rsid w:val="00770CE5"/>
    <w:rsid w:val="0077227C"/>
    <w:rsid w:val="00774F01"/>
    <w:rsid w:val="00775AF8"/>
    <w:rsid w:val="007768C3"/>
    <w:rsid w:val="0078003A"/>
    <w:rsid w:val="007828FB"/>
    <w:rsid w:val="00783C74"/>
    <w:rsid w:val="00784473"/>
    <w:rsid w:val="00785925"/>
    <w:rsid w:val="007862BC"/>
    <w:rsid w:val="00786313"/>
    <w:rsid w:val="00786357"/>
    <w:rsid w:val="007863FB"/>
    <w:rsid w:val="00786766"/>
    <w:rsid w:val="00786C70"/>
    <w:rsid w:val="007879CA"/>
    <w:rsid w:val="00790C82"/>
    <w:rsid w:val="007922E7"/>
    <w:rsid w:val="00793018"/>
    <w:rsid w:val="007933FF"/>
    <w:rsid w:val="007935A1"/>
    <w:rsid w:val="00793A70"/>
    <w:rsid w:val="007960E8"/>
    <w:rsid w:val="00796213"/>
    <w:rsid w:val="00796B9C"/>
    <w:rsid w:val="00796EEA"/>
    <w:rsid w:val="007A0001"/>
    <w:rsid w:val="007A0B12"/>
    <w:rsid w:val="007A0D1B"/>
    <w:rsid w:val="007A2234"/>
    <w:rsid w:val="007A2C48"/>
    <w:rsid w:val="007A424A"/>
    <w:rsid w:val="007A543F"/>
    <w:rsid w:val="007A5DC3"/>
    <w:rsid w:val="007A681B"/>
    <w:rsid w:val="007A79AF"/>
    <w:rsid w:val="007B1512"/>
    <w:rsid w:val="007B312A"/>
    <w:rsid w:val="007B6DCB"/>
    <w:rsid w:val="007C0024"/>
    <w:rsid w:val="007C1CFE"/>
    <w:rsid w:val="007C28AA"/>
    <w:rsid w:val="007C3187"/>
    <w:rsid w:val="007C38F7"/>
    <w:rsid w:val="007C3961"/>
    <w:rsid w:val="007C3DD4"/>
    <w:rsid w:val="007C4FF5"/>
    <w:rsid w:val="007C599B"/>
    <w:rsid w:val="007C5C9F"/>
    <w:rsid w:val="007C62B6"/>
    <w:rsid w:val="007C6AA8"/>
    <w:rsid w:val="007C7AC5"/>
    <w:rsid w:val="007D0E60"/>
    <w:rsid w:val="007D1773"/>
    <w:rsid w:val="007D2E75"/>
    <w:rsid w:val="007D4185"/>
    <w:rsid w:val="007D42D7"/>
    <w:rsid w:val="007D4FF6"/>
    <w:rsid w:val="007D549F"/>
    <w:rsid w:val="007D5738"/>
    <w:rsid w:val="007D5AEC"/>
    <w:rsid w:val="007E164D"/>
    <w:rsid w:val="007E23BE"/>
    <w:rsid w:val="007E33F4"/>
    <w:rsid w:val="007E3901"/>
    <w:rsid w:val="007E415D"/>
    <w:rsid w:val="007E4C41"/>
    <w:rsid w:val="007E4EC4"/>
    <w:rsid w:val="007E5C9C"/>
    <w:rsid w:val="007E617B"/>
    <w:rsid w:val="007E6293"/>
    <w:rsid w:val="007E71AA"/>
    <w:rsid w:val="007E7930"/>
    <w:rsid w:val="007E7FD0"/>
    <w:rsid w:val="007F0CED"/>
    <w:rsid w:val="007F19EB"/>
    <w:rsid w:val="007F1E64"/>
    <w:rsid w:val="007F21D9"/>
    <w:rsid w:val="007F3511"/>
    <w:rsid w:val="007F6A66"/>
    <w:rsid w:val="007F7216"/>
    <w:rsid w:val="007F79F9"/>
    <w:rsid w:val="00800265"/>
    <w:rsid w:val="00801E5B"/>
    <w:rsid w:val="00803FEC"/>
    <w:rsid w:val="0080423B"/>
    <w:rsid w:val="0080538F"/>
    <w:rsid w:val="008064C7"/>
    <w:rsid w:val="00807CC7"/>
    <w:rsid w:val="008114A1"/>
    <w:rsid w:val="00812294"/>
    <w:rsid w:val="00813685"/>
    <w:rsid w:val="00813FEC"/>
    <w:rsid w:val="008145BD"/>
    <w:rsid w:val="00816E77"/>
    <w:rsid w:val="008174A1"/>
    <w:rsid w:val="00820D7E"/>
    <w:rsid w:val="00820E17"/>
    <w:rsid w:val="00820F84"/>
    <w:rsid w:val="00821E0A"/>
    <w:rsid w:val="00822E8C"/>
    <w:rsid w:val="008233A4"/>
    <w:rsid w:val="0082372A"/>
    <w:rsid w:val="008243DB"/>
    <w:rsid w:val="00827043"/>
    <w:rsid w:val="00827C56"/>
    <w:rsid w:val="00830400"/>
    <w:rsid w:val="0083051D"/>
    <w:rsid w:val="0083098A"/>
    <w:rsid w:val="00831500"/>
    <w:rsid w:val="00831C28"/>
    <w:rsid w:val="0083288C"/>
    <w:rsid w:val="00832B52"/>
    <w:rsid w:val="00833471"/>
    <w:rsid w:val="008341C2"/>
    <w:rsid w:val="008358CA"/>
    <w:rsid w:val="008367BD"/>
    <w:rsid w:val="0083698D"/>
    <w:rsid w:val="00836AE5"/>
    <w:rsid w:val="00840C37"/>
    <w:rsid w:val="00841316"/>
    <w:rsid w:val="00841CE7"/>
    <w:rsid w:val="00841F27"/>
    <w:rsid w:val="008423A4"/>
    <w:rsid w:val="00843926"/>
    <w:rsid w:val="00844FD2"/>
    <w:rsid w:val="008455A0"/>
    <w:rsid w:val="0084583E"/>
    <w:rsid w:val="00845DAD"/>
    <w:rsid w:val="00846445"/>
    <w:rsid w:val="008465B7"/>
    <w:rsid w:val="008465EE"/>
    <w:rsid w:val="00846832"/>
    <w:rsid w:val="00846D2A"/>
    <w:rsid w:val="00847B06"/>
    <w:rsid w:val="00850137"/>
    <w:rsid w:val="008501DE"/>
    <w:rsid w:val="0085138A"/>
    <w:rsid w:val="0085142B"/>
    <w:rsid w:val="00852973"/>
    <w:rsid w:val="00852E87"/>
    <w:rsid w:val="008532AC"/>
    <w:rsid w:val="0085388F"/>
    <w:rsid w:val="00854D78"/>
    <w:rsid w:val="0085502B"/>
    <w:rsid w:val="00855258"/>
    <w:rsid w:val="00860195"/>
    <w:rsid w:val="008603DF"/>
    <w:rsid w:val="0086269D"/>
    <w:rsid w:val="00862BB3"/>
    <w:rsid w:val="008631B7"/>
    <w:rsid w:val="008636DC"/>
    <w:rsid w:val="00863795"/>
    <w:rsid w:val="00865903"/>
    <w:rsid w:val="008662BE"/>
    <w:rsid w:val="008667B4"/>
    <w:rsid w:val="00867052"/>
    <w:rsid w:val="0086772A"/>
    <w:rsid w:val="00867B1F"/>
    <w:rsid w:val="0087017B"/>
    <w:rsid w:val="008705B9"/>
    <w:rsid w:val="00870620"/>
    <w:rsid w:val="0087082A"/>
    <w:rsid w:val="00870D1F"/>
    <w:rsid w:val="00870F98"/>
    <w:rsid w:val="00871728"/>
    <w:rsid w:val="0087174B"/>
    <w:rsid w:val="00871C67"/>
    <w:rsid w:val="00872DBE"/>
    <w:rsid w:val="008731CA"/>
    <w:rsid w:val="00873A44"/>
    <w:rsid w:val="00874E61"/>
    <w:rsid w:val="00874ED7"/>
    <w:rsid w:val="00876B4D"/>
    <w:rsid w:val="00876CAF"/>
    <w:rsid w:val="008802C4"/>
    <w:rsid w:val="00880467"/>
    <w:rsid w:val="008811E2"/>
    <w:rsid w:val="00881DC5"/>
    <w:rsid w:val="008829CF"/>
    <w:rsid w:val="00883BA0"/>
    <w:rsid w:val="008845AF"/>
    <w:rsid w:val="008847A7"/>
    <w:rsid w:val="008847B1"/>
    <w:rsid w:val="00884C7C"/>
    <w:rsid w:val="00886007"/>
    <w:rsid w:val="00886A51"/>
    <w:rsid w:val="0088702A"/>
    <w:rsid w:val="00890D35"/>
    <w:rsid w:val="0089191F"/>
    <w:rsid w:val="00891C9C"/>
    <w:rsid w:val="008921EC"/>
    <w:rsid w:val="0089223B"/>
    <w:rsid w:val="008922CC"/>
    <w:rsid w:val="008924DC"/>
    <w:rsid w:val="00892500"/>
    <w:rsid w:val="0089312A"/>
    <w:rsid w:val="00893134"/>
    <w:rsid w:val="00894303"/>
    <w:rsid w:val="0089548F"/>
    <w:rsid w:val="00897C8D"/>
    <w:rsid w:val="008A00D5"/>
    <w:rsid w:val="008A0AE6"/>
    <w:rsid w:val="008A1464"/>
    <w:rsid w:val="008A1767"/>
    <w:rsid w:val="008A2BC3"/>
    <w:rsid w:val="008A3FE9"/>
    <w:rsid w:val="008A4356"/>
    <w:rsid w:val="008A45F2"/>
    <w:rsid w:val="008A6981"/>
    <w:rsid w:val="008B0379"/>
    <w:rsid w:val="008B3226"/>
    <w:rsid w:val="008B330A"/>
    <w:rsid w:val="008B6668"/>
    <w:rsid w:val="008B7DC6"/>
    <w:rsid w:val="008C04E1"/>
    <w:rsid w:val="008C10E3"/>
    <w:rsid w:val="008C180B"/>
    <w:rsid w:val="008C2D1F"/>
    <w:rsid w:val="008C41D1"/>
    <w:rsid w:val="008C4BD0"/>
    <w:rsid w:val="008C560F"/>
    <w:rsid w:val="008D1F85"/>
    <w:rsid w:val="008D235F"/>
    <w:rsid w:val="008D291B"/>
    <w:rsid w:val="008D29A2"/>
    <w:rsid w:val="008D36FB"/>
    <w:rsid w:val="008D519B"/>
    <w:rsid w:val="008D63CD"/>
    <w:rsid w:val="008D6ABC"/>
    <w:rsid w:val="008D7D5B"/>
    <w:rsid w:val="008E00B2"/>
    <w:rsid w:val="008E0536"/>
    <w:rsid w:val="008E17E3"/>
    <w:rsid w:val="008E21C6"/>
    <w:rsid w:val="008E2F17"/>
    <w:rsid w:val="008E41B6"/>
    <w:rsid w:val="008E4D5E"/>
    <w:rsid w:val="008E4FD0"/>
    <w:rsid w:val="008E5548"/>
    <w:rsid w:val="008E5CC9"/>
    <w:rsid w:val="008E6937"/>
    <w:rsid w:val="008E7086"/>
    <w:rsid w:val="008E7164"/>
    <w:rsid w:val="008F0938"/>
    <w:rsid w:val="008F287A"/>
    <w:rsid w:val="008F3753"/>
    <w:rsid w:val="008F3B25"/>
    <w:rsid w:val="00901178"/>
    <w:rsid w:val="009017BC"/>
    <w:rsid w:val="00902A53"/>
    <w:rsid w:val="00902FFB"/>
    <w:rsid w:val="00903F9C"/>
    <w:rsid w:val="00904000"/>
    <w:rsid w:val="0090437B"/>
    <w:rsid w:val="00904FDD"/>
    <w:rsid w:val="00905041"/>
    <w:rsid w:val="009060B6"/>
    <w:rsid w:val="00906B6F"/>
    <w:rsid w:val="00910DE6"/>
    <w:rsid w:val="009134E5"/>
    <w:rsid w:val="00914923"/>
    <w:rsid w:val="00915825"/>
    <w:rsid w:val="00915C01"/>
    <w:rsid w:val="00915D93"/>
    <w:rsid w:val="00917DA9"/>
    <w:rsid w:val="00920025"/>
    <w:rsid w:val="0092006F"/>
    <w:rsid w:val="00920C1F"/>
    <w:rsid w:val="009216BB"/>
    <w:rsid w:val="00921DB0"/>
    <w:rsid w:val="00923183"/>
    <w:rsid w:val="00923513"/>
    <w:rsid w:val="00924E42"/>
    <w:rsid w:val="00930633"/>
    <w:rsid w:val="009308DE"/>
    <w:rsid w:val="009311B7"/>
    <w:rsid w:val="0093304B"/>
    <w:rsid w:val="00933135"/>
    <w:rsid w:val="0093575F"/>
    <w:rsid w:val="00937C66"/>
    <w:rsid w:val="009403E0"/>
    <w:rsid w:val="009407DE"/>
    <w:rsid w:val="00941912"/>
    <w:rsid w:val="0094207A"/>
    <w:rsid w:val="00943190"/>
    <w:rsid w:val="00943599"/>
    <w:rsid w:val="009449BD"/>
    <w:rsid w:val="009454CF"/>
    <w:rsid w:val="009467F8"/>
    <w:rsid w:val="009470DF"/>
    <w:rsid w:val="00951280"/>
    <w:rsid w:val="00951AE9"/>
    <w:rsid w:val="0095500F"/>
    <w:rsid w:val="0095585B"/>
    <w:rsid w:val="00956B74"/>
    <w:rsid w:val="009575BD"/>
    <w:rsid w:val="00957A7C"/>
    <w:rsid w:val="00960E5F"/>
    <w:rsid w:val="00961B53"/>
    <w:rsid w:val="0096245E"/>
    <w:rsid w:val="00962FA4"/>
    <w:rsid w:val="0096393A"/>
    <w:rsid w:val="00963B36"/>
    <w:rsid w:val="00963EF3"/>
    <w:rsid w:val="009644B2"/>
    <w:rsid w:val="0096486E"/>
    <w:rsid w:val="00966BAD"/>
    <w:rsid w:val="00966C55"/>
    <w:rsid w:val="009674A7"/>
    <w:rsid w:val="00967B67"/>
    <w:rsid w:val="0097036C"/>
    <w:rsid w:val="0097037E"/>
    <w:rsid w:val="009709C0"/>
    <w:rsid w:val="00972204"/>
    <w:rsid w:val="00973137"/>
    <w:rsid w:val="00973C0A"/>
    <w:rsid w:val="00973C3C"/>
    <w:rsid w:val="0097431E"/>
    <w:rsid w:val="00975527"/>
    <w:rsid w:val="00975828"/>
    <w:rsid w:val="0097658B"/>
    <w:rsid w:val="00976E3D"/>
    <w:rsid w:val="00977123"/>
    <w:rsid w:val="00977189"/>
    <w:rsid w:val="00977881"/>
    <w:rsid w:val="009779B8"/>
    <w:rsid w:val="009810A6"/>
    <w:rsid w:val="00981805"/>
    <w:rsid w:val="00981901"/>
    <w:rsid w:val="00981C2A"/>
    <w:rsid w:val="00982349"/>
    <w:rsid w:val="00982CE7"/>
    <w:rsid w:val="00982ED6"/>
    <w:rsid w:val="00983075"/>
    <w:rsid w:val="00983AFA"/>
    <w:rsid w:val="00983BA2"/>
    <w:rsid w:val="00983CED"/>
    <w:rsid w:val="009842DD"/>
    <w:rsid w:val="009850A8"/>
    <w:rsid w:val="009852F3"/>
    <w:rsid w:val="00986C89"/>
    <w:rsid w:val="00986D1F"/>
    <w:rsid w:val="009878F9"/>
    <w:rsid w:val="00987A83"/>
    <w:rsid w:val="0099028C"/>
    <w:rsid w:val="0099046F"/>
    <w:rsid w:val="0099068E"/>
    <w:rsid w:val="00991265"/>
    <w:rsid w:val="0099149E"/>
    <w:rsid w:val="00991798"/>
    <w:rsid w:val="00991F83"/>
    <w:rsid w:val="00993A40"/>
    <w:rsid w:val="009957D5"/>
    <w:rsid w:val="009964F8"/>
    <w:rsid w:val="00996AA2"/>
    <w:rsid w:val="009A0CA6"/>
    <w:rsid w:val="009A128D"/>
    <w:rsid w:val="009A2066"/>
    <w:rsid w:val="009A2EF7"/>
    <w:rsid w:val="009A3584"/>
    <w:rsid w:val="009A4496"/>
    <w:rsid w:val="009A4EAC"/>
    <w:rsid w:val="009A51FE"/>
    <w:rsid w:val="009A5CDA"/>
    <w:rsid w:val="009A7523"/>
    <w:rsid w:val="009B09A5"/>
    <w:rsid w:val="009B19DB"/>
    <w:rsid w:val="009B2B12"/>
    <w:rsid w:val="009B3A8E"/>
    <w:rsid w:val="009B3B95"/>
    <w:rsid w:val="009B45CC"/>
    <w:rsid w:val="009B4C77"/>
    <w:rsid w:val="009B53EE"/>
    <w:rsid w:val="009B67B1"/>
    <w:rsid w:val="009B68D6"/>
    <w:rsid w:val="009B70F6"/>
    <w:rsid w:val="009B7A07"/>
    <w:rsid w:val="009C07B2"/>
    <w:rsid w:val="009C1C53"/>
    <w:rsid w:val="009C27C8"/>
    <w:rsid w:val="009C3C2A"/>
    <w:rsid w:val="009C4DA4"/>
    <w:rsid w:val="009C505D"/>
    <w:rsid w:val="009C52E9"/>
    <w:rsid w:val="009C59CE"/>
    <w:rsid w:val="009C5BA1"/>
    <w:rsid w:val="009C5E3F"/>
    <w:rsid w:val="009C6C59"/>
    <w:rsid w:val="009C7DAB"/>
    <w:rsid w:val="009D069D"/>
    <w:rsid w:val="009D1355"/>
    <w:rsid w:val="009D1998"/>
    <w:rsid w:val="009D2111"/>
    <w:rsid w:val="009D224C"/>
    <w:rsid w:val="009D2B71"/>
    <w:rsid w:val="009D37A8"/>
    <w:rsid w:val="009D3D6E"/>
    <w:rsid w:val="009D42E0"/>
    <w:rsid w:val="009D6590"/>
    <w:rsid w:val="009D6EF8"/>
    <w:rsid w:val="009D74EA"/>
    <w:rsid w:val="009D7C0F"/>
    <w:rsid w:val="009E016B"/>
    <w:rsid w:val="009E03FD"/>
    <w:rsid w:val="009E0CA1"/>
    <w:rsid w:val="009E0F73"/>
    <w:rsid w:val="009E2E4E"/>
    <w:rsid w:val="009E2F19"/>
    <w:rsid w:val="009E495C"/>
    <w:rsid w:val="009E5678"/>
    <w:rsid w:val="009E5838"/>
    <w:rsid w:val="009E707E"/>
    <w:rsid w:val="009E7AB7"/>
    <w:rsid w:val="009F1066"/>
    <w:rsid w:val="009F1252"/>
    <w:rsid w:val="009F2B38"/>
    <w:rsid w:val="009F35C8"/>
    <w:rsid w:val="009F3E43"/>
    <w:rsid w:val="009F5FAB"/>
    <w:rsid w:val="009F62F0"/>
    <w:rsid w:val="009F68C0"/>
    <w:rsid w:val="009F6F8C"/>
    <w:rsid w:val="009F7884"/>
    <w:rsid w:val="00A0001F"/>
    <w:rsid w:val="00A000C5"/>
    <w:rsid w:val="00A0080A"/>
    <w:rsid w:val="00A0089A"/>
    <w:rsid w:val="00A012B0"/>
    <w:rsid w:val="00A01550"/>
    <w:rsid w:val="00A021D9"/>
    <w:rsid w:val="00A029EC"/>
    <w:rsid w:val="00A02BA5"/>
    <w:rsid w:val="00A03216"/>
    <w:rsid w:val="00A03852"/>
    <w:rsid w:val="00A04141"/>
    <w:rsid w:val="00A04F34"/>
    <w:rsid w:val="00A06171"/>
    <w:rsid w:val="00A061E6"/>
    <w:rsid w:val="00A06256"/>
    <w:rsid w:val="00A13752"/>
    <w:rsid w:val="00A14322"/>
    <w:rsid w:val="00A1435E"/>
    <w:rsid w:val="00A1609F"/>
    <w:rsid w:val="00A160FC"/>
    <w:rsid w:val="00A17C7F"/>
    <w:rsid w:val="00A17DA9"/>
    <w:rsid w:val="00A200B9"/>
    <w:rsid w:val="00A2017C"/>
    <w:rsid w:val="00A209EE"/>
    <w:rsid w:val="00A2173C"/>
    <w:rsid w:val="00A223E7"/>
    <w:rsid w:val="00A225CE"/>
    <w:rsid w:val="00A24472"/>
    <w:rsid w:val="00A250D6"/>
    <w:rsid w:val="00A254F3"/>
    <w:rsid w:val="00A26804"/>
    <w:rsid w:val="00A27AB0"/>
    <w:rsid w:val="00A30555"/>
    <w:rsid w:val="00A319C7"/>
    <w:rsid w:val="00A31C6C"/>
    <w:rsid w:val="00A31F4A"/>
    <w:rsid w:val="00A346AD"/>
    <w:rsid w:val="00A34D65"/>
    <w:rsid w:val="00A35D70"/>
    <w:rsid w:val="00A36C37"/>
    <w:rsid w:val="00A40BE7"/>
    <w:rsid w:val="00A4268F"/>
    <w:rsid w:val="00A42B52"/>
    <w:rsid w:val="00A4434D"/>
    <w:rsid w:val="00A44401"/>
    <w:rsid w:val="00A4452D"/>
    <w:rsid w:val="00A463C6"/>
    <w:rsid w:val="00A464A2"/>
    <w:rsid w:val="00A46FAA"/>
    <w:rsid w:val="00A47939"/>
    <w:rsid w:val="00A479B2"/>
    <w:rsid w:val="00A5013B"/>
    <w:rsid w:val="00A51F3E"/>
    <w:rsid w:val="00A52845"/>
    <w:rsid w:val="00A5311C"/>
    <w:rsid w:val="00A53497"/>
    <w:rsid w:val="00A53AFB"/>
    <w:rsid w:val="00A543E0"/>
    <w:rsid w:val="00A54586"/>
    <w:rsid w:val="00A547B7"/>
    <w:rsid w:val="00A54B22"/>
    <w:rsid w:val="00A55F1E"/>
    <w:rsid w:val="00A569CA"/>
    <w:rsid w:val="00A56C60"/>
    <w:rsid w:val="00A56D40"/>
    <w:rsid w:val="00A57625"/>
    <w:rsid w:val="00A605F3"/>
    <w:rsid w:val="00A62DA8"/>
    <w:rsid w:val="00A63136"/>
    <w:rsid w:val="00A63B9F"/>
    <w:rsid w:val="00A6514C"/>
    <w:rsid w:val="00A6652B"/>
    <w:rsid w:val="00A66BF7"/>
    <w:rsid w:val="00A66E08"/>
    <w:rsid w:val="00A66FD1"/>
    <w:rsid w:val="00A7213C"/>
    <w:rsid w:val="00A72AB7"/>
    <w:rsid w:val="00A736ED"/>
    <w:rsid w:val="00A74E88"/>
    <w:rsid w:val="00A75C97"/>
    <w:rsid w:val="00A778EB"/>
    <w:rsid w:val="00A818DF"/>
    <w:rsid w:val="00A8218D"/>
    <w:rsid w:val="00A82472"/>
    <w:rsid w:val="00A8262B"/>
    <w:rsid w:val="00A829F1"/>
    <w:rsid w:val="00A82F4C"/>
    <w:rsid w:val="00A86958"/>
    <w:rsid w:val="00A87888"/>
    <w:rsid w:val="00A87DFD"/>
    <w:rsid w:val="00A903A3"/>
    <w:rsid w:val="00A90794"/>
    <w:rsid w:val="00A90B58"/>
    <w:rsid w:val="00A90D51"/>
    <w:rsid w:val="00A91930"/>
    <w:rsid w:val="00A92807"/>
    <w:rsid w:val="00A9306B"/>
    <w:rsid w:val="00A937CB"/>
    <w:rsid w:val="00A93A25"/>
    <w:rsid w:val="00A943DA"/>
    <w:rsid w:val="00A95549"/>
    <w:rsid w:val="00A95789"/>
    <w:rsid w:val="00A9642B"/>
    <w:rsid w:val="00AA0B31"/>
    <w:rsid w:val="00AA0CE7"/>
    <w:rsid w:val="00AA1083"/>
    <w:rsid w:val="00AA2888"/>
    <w:rsid w:val="00AA3BA5"/>
    <w:rsid w:val="00AA3CD9"/>
    <w:rsid w:val="00AA43AA"/>
    <w:rsid w:val="00AA4585"/>
    <w:rsid w:val="00AA46A7"/>
    <w:rsid w:val="00AA4F35"/>
    <w:rsid w:val="00AA5204"/>
    <w:rsid w:val="00AA5582"/>
    <w:rsid w:val="00AA5AD7"/>
    <w:rsid w:val="00AA6D8B"/>
    <w:rsid w:val="00AA7797"/>
    <w:rsid w:val="00AB06A7"/>
    <w:rsid w:val="00AB0B46"/>
    <w:rsid w:val="00AB16E8"/>
    <w:rsid w:val="00AB2C90"/>
    <w:rsid w:val="00AB3479"/>
    <w:rsid w:val="00AB4F6A"/>
    <w:rsid w:val="00AB544C"/>
    <w:rsid w:val="00AB5F10"/>
    <w:rsid w:val="00AB7192"/>
    <w:rsid w:val="00AB742D"/>
    <w:rsid w:val="00AC0DC4"/>
    <w:rsid w:val="00AC1A34"/>
    <w:rsid w:val="00AC2195"/>
    <w:rsid w:val="00AC2DBE"/>
    <w:rsid w:val="00AC32D1"/>
    <w:rsid w:val="00AC6194"/>
    <w:rsid w:val="00AC713C"/>
    <w:rsid w:val="00AC7CFC"/>
    <w:rsid w:val="00AD2158"/>
    <w:rsid w:val="00AD3361"/>
    <w:rsid w:val="00AD45F5"/>
    <w:rsid w:val="00AD6590"/>
    <w:rsid w:val="00AD6BC2"/>
    <w:rsid w:val="00AD7540"/>
    <w:rsid w:val="00AD7DB1"/>
    <w:rsid w:val="00AE16F7"/>
    <w:rsid w:val="00AE16FF"/>
    <w:rsid w:val="00AE241F"/>
    <w:rsid w:val="00AE4C66"/>
    <w:rsid w:val="00AE6764"/>
    <w:rsid w:val="00AF0A0E"/>
    <w:rsid w:val="00AF0D7A"/>
    <w:rsid w:val="00AF0F1E"/>
    <w:rsid w:val="00AF11F5"/>
    <w:rsid w:val="00AF12DA"/>
    <w:rsid w:val="00AF184F"/>
    <w:rsid w:val="00AF1911"/>
    <w:rsid w:val="00AF2D95"/>
    <w:rsid w:val="00AF3037"/>
    <w:rsid w:val="00AF3A46"/>
    <w:rsid w:val="00AF5F78"/>
    <w:rsid w:val="00AF79B3"/>
    <w:rsid w:val="00B00369"/>
    <w:rsid w:val="00B01644"/>
    <w:rsid w:val="00B024D4"/>
    <w:rsid w:val="00B02F39"/>
    <w:rsid w:val="00B032C5"/>
    <w:rsid w:val="00B037EF"/>
    <w:rsid w:val="00B05BC1"/>
    <w:rsid w:val="00B05EBB"/>
    <w:rsid w:val="00B07076"/>
    <w:rsid w:val="00B07B64"/>
    <w:rsid w:val="00B07C3F"/>
    <w:rsid w:val="00B11699"/>
    <w:rsid w:val="00B117BA"/>
    <w:rsid w:val="00B11D7D"/>
    <w:rsid w:val="00B13823"/>
    <w:rsid w:val="00B13BF7"/>
    <w:rsid w:val="00B13ED6"/>
    <w:rsid w:val="00B13F27"/>
    <w:rsid w:val="00B1471A"/>
    <w:rsid w:val="00B15075"/>
    <w:rsid w:val="00B1512A"/>
    <w:rsid w:val="00B15E6F"/>
    <w:rsid w:val="00B168BB"/>
    <w:rsid w:val="00B1757C"/>
    <w:rsid w:val="00B2045D"/>
    <w:rsid w:val="00B21751"/>
    <w:rsid w:val="00B220B1"/>
    <w:rsid w:val="00B22355"/>
    <w:rsid w:val="00B23424"/>
    <w:rsid w:val="00B23E99"/>
    <w:rsid w:val="00B2463A"/>
    <w:rsid w:val="00B246E1"/>
    <w:rsid w:val="00B25DFD"/>
    <w:rsid w:val="00B313D4"/>
    <w:rsid w:val="00B318C5"/>
    <w:rsid w:val="00B31BCF"/>
    <w:rsid w:val="00B321AD"/>
    <w:rsid w:val="00B33778"/>
    <w:rsid w:val="00B3377A"/>
    <w:rsid w:val="00B35B51"/>
    <w:rsid w:val="00B36387"/>
    <w:rsid w:val="00B4025F"/>
    <w:rsid w:val="00B40B51"/>
    <w:rsid w:val="00B41EFC"/>
    <w:rsid w:val="00B42D39"/>
    <w:rsid w:val="00B42D89"/>
    <w:rsid w:val="00B43416"/>
    <w:rsid w:val="00B44F58"/>
    <w:rsid w:val="00B4556A"/>
    <w:rsid w:val="00B460EF"/>
    <w:rsid w:val="00B46615"/>
    <w:rsid w:val="00B46CFA"/>
    <w:rsid w:val="00B475E8"/>
    <w:rsid w:val="00B47DB4"/>
    <w:rsid w:val="00B501E7"/>
    <w:rsid w:val="00B50DD5"/>
    <w:rsid w:val="00B5127A"/>
    <w:rsid w:val="00B516F7"/>
    <w:rsid w:val="00B52974"/>
    <w:rsid w:val="00B5297C"/>
    <w:rsid w:val="00B53381"/>
    <w:rsid w:val="00B5439F"/>
    <w:rsid w:val="00B546F8"/>
    <w:rsid w:val="00B54DB6"/>
    <w:rsid w:val="00B558E6"/>
    <w:rsid w:val="00B55F4C"/>
    <w:rsid w:val="00B57E2C"/>
    <w:rsid w:val="00B57EA6"/>
    <w:rsid w:val="00B61BB8"/>
    <w:rsid w:val="00B61CE7"/>
    <w:rsid w:val="00B627F5"/>
    <w:rsid w:val="00B62B9A"/>
    <w:rsid w:val="00B6403F"/>
    <w:rsid w:val="00B643CD"/>
    <w:rsid w:val="00B64488"/>
    <w:rsid w:val="00B651FC"/>
    <w:rsid w:val="00B655CA"/>
    <w:rsid w:val="00B6578C"/>
    <w:rsid w:val="00B6669E"/>
    <w:rsid w:val="00B66B80"/>
    <w:rsid w:val="00B67D5E"/>
    <w:rsid w:val="00B70134"/>
    <w:rsid w:val="00B7062D"/>
    <w:rsid w:val="00B72309"/>
    <w:rsid w:val="00B732C4"/>
    <w:rsid w:val="00B73A37"/>
    <w:rsid w:val="00B7408D"/>
    <w:rsid w:val="00B7414C"/>
    <w:rsid w:val="00B74DC2"/>
    <w:rsid w:val="00B75478"/>
    <w:rsid w:val="00B75B8A"/>
    <w:rsid w:val="00B76E7F"/>
    <w:rsid w:val="00B77AF1"/>
    <w:rsid w:val="00B804FA"/>
    <w:rsid w:val="00B807C0"/>
    <w:rsid w:val="00B80D33"/>
    <w:rsid w:val="00B81DF2"/>
    <w:rsid w:val="00B82474"/>
    <w:rsid w:val="00B8451E"/>
    <w:rsid w:val="00B848A7"/>
    <w:rsid w:val="00B84DC3"/>
    <w:rsid w:val="00B85675"/>
    <w:rsid w:val="00B86532"/>
    <w:rsid w:val="00B86596"/>
    <w:rsid w:val="00B87B79"/>
    <w:rsid w:val="00B90A68"/>
    <w:rsid w:val="00B90D0F"/>
    <w:rsid w:val="00B9181A"/>
    <w:rsid w:val="00B92967"/>
    <w:rsid w:val="00B93183"/>
    <w:rsid w:val="00B9350D"/>
    <w:rsid w:val="00B93796"/>
    <w:rsid w:val="00B9437E"/>
    <w:rsid w:val="00B9483E"/>
    <w:rsid w:val="00B9514D"/>
    <w:rsid w:val="00B9615B"/>
    <w:rsid w:val="00B9749F"/>
    <w:rsid w:val="00B979B9"/>
    <w:rsid w:val="00BA19BF"/>
    <w:rsid w:val="00BA2CC8"/>
    <w:rsid w:val="00BA2F30"/>
    <w:rsid w:val="00BA3204"/>
    <w:rsid w:val="00BA3A49"/>
    <w:rsid w:val="00BA4942"/>
    <w:rsid w:val="00BA6245"/>
    <w:rsid w:val="00BA6AC3"/>
    <w:rsid w:val="00BA720C"/>
    <w:rsid w:val="00BA7753"/>
    <w:rsid w:val="00BB069B"/>
    <w:rsid w:val="00BB07DC"/>
    <w:rsid w:val="00BB137D"/>
    <w:rsid w:val="00BB2009"/>
    <w:rsid w:val="00BB3238"/>
    <w:rsid w:val="00BB3A0F"/>
    <w:rsid w:val="00BB4E5F"/>
    <w:rsid w:val="00BB5752"/>
    <w:rsid w:val="00BB6465"/>
    <w:rsid w:val="00BB6541"/>
    <w:rsid w:val="00BC0024"/>
    <w:rsid w:val="00BC06D2"/>
    <w:rsid w:val="00BC0C41"/>
    <w:rsid w:val="00BC3BE0"/>
    <w:rsid w:val="00BC640A"/>
    <w:rsid w:val="00BC6E30"/>
    <w:rsid w:val="00BC6F8B"/>
    <w:rsid w:val="00BC6FA0"/>
    <w:rsid w:val="00BC7847"/>
    <w:rsid w:val="00BD0233"/>
    <w:rsid w:val="00BD0600"/>
    <w:rsid w:val="00BD211C"/>
    <w:rsid w:val="00BD2703"/>
    <w:rsid w:val="00BD2CA9"/>
    <w:rsid w:val="00BD35F8"/>
    <w:rsid w:val="00BD3A67"/>
    <w:rsid w:val="00BD637F"/>
    <w:rsid w:val="00BD6FFE"/>
    <w:rsid w:val="00BD7C43"/>
    <w:rsid w:val="00BE0816"/>
    <w:rsid w:val="00BE0E90"/>
    <w:rsid w:val="00BE18A3"/>
    <w:rsid w:val="00BE2331"/>
    <w:rsid w:val="00BE2E31"/>
    <w:rsid w:val="00BE3D22"/>
    <w:rsid w:val="00BE4944"/>
    <w:rsid w:val="00BF19C4"/>
    <w:rsid w:val="00BF2B65"/>
    <w:rsid w:val="00BF3978"/>
    <w:rsid w:val="00BF3ECC"/>
    <w:rsid w:val="00BF553E"/>
    <w:rsid w:val="00BF5B0F"/>
    <w:rsid w:val="00BF6339"/>
    <w:rsid w:val="00BF6BE8"/>
    <w:rsid w:val="00BF726A"/>
    <w:rsid w:val="00BF7441"/>
    <w:rsid w:val="00BF7B2E"/>
    <w:rsid w:val="00BF7C43"/>
    <w:rsid w:val="00BF7DA9"/>
    <w:rsid w:val="00C006F4"/>
    <w:rsid w:val="00C00AE6"/>
    <w:rsid w:val="00C00C3E"/>
    <w:rsid w:val="00C01408"/>
    <w:rsid w:val="00C01E96"/>
    <w:rsid w:val="00C01ED4"/>
    <w:rsid w:val="00C026E6"/>
    <w:rsid w:val="00C03863"/>
    <w:rsid w:val="00C0444F"/>
    <w:rsid w:val="00C04D84"/>
    <w:rsid w:val="00C0782E"/>
    <w:rsid w:val="00C10769"/>
    <w:rsid w:val="00C107A2"/>
    <w:rsid w:val="00C10A6D"/>
    <w:rsid w:val="00C13C6A"/>
    <w:rsid w:val="00C14522"/>
    <w:rsid w:val="00C14AAC"/>
    <w:rsid w:val="00C14AC7"/>
    <w:rsid w:val="00C14C24"/>
    <w:rsid w:val="00C15F24"/>
    <w:rsid w:val="00C16144"/>
    <w:rsid w:val="00C165C0"/>
    <w:rsid w:val="00C16761"/>
    <w:rsid w:val="00C207E1"/>
    <w:rsid w:val="00C208BE"/>
    <w:rsid w:val="00C20FB6"/>
    <w:rsid w:val="00C2112C"/>
    <w:rsid w:val="00C228AE"/>
    <w:rsid w:val="00C23D92"/>
    <w:rsid w:val="00C245AB"/>
    <w:rsid w:val="00C24FC6"/>
    <w:rsid w:val="00C25081"/>
    <w:rsid w:val="00C250F3"/>
    <w:rsid w:val="00C25E57"/>
    <w:rsid w:val="00C30C93"/>
    <w:rsid w:val="00C30D11"/>
    <w:rsid w:val="00C3228C"/>
    <w:rsid w:val="00C33F2E"/>
    <w:rsid w:val="00C33F49"/>
    <w:rsid w:val="00C34765"/>
    <w:rsid w:val="00C34D4D"/>
    <w:rsid w:val="00C35268"/>
    <w:rsid w:val="00C352E2"/>
    <w:rsid w:val="00C36283"/>
    <w:rsid w:val="00C37198"/>
    <w:rsid w:val="00C374ED"/>
    <w:rsid w:val="00C37724"/>
    <w:rsid w:val="00C37B01"/>
    <w:rsid w:val="00C37DD1"/>
    <w:rsid w:val="00C402B2"/>
    <w:rsid w:val="00C40830"/>
    <w:rsid w:val="00C40A0C"/>
    <w:rsid w:val="00C41595"/>
    <w:rsid w:val="00C43E5C"/>
    <w:rsid w:val="00C44026"/>
    <w:rsid w:val="00C44856"/>
    <w:rsid w:val="00C45779"/>
    <w:rsid w:val="00C46097"/>
    <w:rsid w:val="00C47EF7"/>
    <w:rsid w:val="00C52575"/>
    <w:rsid w:val="00C52AA0"/>
    <w:rsid w:val="00C52D03"/>
    <w:rsid w:val="00C53493"/>
    <w:rsid w:val="00C5366B"/>
    <w:rsid w:val="00C55714"/>
    <w:rsid w:val="00C57277"/>
    <w:rsid w:val="00C60D5D"/>
    <w:rsid w:val="00C61108"/>
    <w:rsid w:val="00C6142A"/>
    <w:rsid w:val="00C6373F"/>
    <w:rsid w:val="00C63D0C"/>
    <w:rsid w:val="00C640ED"/>
    <w:rsid w:val="00C641FD"/>
    <w:rsid w:val="00C644AA"/>
    <w:rsid w:val="00C64D18"/>
    <w:rsid w:val="00C651DF"/>
    <w:rsid w:val="00C65E13"/>
    <w:rsid w:val="00C67859"/>
    <w:rsid w:val="00C67F35"/>
    <w:rsid w:val="00C67F6C"/>
    <w:rsid w:val="00C71113"/>
    <w:rsid w:val="00C714AA"/>
    <w:rsid w:val="00C71A10"/>
    <w:rsid w:val="00C7566B"/>
    <w:rsid w:val="00C76379"/>
    <w:rsid w:val="00C765AF"/>
    <w:rsid w:val="00C76B28"/>
    <w:rsid w:val="00C76FA4"/>
    <w:rsid w:val="00C814D4"/>
    <w:rsid w:val="00C82B8E"/>
    <w:rsid w:val="00C84193"/>
    <w:rsid w:val="00C86EA2"/>
    <w:rsid w:val="00C872E7"/>
    <w:rsid w:val="00C904B2"/>
    <w:rsid w:val="00C90A00"/>
    <w:rsid w:val="00C914F3"/>
    <w:rsid w:val="00C91750"/>
    <w:rsid w:val="00C931DE"/>
    <w:rsid w:val="00C93253"/>
    <w:rsid w:val="00C943D5"/>
    <w:rsid w:val="00C947F6"/>
    <w:rsid w:val="00C94A6B"/>
    <w:rsid w:val="00CA1064"/>
    <w:rsid w:val="00CA21BE"/>
    <w:rsid w:val="00CA32D5"/>
    <w:rsid w:val="00CA345F"/>
    <w:rsid w:val="00CA3503"/>
    <w:rsid w:val="00CA3BF9"/>
    <w:rsid w:val="00CA3DFE"/>
    <w:rsid w:val="00CA4073"/>
    <w:rsid w:val="00CA4EBB"/>
    <w:rsid w:val="00CA58B8"/>
    <w:rsid w:val="00CA594F"/>
    <w:rsid w:val="00CA7619"/>
    <w:rsid w:val="00CB02F6"/>
    <w:rsid w:val="00CB1587"/>
    <w:rsid w:val="00CB17FF"/>
    <w:rsid w:val="00CB1B3D"/>
    <w:rsid w:val="00CB5D90"/>
    <w:rsid w:val="00CB690A"/>
    <w:rsid w:val="00CC009C"/>
    <w:rsid w:val="00CC0121"/>
    <w:rsid w:val="00CC0C62"/>
    <w:rsid w:val="00CC1794"/>
    <w:rsid w:val="00CC17F9"/>
    <w:rsid w:val="00CC249A"/>
    <w:rsid w:val="00CC267B"/>
    <w:rsid w:val="00CC30B3"/>
    <w:rsid w:val="00CC312A"/>
    <w:rsid w:val="00CC4CF4"/>
    <w:rsid w:val="00CC5433"/>
    <w:rsid w:val="00CC552E"/>
    <w:rsid w:val="00CC5D2A"/>
    <w:rsid w:val="00CC5DC3"/>
    <w:rsid w:val="00CC6673"/>
    <w:rsid w:val="00CC6A9E"/>
    <w:rsid w:val="00CC6DB0"/>
    <w:rsid w:val="00CC79F6"/>
    <w:rsid w:val="00CD0103"/>
    <w:rsid w:val="00CD1792"/>
    <w:rsid w:val="00CD184D"/>
    <w:rsid w:val="00CD18CB"/>
    <w:rsid w:val="00CD1F3C"/>
    <w:rsid w:val="00CD23A0"/>
    <w:rsid w:val="00CD51A8"/>
    <w:rsid w:val="00CD7666"/>
    <w:rsid w:val="00CE3BF3"/>
    <w:rsid w:val="00CE4B6F"/>
    <w:rsid w:val="00CE4B76"/>
    <w:rsid w:val="00CE5191"/>
    <w:rsid w:val="00CE5882"/>
    <w:rsid w:val="00CE6625"/>
    <w:rsid w:val="00CE743A"/>
    <w:rsid w:val="00CF0B45"/>
    <w:rsid w:val="00CF0CAD"/>
    <w:rsid w:val="00CF27D6"/>
    <w:rsid w:val="00CF36FA"/>
    <w:rsid w:val="00CF3709"/>
    <w:rsid w:val="00CF40D8"/>
    <w:rsid w:val="00CF4B11"/>
    <w:rsid w:val="00CF5530"/>
    <w:rsid w:val="00CF5853"/>
    <w:rsid w:val="00D0200E"/>
    <w:rsid w:val="00D024A3"/>
    <w:rsid w:val="00D0435D"/>
    <w:rsid w:val="00D04467"/>
    <w:rsid w:val="00D05CEC"/>
    <w:rsid w:val="00D05D2F"/>
    <w:rsid w:val="00D062E3"/>
    <w:rsid w:val="00D079B6"/>
    <w:rsid w:val="00D108D9"/>
    <w:rsid w:val="00D10DE9"/>
    <w:rsid w:val="00D11531"/>
    <w:rsid w:val="00D1316E"/>
    <w:rsid w:val="00D13B6F"/>
    <w:rsid w:val="00D13EDA"/>
    <w:rsid w:val="00D143D5"/>
    <w:rsid w:val="00D15AC8"/>
    <w:rsid w:val="00D16AC6"/>
    <w:rsid w:val="00D171D4"/>
    <w:rsid w:val="00D178E0"/>
    <w:rsid w:val="00D20290"/>
    <w:rsid w:val="00D206B5"/>
    <w:rsid w:val="00D222CC"/>
    <w:rsid w:val="00D222F2"/>
    <w:rsid w:val="00D23119"/>
    <w:rsid w:val="00D2351A"/>
    <w:rsid w:val="00D24C11"/>
    <w:rsid w:val="00D25A10"/>
    <w:rsid w:val="00D25AC8"/>
    <w:rsid w:val="00D26C30"/>
    <w:rsid w:val="00D26FB0"/>
    <w:rsid w:val="00D270E7"/>
    <w:rsid w:val="00D27915"/>
    <w:rsid w:val="00D306CD"/>
    <w:rsid w:val="00D313AE"/>
    <w:rsid w:val="00D329EC"/>
    <w:rsid w:val="00D33907"/>
    <w:rsid w:val="00D33CAC"/>
    <w:rsid w:val="00D33DE0"/>
    <w:rsid w:val="00D3498A"/>
    <w:rsid w:val="00D34E61"/>
    <w:rsid w:val="00D361E8"/>
    <w:rsid w:val="00D36AB2"/>
    <w:rsid w:val="00D37511"/>
    <w:rsid w:val="00D379F4"/>
    <w:rsid w:val="00D37ABC"/>
    <w:rsid w:val="00D40268"/>
    <w:rsid w:val="00D40A34"/>
    <w:rsid w:val="00D40E94"/>
    <w:rsid w:val="00D413DB"/>
    <w:rsid w:val="00D41C55"/>
    <w:rsid w:val="00D426E4"/>
    <w:rsid w:val="00D4382D"/>
    <w:rsid w:val="00D44AC2"/>
    <w:rsid w:val="00D45F09"/>
    <w:rsid w:val="00D47528"/>
    <w:rsid w:val="00D479D4"/>
    <w:rsid w:val="00D47D51"/>
    <w:rsid w:val="00D50C49"/>
    <w:rsid w:val="00D50E21"/>
    <w:rsid w:val="00D51150"/>
    <w:rsid w:val="00D51723"/>
    <w:rsid w:val="00D51FED"/>
    <w:rsid w:val="00D53690"/>
    <w:rsid w:val="00D5472F"/>
    <w:rsid w:val="00D54838"/>
    <w:rsid w:val="00D5485D"/>
    <w:rsid w:val="00D550B4"/>
    <w:rsid w:val="00D55D64"/>
    <w:rsid w:val="00D5691E"/>
    <w:rsid w:val="00D57657"/>
    <w:rsid w:val="00D57BC8"/>
    <w:rsid w:val="00D60394"/>
    <w:rsid w:val="00D61095"/>
    <w:rsid w:val="00D61AB1"/>
    <w:rsid w:val="00D63B92"/>
    <w:rsid w:val="00D6606F"/>
    <w:rsid w:val="00D662F1"/>
    <w:rsid w:val="00D667BB"/>
    <w:rsid w:val="00D6685E"/>
    <w:rsid w:val="00D66935"/>
    <w:rsid w:val="00D66F32"/>
    <w:rsid w:val="00D67595"/>
    <w:rsid w:val="00D67753"/>
    <w:rsid w:val="00D677D0"/>
    <w:rsid w:val="00D67E78"/>
    <w:rsid w:val="00D67F4B"/>
    <w:rsid w:val="00D718FF"/>
    <w:rsid w:val="00D7250A"/>
    <w:rsid w:val="00D73AAC"/>
    <w:rsid w:val="00D73CD1"/>
    <w:rsid w:val="00D73E05"/>
    <w:rsid w:val="00D7476C"/>
    <w:rsid w:val="00D74944"/>
    <w:rsid w:val="00D74ACD"/>
    <w:rsid w:val="00D754B8"/>
    <w:rsid w:val="00D7596E"/>
    <w:rsid w:val="00D776EB"/>
    <w:rsid w:val="00D77E1C"/>
    <w:rsid w:val="00D80179"/>
    <w:rsid w:val="00D801E3"/>
    <w:rsid w:val="00D80E5F"/>
    <w:rsid w:val="00D80F5D"/>
    <w:rsid w:val="00D8237C"/>
    <w:rsid w:val="00D826EC"/>
    <w:rsid w:val="00D83E27"/>
    <w:rsid w:val="00D8418A"/>
    <w:rsid w:val="00D8466E"/>
    <w:rsid w:val="00D847F4"/>
    <w:rsid w:val="00D84B5E"/>
    <w:rsid w:val="00D8712F"/>
    <w:rsid w:val="00D90BCE"/>
    <w:rsid w:val="00D92149"/>
    <w:rsid w:val="00D92582"/>
    <w:rsid w:val="00D92956"/>
    <w:rsid w:val="00D96407"/>
    <w:rsid w:val="00D96601"/>
    <w:rsid w:val="00D97B65"/>
    <w:rsid w:val="00DA0626"/>
    <w:rsid w:val="00DA1735"/>
    <w:rsid w:val="00DA18AD"/>
    <w:rsid w:val="00DA3A72"/>
    <w:rsid w:val="00DA51F0"/>
    <w:rsid w:val="00DA5E17"/>
    <w:rsid w:val="00DA7E9A"/>
    <w:rsid w:val="00DB0C88"/>
    <w:rsid w:val="00DB0D8C"/>
    <w:rsid w:val="00DB13BA"/>
    <w:rsid w:val="00DB1534"/>
    <w:rsid w:val="00DB1621"/>
    <w:rsid w:val="00DB4A95"/>
    <w:rsid w:val="00DB5DEB"/>
    <w:rsid w:val="00DB6AF0"/>
    <w:rsid w:val="00DB7F56"/>
    <w:rsid w:val="00DC11D8"/>
    <w:rsid w:val="00DC1356"/>
    <w:rsid w:val="00DC13B9"/>
    <w:rsid w:val="00DC1887"/>
    <w:rsid w:val="00DC19E8"/>
    <w:rsid w:val="00DC3C55"/>
    <w:rsid w:val="00DC441E"/>
    <w:rsid w:val="00DC4C56"/>
    <w:rsid w:val="00DC682D"/>
    <w:rsid w:val="00DC7274"/>
    <w:rsid w:val="00DC749F"/>
    <w:rsid w:val="00DC7BC1"/>
    <w:rsid w:val="00DD0ECE"/>
    <w:rsid w:val="00DD13D2"/>
    <w:rsid w:val="00DD1795"/>
    <w:rsid w:val="00DD19B5"/>
    <w:rsid w:val="00DD19C4"/>
    <w:rsid w:val="00DD2461"/>
    <w:rsid w:val="00DD24C1"/>
    <w:rsid w:val="00DD3158"/>
    <w:rsid w:val="00DD4158"/>
    <w:rsid w:val="00DD4999"/>
    <w:rsid w:val="00DD49BA"/>
    <w:rsid w:val="00DD55F5"/>
    <w:rsid w:val="00DD5695"/>
    <w:rsid w:val="00DD6422"/>
    <w:rsid w:val="00DD6E97"/>
    <w:rsid w:val="00DD72A0"/>
    <w:rsid w:val="00DD77C5"/>
    <w:rsid w:val="00DE1F51"/>
    <w:rsid w:val="00DE23FD"/>
    <w:rsid w:val="00DE3764"/>
    <w:rsid w:val="00DE4BFC"/>
    <w:rsid w:val="00DE5B25"/>
    <w:rsid w:val="00DE6795"/>
    <w:rsid w:val="00DE680D"/>
    <w:rsid w:val="00DE73B0"/>
    <w:rsid w:val="00DE7B22"/>
    <w:rsid w:val="00DF1501"/>
    <w:rsid w:val="00DF16BF"/>
    <w:rsid w:val="00DF195B"/>
    <w:rsid w:val="00DF2215"/>
    <w:rsid w:val="00DF4424"/>
    <w:rsid w:val="00DF63E5"/>
    <w:rsid w:val="00DF7504"/>
    <w:rsid w:val="00DF7FFB"/>
    <w:rsid w:val="00E008BA"/>
    <w:rsid w:val="00E00BEC"/>
    <w:rsid w:val="00E012DA"/>
    <w:rsid w:val="00E0135F"/>
    <w:rsid w:val="00E02956"/>
    <w:rsid w:val="00E0365F"/>
    <w:rsid w:val="00E03682"/>
    <w:rsid w:val="00E047DA"/>
    <w:rsid w:val="00E04BE1"/>
    <w:rsid w:val="00E04DD7"/>
    <w:rsid w:val="00E05100"/>
    <w:rsid w:val="00E05E1C"/>
    <w:rsid w:val="00E1062A"/>
    <w:rsid w:val="00E10FA5"/>
    <w:rsid w:val="00E11175"/>
    <w:rsid w:val="00E114E8"/>
    <w:rsid w:val="00E11844"/>
    <w:rsid w:val="00E136EA"/>
    <w:rsid w:val="00E14704"/>
    <w:rsid w:val="00E1490F"/>
    <w:rsid w:val="00E15100"/>
    <w:rsid w:val="00E15815"/>
    <w:rsid w:val="00E15F82"/>
    <w:rsid w:val="00E16401"/>
    <w:rsid w:val="00E16838"/>
    <w:rsid w:val="00E16B6E"/>
    <w:rsid w:val="00E204BE"/>
    <w:rsid w:val="00E231D1"/>
    <w:rsid w:val="00E2408A"/>
    <w:rsid w:val="00E24736"/>
    <w:rsid w:val="00E24835"/>
    <w:rsid w:val="00E252E1"/>
    <w:rsid w:val="00E2595B"/>
    <w:rsid w:val="00E25DCB"/>
    <w:rsid w:val="00E26978"/>
    <w:rsid w:val="00E26A00"/>
    <w:rsid w:val="00E273D3"/>
    <w:rsid w:val="00E30009"/>
    <w:rsid w:val="00E30C2C"/>
    <w:rsid w:val="00E31693"/>
    <w:rsid w:val="00E31A2F"/>
    <w:rsid w:val="00E33DF8"/>
    <w:rsid w:val="00E3423C"/>
    <w:rsid w:val="00E34DBD"/>
    <w:rsid w:val="00E3578D"/>
    <w:rsid w:val="00E36689"/>
    <w:rsid w:val="00E40242"/>
    <w:rsid w:val="00E40AD3"/>
    <w:rsid w:val="00E437C5"/>
    <w:rsid w:val="00E44332"/>
    <w:rsid w:val="00E4681C"/>
    <w:rsid w:val="00E473A7"/>
    <w:rsid w:val="00E50190"/>
    <w:rsid w:val="00E50AEF"/>
    <w:rsid w:val="00E5116B"/>
    <w:rsid w:val="00E554FA"/>
    <w:rsid w:val="00E559E9"/>
    <w:rsid w:val="00E56640"/>
    <w:rsid w:val="00E6057E"/>
    <w:rsid w:val="00E61067"/>
    <w:rsid w:val="00E61653"/>
    <w:rsid w:val="00E61A6C"/>
    <w:rsid w:val="00E622E2"/>
    <w:rsid w:val="00E62364"/>
    <w:rsid w:val="00E62978"/>
    <w:rsid w:val="00E64465"/>
    <w:rsid w:val="00E659D2"/>
    <w:rsid w:val="00E67332"/>
    <w:rsid w:val="00E673BF"/>
    <w:rsid w:val="00E72154"/>
    <w:rsid w:val="00E72B4C"/>
    <w:rsid w:val="00E74740"/>
    <w:rsid w:val="00E75007"/>
    <w:rsid w:val="00E75217"/>
    <w:rsid w:val="00E75366"/>
    <w:rsid w:val="00E764C6"/>
    <w:rsid w:val="00E76ADC"/>
    <w:rsid w:val="00E77304"/>
    <w:rsid w:val="00E8008D"/>
    <w:rsid w:val="00E802B6"/>
    <w:rsid w:val="00E80A20"/>
    <w:rsid w:val="00E80AD5"/>
    <w:rsid w:val="00E81873"/>
    <w:rsid w:val="00E82700"/>
    <w:rsid w:val="00E83DB6"/>
    <w:rsid w:val="00E840F5"/>
    <w:rsid w:val="00E84972"/>
    <w:rsid w:val="00E84D60"/>
    <w:rsid w:val="00E84E78"/>
    <w:rsid w:val="00E85BBD"/>
    <w:rsid w:val="00E8613A"/>
    <w:rsid w:val="00E86E5B"/>
    <w:rsid w:val="00E90478"/>
    <w:rsid w:val="00E93788"/>
    <w:rsid w:val="00E93824"/>
    <w:rsid w:val="00E9394A"/>
    <w:rsid w:val="00E94005"/>
    <w:rsid w:val="00E95057"/>
    <w:rsid w:val="00E9522C"/>
    <w:rsid w:val="00E961D6"/>
    <w:rsid w:val="00E96885"/>
    <w:rsid w:val="00E96CC0"/>
    <w:rsid w:val="00E96DBF"/>
    <w:rsid w:val="00E97F4D"/>
    <w:rsid w:val="00EA120C"/>
    <w:rsid w:val="00EA2D3C"/>
    <w:rsid w:val="00EA3AA7"/>
    <w:rsid w:val="00EA4295"/>
    <w:rsid w:val="00EA4EE6"/>
    <w:rsid w:val="00EA718E"/>
    <w:rsid w:val="00EA7DCA"/>
    <w:rsid w:val="00EA7F0C"/>
    <w:rsid w:val="00EB0D93"/>
    <w:rsid w:val="00EB14C5"/>
    <w:rsid w:val="00EB3840"/>
    <w:rsid w:val="00EB3D29"/>
    <w:rsid w:val="00EB4C67"/>
    <w:rsid w:val="00EB57EE"/>
    <w:rsid w:val="00EB66EC"/>
    <w:rsid w:val="00EB749B"/>
    <w:rsid w:val="00EB7779"/>
    <w:rsid w:val="00EB7BEE"/>
    <w:rsid w:val="00EB7FD7"/>
    <w:rsid w:val="00EC15C5"/>
    <w:rsid w:val="00EC1CF9"/>
    <w:rsid w:val="00EC4D16"/>
    <w:rsid w:val="00EC4F25"/>
    <w:rsid w:val="00EC5317"/>
    <w:rsid w:val="00EC5619"/>
    <w:rsid w:val="00EC7786"/>
    <w:rsid w:val="00ED0CDB"/>
    <w:rsid w:val="00ED1EB7"/>
    <w:rsid w:val="00ED1F19"/>
    <w:rsid w:val="00ED1F5B"/>
    <w:rsid w:val="00ED225F"/>
    <w:rsid w:val="00ED3FCD"/>
    <w:rsid w:val="00ED6721"/>
    <w:rsid w:val="00ED677B"/>
    <w:rsid w:val="00ED6F14"/>
    <w:rsid w:val="00ED758A"/>
    <w:rsid w:val="00ED7673"/>
    <w:rsid w:val="00EE01E0"/>
    <w:rsid w:val="00EE14E6"/>
    <w:rsid w:val="00EE19AA"/>
    <w:rsid w:val="00EE1F24"/>
    <w:rsid w:val="00EE2370"/>
    <w:rsid w:val="00EE2664"/>
    <w:rsid w:val="00EE296D"/>
    <w:rsid w:val="00EE356C"/>
    <w:rsid w:val="00EE4421"/>
    <w:rsid w:val="00EE4CBE"/>
    <w:rsid w:val="00EE55A7"/>
    <w:rsid w:val="00EE635D"/>
    <w:rsid w:val="00EE65C8"/>
    <w:rsid w:val="00EE67BB"/>
    <w:rsid w:val="00EE6DDB"/>
    <w:rsid w:val="00EE7ED0"/>
    <w:rsid w:val="00EF15F4"/>
    <w:rsid w:val="00EF18EE"/>
    <w:rsid w:val="00EF20AB"/>
    <w:rsid w:val="00EF21D4"/>
    <w:rsid w:val="00EF47DF"/>
    <w:rsid w:val="00EF5964"/>
    <w:rsid w:val="00EF6872"/>
    <w:rsid w:val="00EF7200"/>
    <w:rsid w:val="00EF7C10"/>
    <w:rsid w:val="00EF7F9A"/>
    <w:rsid w:val="00F0148E"/>
    <w:rsid w:val="00F02317"/>
    <w:rsid w:val="00F025A6"/>
    <w:rsid w:val="00F02E75"/>
    <w:rsid w:val="00F04402"/>
    <w:rsid w:val="00F047C9"/>
    <w:rsid w:val="00F06184"/>
    <w:rsid w:val="00F06263"/>
    <w:rsid w:val="00F065E4"/>
    <w:rsid w:val="00F0719B"/>
    <w:rsid w:val="00F07A95"/>
    <w:rsid w:val="00F07F78"/>
    <w:rsid w:val="00F11A70"/>
    <w:rsid w:val="00F121D8"/>
    <w:rsid w:val="00F121DC"/>
    <w:rsid w:val="00F130B0"/>
    <w:rsid w:val="00F134A6"/>
    <w:rsid w:val="00F13A87"/>
    <w:rsid w:val="00F14ABB"/>
    <w:rsid w:val="00F14DDD"/>
    <w:rsid w:val="00F15EE4"/>
    <w:rsid w:val="00F162D0"/>
    <w:rsid w:val="00F16FDB"/>
    <w:rsid w:val="00F17507"/>
    <w:rsid w:val="00F179AB"/>
    <w:rsid w:val="00F201CB"/>
    <w:rsid w:val="00F20975"/>
    <w:rsid w:val="00F22BCC"/>
    <w:rsid w:val="00F22CAE"/>
    <w:rsid w:val="00F22F48"/>
    <w:rsid w:val="00F241BF"/>
    <w:rsid w:val="00F243FE"/>
    <w:rsid w:val="00F24E36"/>
    <w:rsid w:val="00F258CC"/>
    <w:rsid w:val="00F26DAE"/>
    <w:rsid w:val="00F3066C"/>
    <w:rsid w:val="00F3154B"/>
    <w:rsid w:val="00F318B9"/>
    <w:rsid w:val="00F319D4"/>
    <w:rsid w:val="00F31F9E"/>
    <w:rsid w:val="00F32B5A"/>
    <w:rsid w:val="00F36835"/>
    <w:rsid w:val="00F37360"/>
    <w:rsid w:val="00F378CE"/>
    <w:rsid w:val="00F4127A"/>
    <w:rsid w:val="00F42C87"/>
    <w:rsid w:val="00F4551C"/>
    <w:rsid w:val="00F464F8"/>
    <w:rsid w:val="00F475DD"/>
    <w:rsid w:val="00F47794"/>
    <w:rsid w:val="00F50EFC"/>
    <w:rsid w:val="00F527AF"/>
    <w:rsid w:val="00F539CA"/>
    <w:rsid w:val="00F53C4D"/>
    <w:rsid w:val="00F53FAD"/>
    <w:rsid w:val="00F54B7F"/>
    <w:rsid w:val="00F55B6C"/>
    <w:rsid w:val="00F57F80"/>
    <w:rsid w:val="00F60094"/>
    <w:rsid w:val="00F6631A"/>
    <w:rsid w:val="00F66E5F"/>
    <w:rsid w:val="00F6753B"/>
    <w:rsid w:val="00F705B0"/>
    <w:rsid w:val="00F7064A"/>
    <w:rsid w:val="00F71B79"/>
    <w:rsid w:val="00F721E0"/>
    <w:rsid w:val="00F72F7B"/>
    <w:rsid w:val="00F73047"/>
    <w:rsid w:val="00F73282"/>
    <w:rsid w:val="00F73FB6"/>
    <w:rsid w:val="00F74BD7"/>
    <w:rsid w:val="00F75398"/>
    <w:rsid w:val="00F760B0"/>
    <w:rsid w:val="00F762AF"/>
    <w:rsid w:val="00F76487"/>
    <w:rsid w:val="00F77703"/>
    <w:rsid w:val="00F81F86"/>
    <w:rsid w:val="00F828D2"/>
    <w:rsid w:val="00F84DE8"/>
    <w:rsid w:val="00F859AF"/>
    <w:rsid w:val="00F86013"/>
    <w:rsid w:val="00F86185"/>
    <w:rsid w:val="00F86B54"/>
    <w:rsid w:val="00F875CB"/>
    <w:rsid w:val="00F904B8"/>
    <w:rsid w:val="00F919EC"/>
    <w:rsid w:val="00F92872"/>
    <w:rsid w:val="00F9632A"/>
    <w:rsid w:val="00FA0A8D"/>
    <w:rsid w:val="00FA15A9"/>
    <w:rsid w:val="00FA17B3"/>
    <w:rsid w:val="00FA1C68"/>
    <w:rsid w:val="00FA1D1C"/>
    <w:rsid w:val="00FA2DD6"/>
    <w:rsid w:val="00FA32EE"/>
    <w:rsid w:val="00FA33D6"/>
    <w:rsid w:val="00FA3A48"/>
    <w:rsid w:val="00FA4044"/>
    <w:rsid w:val="00FA4452"/>
    <w:rsid w:val="00FA4F1B"/>
    <w:rsid w:val="00FA6E53"/>
    <w:rsid w:val="00FA71EC"/>
    <w:rsid w:val="00FB03FB"/>
    <w:rsid w:val="00FB0A66"/>
    <w:rsid w:val="00FB0BF6"/>
    <w:rsid w:val="00FB14A8"/>
    <w:rsid w:val="00FB20BE"/>
    <w:rsid w:val="00FB27F1"/>
    <w:rsid w:val="00FB3E4E"/>
    <w:rsid w:val="00FB3F6A"/>
    <w:rsid w:val="00FB486D"/>
    <w:rsid w:val="00FB4935"/>
    <w:rsid w:val="00FB498B"/>
    <w:rsid w:val="00FB55A4"/>
    <w:rsid w:val="00FB61C6"/>
    <w:rsid w:val="00FB64F9"/>
    <w:rsid w:val="00FB6F11"/>
    <w:rsid w:val="00FB72F9"/>
    <w:rsid w:val="00FB7E5F"/>
    <w:rsid w:val="00FC1123"/>
    <w:rsid w:val="00FC2686"/>
    <w:rsid w:val="00FC435A"/>
    <w:rsid w:val="00FC5206"/>
    <w:rsid w:val="00FC5653"/>
    <w:rsid w:val="00FC68B4"/>
    <w:rsid w:val="00FD0413"/>
    <w:rsid w:val="00FD07FA"/>
    <w:rsid w:val="00FD2F62"/>
    <w:rsid w:val="00FD364E"/>
    <w:rsid w:val="00FD4353"/>
    <w:rsid w:val="00FD4BF2"/>
    <w:rsid w:val="00FD5DBB"/>
    <w:rsid w:val="00FD6F27"/>
    <w:rsid w:val="00FD75C1"/>
    <w:rsid w:val="00FE2501"/>
    <w:rsid w:val="00FE32DD"/>
    <w:rsid w:val="00FE436B"/>
    <w:rsid w:val="00FE4759"/>
    <w:rsid w:val="00FE5B3E"/>
    <w:rsid w:val="00FE5D89"/>
    <w:rsid w:val="00FE69BC"/>
    <w:rsid w:val="00FF0182"/>
    <w:rsid w:val="00FF080C"/>
    <w:rsid w:val="00FF1E58"/>
    <w:rsid w:val="00FF2F8F"/>
    <w:rsid w:val="00FF3132"/>
    <w:rsid w:val="00FF3279"/>
    <w:rsid w:val="00FF3FF7"/>
    <w:rsid w:val="00FF547A"/>
    <w:rsid w:val="01DD76B2"/>
    <w:rsid w:val="05022274"/>
    <w:rsid w:val="080A30BB"/>
    <w:rsid w:val="14A71A37"/>
    <w:rsid w:val="14A95799"/>
    <w:rsid w:val="14AC7246"/>
    <w:rsid w:val="182F0F36"/>
    <w:rsid w:val="1A346656"/>
    <w:rsid w:val="217E6382"/>
    <w:rsid w:val="23324D08"/>
    <w:rsid w:val="250513CB"/>
    <w:rsid w:val="2F184A75"/>
    <w:rsid w:val="35424F0D"/>
    <w:rsid w:val="356A76A3"/>
    <w:rsid w:val="36E72EAA"/>
    <w:rsid w:val="376D1E36"/>
    <w:rsid w:val="38791385"/>
    <w:rsid w:val="394B39F3"/>
    <w:rsid w:val="3C8802A8"/>
    <w:rsid w:val="3E4C4CA0"/>
    <w:rsid w:val="43970158"/>
    <w:rsid w:val="43B53619"/>
    <w:rsid w:val="46204C48"/>
    <w:rsid w:val="464E6E19"/>
    <w:rsid w:val="46DE01FD"/>
    <w:rsid w:val="49537106"/>
    <w:rsid w:val="4CAC04EE"/>
    <w:rsid w:val="4CFD1540"/>
    <w:rsid w:val="50EA2180"/>
    <w:rsid w:val="572B56E4"/>
    <w:rsid w:val="58264054"/>
    <w:rsid w:val="5BF62C1E"/>
    <w:rsid w:val="5F3F6777"/>
    <w:rsid w:val="636D7BF0"/>
    <w:rsid w:val="636F0714"/>
    <w:rsid w:val="638227DD"/>
    <w:rsid w:val="699A2F3C"/>
    <w:rsid w:val="6B673A57"/>
    <w:rsid w:val="6F38599F"/>
    <w:rsid w:val="70127E7A"/>
    <w:rsid w:val="707643CA"/>
    <w:rsid w:val="76A859E9"/>
    <w:rsid w:val="78BA0671"/>
    <w:rsid w:val="78ED4486"/>
    <w:rsid w:val="7A9946B5"/>
    <w:rsid w:val="7B575792"/>
    <w:rsid w:val="7D795600"/>
    <w:rsid w:val="7E9F0FA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uiPriority="99" w:name="List Continue 4"/>
    <w:lsdException w:uiPriority="99" w:name="List Continue 5"/>
    <w:lsdException w:qFormat="1"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2"/>
    <w:qFormat/>
    <w:uiPriority w:val="0"/>
    <w:pPr>
      <w:keepNext/>
      <w:outlineLvl w:val="0"/>
    </w:pPr>
    <w:rPr>
      <w:rFonts w:ascii="宋体"/>
      <w:sz w:val="28"/>
    </w:rPr>
  </w:style>
  <w:style w:type="paragraph" w:styleId="3">
    <w:name w:val="heading 2"/>
    <w:basedOn w:val="1"/>
    <w:next w:val="1"/>
    <w:link w:val="46"/>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3" w:lineRule="auto"/>
      <w:outlineLvl w:val="2"/>
    </w:pPr>
    <w:rPr>
      <w:b/>
      <w:bCs/>
      <w:sz w:val="32"/>
      <w:szCs w:val="32"/>
    </w:rPr>
  </w:style>
  <w:style w:type="paragraph" w:styleId="5">
    <w:name w:val="heading 4"/>
    <w:basedOn w:val="1"/>
    <w:next w:val="1"/>
    <w:qFormat/>
    <w:uiPriority w:val="0"/>
    <w:pPr>
      <w:keepNext/>
      <w:keepLines/>
      <w:spacing w:before="280" w:after="290" w:line="376" w:lineRule="auto"/>
      <w:outlineLvl w:val="3"/>
    </w:pPr>
    <w:rPr>
      <w:rFonts w:ascii="Calibri Light" w:hAnsi="Calibri Light"/>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6">
    <w:name w:val="List 3"/>
    <w:basedOn w:val="1"/>
    <w:qFormat/>
    <w:uiPriority w:val="0"/>
    <w:pPr>
      <w:ind w:left="100" w:leftChars="400" w:hanging="200" w:hangingChars="200"/>
    </w:pPr>
  </w:style>
  <w:style w:type="paragraph" w:styleId="7">
    <w:name w:val="toc 7"/>
    <w:basedOn w:val="1"/>
    <w:next w:val="1"/>
    <w:qFormat/>
    <w:uiPriority w:val="0"/>
    <w:pPr>
      <w:ind w:left="2520" w:leftChars="1200"/>
    </w:pPr>
    <w:rPr>
      <w:szCs w:val="24"/>
    </w:rPr>
  </w:style>
  <w:style w:type="paragraph" w:styleId="8">
    <w:name w:val="caption"/>
    <w:basedOn w:val="1"/>
    <w:next w:val="1"/>
    <w:qFormat/>
    <w:uiPriority w:val="0"/>
    <w:rPr>
      <w:rFonts w:ascii="Arial" w:hAnsi="Arial" w:eastAsia="黑体" w:cs="Arial"/>
      <w:sz w:val="20"/>
    </w:rPr>
  </w:style>
  <w:style w:type="paragraph" w:styleId="9">
    <w:name w:val="Document Map"/>
    <w:basedOn w:val="1"/>
    <w:link w:val="50"/>
    <w:unhideWhenUsed/>
    <w:qFormat/>
    <w:uiPriority w:val="99"/>
    <w:rPr>
      <w:rFonts w:ascii="宋体"/>
      <w:sz w:val="18"/>
      <w:szCs w:val="18"/>
    </w:rPr>
  </w:style>
  <w:style w:type="paragraph" w:styleId="10">
    <w:name w:val="annotation text"/>
    <w:basedOn w:val="1"/>
    <w:semiHidden/>
    <w:unhideWhenUsed/>
    <w:qFormat/>
    <w:uiPriority w:val="99"/>
    <w:pPr>
      <w:jc w:val="left"/>
    </w:pPr>
  </w:style>
  <w:style w:type="paragraph" w:styleId="11">
    <w:name w:val="Body Text"/>
    <w:basedOn w:val="1"/>
    <w:next w:val="12"/>
    <w:qFormat/>
    <w:uiPriority w:val="0"/>
    <w:pPr>
      <w:spacing w:after="120"/>
    </w:pPr>
  </w:style>
  <w:style w:type="paragraph" w:styleId="12">
    <w:name w:val="toc 9"/>
    <w:basedOn w:val="1"/>
    <w:next w:val="1"/>
    <w:qFormat/>
    <w:uiPriority w:val="0"/>
    <w:pPr>
      <w:ind w:left="3360" w:leftChars="1600"/>
    </w:pPr>
    <w:rPr>
      <w:szCs w:val="24"/>
    </w:rPr>
  </w:style>
  <w:style w:type="paragraph" w:styleId="13">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14">
    <w:name w:val="List 2"/>
    <w:basedOn w:val="1"/>
    <w:qFormat/>
    <w:uiPriority w:val="0"/>
    <w:pPr>
      <w:ind w:left="100" w:leftChars="200" w:hanging="200" w:hangingChars="200"/>
    </w:pPr>
  </w:style>
  <w:style w:type="paragraph" w:styleId="15">
    <w:name w:val="List Continue"/>
    <w:basedOn w:val="1"/>
    <w:qFormat/>
    <w:uiPriority w:val="0"/>
    <w:pPr>
      <w:spacing w:after="120"/>
      <w:ind w:left="420" w:leftChars="200"/>
    </w:pPr>
  </w:style>
  <w:style w:type="paragraph" w:styleId="16">
    <w:name w:val="toc 5"/>
    <w:basedOn w:val="1"/>
    <w:next w:val="1"/>
    <w:qFormat/>
    <w:uiPriority w:val="0"/>
    <w:pPr>
      <w:ind w:left="1680" w:leftChars="800"/>
    </w:pPr>
    <w:rPr>
      <w:szCs w:val="24"/>
    </w:rPr>
  </w:style>
  <w:style w:type="paragraph" w:styleId="17">
    <w:name w:val="toc 3"/>
    <w:basedOn w:val="1"/>
    <w:next w:val="1"/>
    <w:qFormat/>
    <w:uiPriority w:val="39"/>
    <w:pPr>
      <w:tabs>
        <w:tab w:val="right" w:leader="dot" w:pos="9629"/>
      </w:tabs>
      <w:ind w:left="357" w:leftChars="170" w:firstLine="2" w:firstLineChars="1"/>
    </w:pPr>
  </w:style>
  <w:style w:type="paragraph" w:styleId="18">
    <w:name w:val="Plain Text"/>
    <w:basedOn w:val="1"/>
    <w:qFormat/>
    <w:uiPriority w:val="0"/>
    <w:rPr>
      <w:rFonts w:ascii="宋体" w:hAnsi="Courier New"/>
      <w:szCs w:val="22"/>
    </w:rPr>
  </w:style>
  <w:style w:type="paragraph" w:styleId="19">
    <w:name w:val="toc 8"/>
    <w:basedOn w:val="1"/>
    <w:next w:val="1"/>
    <w:qFormat/>
    <w:uiPriority w:val="0"/>
    <w:pPr>
      <w:ind w:left="2940" w:leftChars="1400"/>
    </w:pPr>
    <w:rPr>
      <w:szCs w:val="24"/>
    </w:rPr>
  </w:style>
  <w:style w:type="paragraph" w:styleId="20">
    <w:name w:val="Date"/>
    <w:basedOn w:val="1"/>
    <w:next w:val="1"/>
    <w:link w:val="49"/>
    <w:qFormat/>
    <w:uiPriority w:val="0"/>
    <w:rPr>
      <w:sz w:val="28"/>
    </w:rPr>
  </w:style>
  <w:style w:type="paragraph" w:styleId="21">
    <w:name w:val="Body Text Indent 2"/>
    <w:basedOn w:val="1"/>
    <w:qFormat/>
    <w:uiPriority w:val="0"/>
    <w:pPr>
      <w:spacing w:after="120" w:line="480" w:lineRule="auto"/>
      <w:ind w:left="420" w:leftChars="200"/>
    </w:pPr>
  </w:style>
  <w:style w:type="paragraph" w:styleId="22">
    <w:name w:val="Balloon Text"/>
    <w:basedOn w:val="1"/>
    <w:qFormat/>
    <w:uiPriority w:val="0"/>
    <w:rPr>
      <w:sz w:val="18"/>
      <w:szCs w:val="18"/>
    </w:rPr>
  </w:style>
  <w:style w:type="paragraph" w:styleId="23">
    <w:name w:val="footer"/>
    <w:basedOn w:val="1"/>
    <w:link w:val="47"/>
    <w:qFormat/>
    <w:uiPriority w:val="99"/>
    <w:pPr>
      <w:tabs>
        <w:tab w:val="center" w:pos="4153"/>
        <w:tab w:val="right" w:pos="8306"/>
      </w:tabs>
      <w:snapToGrid w:val="0"/>
      <w:jc w:val="left"/>
    </w:pPr>
    <w:rPr>
      <w:sz w:val="18"/>
    </w:rPr>
  </w:style>
  <w:style w:type="paragraph" w:styleId="24">
    <w:name w:val="header"/>
    <w:basedOn w:val="1"/>
    <w:link w:val="4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25">
    <w:name w:val="toc 1"/>
    <w:basedOn w:val="1"/>
    <w:next w:val="1"/>
    <w:qFormat/>
    <w:uiPriority w:val="39"/>
    <w:pPr>
      <w:tabs>
        <w:tab w:val="left" w:pos="840"/>
        <w:tab w:val="right" w:leader="dot" w:pos="9629"/>
      </w:tabs>
    </w:pPr>
    <w:rPr>
      <w:rFonts w:ascii="FangSong_GB2312" w:eastAsia="FangSong_GB2312"/>
    </w:rPr>
  </w:style>
  <w:style w:type="paragraph" w:styleId="26">
    <w:name w:val="toc 4"/>
    <w:basedOn w:val="1"/>
    <w:next w:val="1"/>
    <w:qFormat/>
    <w:uiPriority w:val="0"/>
    <w:pPr>
      <w:ind w:left="1260" w:leftChars="600"/>
    </w:pPr>
    <w:rPr>
      <w:szCs w:val="24"/>
    </w:rPr>
  </w:style>
  <w:style w:type="paragraph" w:styleId="27">
    <w:name w:val="Subtitle"/>
    <w:basedOn w:val="1"/>
    <w:next w:val="1"/>
    <w:link w:val="51"/>
    <w:qFormat/>
    <w:uiPriority w:val="11"/>
    <w:pPr>
      <w:spacing w:before="240" w:after="60" w:line="312" w:lineRule="auto"/>
      <w:jc w:val="center"/>
      <w:outlineLvl w:val="1"/>
    </w:pPr>
    <w:rPr>
      <w:rFonts w:ascii="Cambria" w:hAnsi="Cambria"/>
      <w:b/>
      <w:bCs/>
      <w:kern w:val="28"/>
      <w:sz w:val="32"/>
      <w:szCs w:val="32"/>
    </w:rPr>
  </w:style>
  <w:style w:type="paragraph" w:styleId="28">
    <w:name w:val="List"/>
    <w:basedOn w:val="1"/>
    <w:qFormat/>
    <w:uiPriority w:val="0"/>
    <w:pPr>
      <w:ind w:left="200" w:hanging="200" w:hangingChars="200"/>
    </w:pPr>
  </w:style>
  <w:style w:type="paragraph" w:styleId="29">
    <w:name w:val="toc 6"/>
    <w:basedOn w:val="1"/>
    <w:next w:val="1"/>
    <w:qFormat/>
    <w:uiPriority w:val="0"/>
    <w:pPr>
      <w:ind w:left="2100" w:leftChars="1000"/>
    </w:pPr>
    <w:rPr>
      <w:szCs w:val="24"/>
    </w:rPr>
  </w:style>
  <w:style w:type="paragraph" w:styleId="30">
    <w:name w:val="List 5"/>
    <w:basedOn w:val="1"/>
    <w:qFormat/>
    <w:uiPriority w:val="0"/>
    <w:pPr>
      <w:ind w:left="100" w:leftChars="800" w:hanging="200" w:hangingChars="200"/>
    </w:pPr>
  </w:style>
  <w:style w:type="paragraph" w:styleId="31">
    <w:name w:val="toc 2"/>
    <w:basedOn w:val="1"/>
    <w:next w:val="1"/>
    <w:qFormat/>
    <w:uiPriority w:val="39"/>
    <w:pPr>
      <w:tabs>
        <w:tab w:val="right" w:leader="dot" w:pos="9629"/>
      </w:tabs>
    </w:pPr>
  </w:style>
  <w:style w:type="paragraph" w:styleId="32">
    <w:name w:val="List 4"/>
    <w:basedOn w:val="1"/>
    <w:qFormat/>
    <w:uiPriority w:val="0"/>
    <w:pPr>
      <w:ind w:left="100" w:leftChars="600" w:hanging="200" w:hangingChars="200"/>
    </w:pPr>
  </w:style>
  <w:style w:type="paragraph" w:styleId="33">
    <w:name w:val="List Continue 2"/>
    <w:basedOn w:val="1"/>
    <w:qFormat/>
    <w:uiPriority w:val="0"/>
    <w:pPr>
      <w:spacing w:after="120"/>
      <w:ind w:left="840" w:leftChars="400"/>
    </w:pPr>
  </w:style>
  <w:style w:type="paragraph" w:styleId="34">
    <w:name w:val="Message Header"/>
    <w:basedOn w:val="1"/>
    <w:semiHidden/>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Theme="majorHAnsi" w:hAnsiTheme="majorHAnsi" w:eastAsiaTheme="majorEastAsia" w:cstheme="majorBidi"/>
      <w:sz w:val="24"/>
      <w:szCs w:val="24"/>
    </w:rPr>
  </w:style>
  <w:style w:type="paragraph" w:styleId="3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6">
    <w:name w:val="List Continue 3"/>
    <w:basedOn w:val="1"/>
    <w:qFormat/>
    <w:uiPriority w:val="0"/>
    <w:pPr>
      <w:spacing w:after="120"/>
      <w:ind w:left="1260" w:leftChars="600"/>
    </w:pPr>
  </w:style>
  <w:style w:type="paragraph" w:styleId="37">
    <w:name w:val="Body Text First Indent"/>
    <w:basedOn w:val="11"/>
    <w:qFormat/>
    <w:uiPriority w:val="0"/>
    <w:pPr>
      <w:ind w:firstLine="420" w:firstLineChars="100"/>
    </w:pPr>
  </w:style>
  <w:style w:type="paragraph" w:styleId="38">
    <w:name w:val="Body Text First Indent 2"/>
    <w:basedOn w:val="13"/>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40">
    <w:name w:val="Table Grid"/>
    <w:basedOn w:val="3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2">
    <w:name w:val="Strong"/>
    <w:basedOn w:val="41"/>
    <w:qFormat/>
    <w:uiPriority w:val="22"/>
    <w:rPr>
      <w:b/>
      <w:bCs/>
    </w:rPr>
  </w:style>
  <w:style w:type="character" w:styleId="43">
    <w:name w:val="page number"/>
    <w:basedOn w:val="41"/>
    <w:qFormat/>
    <w:uiPriority w:val="0"/>
  </w:style>
  <w:style w:type="character" w:styleId="44">
    <w:name w:val="Hyperlink"/>
    <w:basedOn w:val="41"/>
    <w:qFormat/>
    <w:uiPriority w:val="0"/>
    <w:rPr>
      <w:color w:val="0000FF"/>
      <w:u w:val="single"/>
    </w:rPr>
  </w:style>
  <w:style w:type="character" w:styleId="45">
    <w:name w:val="annotation reference"/>
    <w:basedOn w:val="41"/>
    <w:semiHidden/>
    <w:unhideWhenUsed/>
    <w:qFormat/>
    <w:uiPriority w:val="99"/>
    <w:rPr>
      <w:sz w:val="21"/>
      <w:szCs w:val="21"/>
    </w:rPr>
  </w:style>
  <w:style w:type="character" w:customStyle="1" w:styleId="46">
    <w:name w:val="标题 2 Char"/>
    <w:link w:val="3"/>
    <w:qFormat/>
    <w:uiPriority w:val="0"/>
    <w:rPr>
      <w:rFonts w:ascii="Arial" w:hAnsi="Arial" w:eastAsia="黑体"/>
      <w:b/>
      <w:bCs/>
      <w:kern w:val="2"/>
      <w:sz w:val="32"/>
      <w:szCs w:val="32"/>
      <w:lang w:val="en-US" w:eastAsia="zh-CN" w:bidi="ar-SA"/>
    </w:rPr>
  </w:style>
  <w:style w:type="character" w:customStyle="1" w:styleId="47">
    <w:name w:val="页脚 Char"/>
    <w:link w:val="23"/>
    <w:qFormat/>
    <w:uiPriority w:val="99"/>
    <w:rPr>
      <w:kern w:val="2"/>
      <w:sz w:val="18"/>
    </w:rPr>
  </w:style>
  <w:style w:type="character" w:customStyle="1" w:styleId="48">
    <w:name w:val="页眉 Char"/>
    <w:link w:val="24"/>
    <w:qFormat/>
    <w:uiPriority w:val="0"/>
    <w:rPr>
      <w:kern w:val="2"/>
      <w:sz w:val="18"/>
      <w:szCs w:val="18"/>
    </w:rPr>
  </w:style>
  <w:style w:type="character" w:customStyle="1" w:styleId="49">
    <w:name w:val="日期 Char"/>
    <w:link w:val="20"/>
    <w:qFormat/>
    <w:uiPriority w:val="0"/>
    <w:rPr>
      <w:kern w:val="2"/>
      <w:sz w:val="28"/>
    </w:rPr>
  </w:style>
  <w:style w:type="character" w:customStyle="1" w:styleId="50">
    <w:name w:val="文档结构图 Char"/>
    <w:link w:val="9"/>
    <w:semiHidden/>
    <w:qFormat/>
    <w:uiPriority w:val="99"/>
    <w:rPr>
      <w:rFonts w:ascii="宋体"/>
      <w:kern w:val="2"/>
      <w:sz w:val="18"/>
      <w:szCs w:val="18"/>
    </w:rPr>
  </w:style>
  <w:style w:type="character" w:customStyle="1" w:styleId="51">
    <w:name w:val="副标题 Char"/>
    <w:link w:val="27"/>
    <w:qFormat/>
    <w:uiPriority w:val="11"/>
    <w:rPr>
      <w:rFonts w:ascii="Cambria" w:hAnsi="Cambria" w:cs="Times New Roman"/>
      <w:b/>
      <w:bCs/>
      <w:kern w:val="28"/>
      <w:sz w:val="32"/>
      <w:szCs w:val="32"/>
    </w:rPr>
  </w:style>
  <w:style w:type="character" w:customStyle="1" w:styleId="52">
    <w:name w:val="标题 1 Char"/>
    <w:link w:val="2"/>
    <w:qFormat/>
    <w:uiPriority w:val="0"/>
    <w:rPr>
      <w:rFonts w:ascii="宋体"/>
      <w:kern w:val="2"/>
      <w:sz w:val="28"/>
    </w:rPr>
  </w:style>
  <w:style w:type="paragraph" w:customStyle="1" w:styleId="53">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54">
    <w:name w:val="F00"/>
    <w:basedOn w:val="1"/>
    <w:qFormat/>
    <w:uiPriority w:val="0"/>
    <w:pPr>
      <w:tabs>
        <w:tab w:val="left" w:pos="2235"/>
      </w:tabs>
      <w:spacing w:line="500" w:lineRule="exact"/>
      <w:ind w:firstLine="353" w:firstLineChars="147"/>
    </w:pPr>
    <w:rPr>
      <w:rFonts w:ascii="宋体" w:hAnsi="宋体"/>
      <w:sz w:val="24"/>
      <w:szCs w:val="24"/>
    </w:rPr>
  </w:style>
  <w:style w:type="paragraph" w:customStyle="1" w:styleId="55">
    <w:name w:val="Char"/>
    <w:basedOn w:val="1"/>
    <w:qFormat/>
    <w:uiPriority w:val="0"/>
    <w:rPr>
      <w:rFonts w:ascii="FangSong_GB2312" w:eastAsia="FangSong_GB2312"/>
      <w:b/>
      <w:sz w:val="32"/>
      <w:szCs w:val="32"/>
    </w:rPr>
  </w:style>
  <w:style w:type="paragraph" w:styleId="56">
    <w:name w:val="List Paragraph"/>
    <w:basedOn w:val="1"/>
    <w:qFormat/>
    <w:uiPriority w:val="34"/>
    <w:pPr>
      <w:ind w:firstLine="420" w:firstLineChars="200"/>
    </w:pPr>
    <w:rPr>
      <w:szCs w:val="24"/>
    </w:rPr>
  </w:style>
  <w:style w:type="paragraph" w:customStyle="1" w:styleId="57">
    <w:name w:val="Char1"/>
    <w:basedOn w:val="1"/>
    <w:qFormat/>
    <w:uiPriority w:val="0"/>
    <w:pPr>
      <w:widowControl/>
      <w:spacing w:after="160" w:line="240" w:lineRule="exact"/>
      <w:jc w:val="left"/>
    </w:pPr>
  </w:style>
  <w:style w:type="paragraph" w:customStyle="1" w:styleId="58">
    <w:name w:val="表格内容"/>
    <w:basedOn w:val="1"/>
    <w:qFormat/>
    <w:uiPriority w:val="0"/>
    <w:pPr>
      <w:tabs>
        <w:tab w:val="left" w:pos="0"/>
      </w:tabs>
      <w:jc w:val="center"/>
    </w:pPr>
    <w:rPr>
      <w:rFonts w:ascii="宋体" w:hAnsi="宋体"/>
      <w:sz w:val="24"/>
      <w:szCs w:val="24"/>
    </w:rPr>
  </w:style>
  <w:style w:type="paragraph" w:customStyle="1" w:styleId="59">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60">
    <w:name w:val="case3"/>
    <w:basedOn w:val="1"/>
    <w:qFormat/>
    <w:uiPriority w:val="0"/>
    <w:pPr>
      <w:widowControl/>
      <w:spacing w:before="100" w:beforeAutospacing="1" w:after="100" w:afterAutospacing="1" w:line="390" w:lineRule="atLeast"/>
      <w:jc w:val="left"/>
    </w:pPr>
    <w:rPr>
      <w:color w:val="000000"/>
      <w:kern w:val="0"/>
      <w:szCs w:val="21"/>
    </w:rPr>
  </w:style>
  <w:style w:type="table" w:customStyle="1" w:styleId="61">
    <w:name w:val="网格型1"/>
    <w:basedOn w:val="3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2">
    <w:name w:val="Char Char Char"/>
    <w:link w:val="63"/>
    <w:qFormat/>
    <w:uiPriority w:val="0"/>
    <w:rPr>
      <w:rFonts w:ascii="宋体" w:hAnsi="Courier New"/>
      <w:kern w:val="2"/>
      <w:sz w:val="21"/>
      <w:szCs w:val="21"/>
    </w:rPr>
  </w:style>
  <w:style w:type="paragraph" w:customStyle="1" w:styleId="63">
    <w:name w:val="plain text"/>
    <w:basedOn w:val="1"/>
    <w:link w:val="62"/>
    <w:qFormat/>
    <w:uiPriority w:val="0"/>
    <w:pPr>
      <w:widowControl/>
      <w:spacing w:after="200" w:line="251" w:lineRule="auto"/>
      <w:jc w:val="left"/>
    </w:pPr>
    <w:rPr>
      <w:rFonts w:ascii="宋体" w:hAnsi="Courier New"/>
      <w:szCs w:val="21"/>
    </w:rPr>
  </w:style>
  <w:style w:type="character" w:customStyle="1" w:styleId="64">
    <w:name w:val="bm_details_overlay"/>
    <w:basedOn w:val="41"/>
    <w:qFormat/>
    <w:uiPriority w:val="0"/>
  </w:style>
  <w:style w:type="character" w:customStyle="1" w:styleId="65">
    <w:name w:val="font31"/>
    <w:qFormat/>
    <w:uiPriority w:val="0"/>
    <w:rPr>
      <w:rFonts w:hint="eastAsia" w:ascii="宋体" w:hAnsi="宋体" w:eastAsia="宋体" w:cs="宋体"/>
      <w:color w:val="000000"/>
      <w:sz w:val="20"/>
      <w:szCs w:val="20"/>
      <w:u w:val="none"/>
    </w:rPr>
  </w:style>
  <w:style w:type="paragraph" w:customStyle="1" w:styleId="66">
    <w:name w:val="表格文字"/>
    <w:basedOn w:val="1"/>
    <w:qFormat/>
    <w:uiPriority w:val="0"/>
    <w:pPr>
      <w:spacing w:before="25" w:after="25"/>
      <w:jc w:val="left"/>
    </w:pPr>
    <w:rPr>
      <w:rFonts w:ascii="Calibri" w:hAnsi="Calibri" w:cs="Calibri"/>
      <w:bCs/>
      <w:spacing w:val="10"/>
      <w:kern w:val="0"/>
      <w:sz w:val="24"/>
      <w:szCs w:val="21"/>
    </w:rPr>
  </w:style>
  <w:style w:type="paragraph" w:customStyle="1" w:styleId="67">
    <w:name w:val="Table Paragraph"/>
    <w:basedOn w:val="1"/>
    <w:qFormat/>
    <w:uiPriority w:val="0"/>
    <w:rPr>
      <w:rFonts w:ascii="Calibri" w:hAnsi="Calibri" w:eastAsia="Calibri" w:cs="Times New Roman"/>
    </w:rPr>
  </w:style>
  <w:style w:type="table" w:customStyle="1" w:styleId="68">
    <w:name w:val="Table Normal"/>
    <w:unhideWhenUsed/>
    <w:qFormat/>
    <w:uiPriority w:val="2"/>
    <w:tblPr>
      <w:tblCellMar>
        <w:top w:w="0" w:type="dxa"/>
        <w:left w:w="0" w:type="dxa"/>
        <w:bottom w:w="0" w:type="dxa"/>
        <w:right w:w="0" w:type="dxa"/>
      </w:tblCellMar>
    </w:tblPr>
  </w:style>
  <w:style w:type="character" w:customStyle="1" w:styleId="69">
    <w:name w:val="NormalCharacter"/>
    <w:qFormat/>
    <w:uiPriority w:val="0"/>
    <w:rPr>
      <w:rFonts w:ascii="Times New Roman" w:hAnsi="Times New Roman" w:eastAsia="宋体" w:cs="Times New Roman"/>
      <w:kern w:val="2"/>
      <w:sz w:val="21"/>
      <w:szCs w:val="24"/>
      <w:lang w:val="en-US" w:eastAsia="zh-CN" w:bidi="ar-SA"/>
    </w:rPr>
  </w:style>
  <w:style w:type="paragraph" w:customStyle="1" w:styleId="70">
    <w:name w:val="Table Text"/>
    <w:basedOn w:val="1"/>
    <w:semiHidden/>
    <w:qFormat/>
    <w:uiPriority w:val="0"/>
    <w:rPr>
      <w:rFonts w:ascii="宋体" w:hAnsi="宋体" w:eastAsia="宋体" w:cs="宋体"/>
      <w:sz w:val="19"/>
      <w:szCs w:val="19"/>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8</Pages>
  <Words>894</Words>
  <Characters>950</Characters>
  <Lines>1</Lines>
  <Paragraphs>2</Paragraphs>
  <TotalTime>0</TotalTime>
  <ScaleCrop>false</ScaleCrop>
  <LinksUpToDate>false</LinksUpToDate>
  <CharactersWithSpaces>958</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2019-04-04T03:39:00Z</dcterms:created>
  <dc:creator>hxw</dc:creator>
  <cp:lastModifiedBy>gui</cp:lastModifiedBy>
  <cp:lastPrinted>2020-05-19T08:50:00Z</cp:lastPrinted>
  <dcterms:modified xsi:type="dcterms:W3CDTF">2026-06-30T07:09:23Z</dcterms:modified>
  <dc:title>政府采购招标文件</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6FDD9F8FF2D940E1B82322150BF02723</vt:lpwstr>
  </property>
  <property fmtid="{D5CDD505-2E9C-101B-9397-08002B2CF9AE}" pid="4" name="KSOTemplateDocerSaveRecord">
    <vt:lpwstr>eyJoZGlkIjoiYjMxMTA5ZTE1MTYwZTliMTJkYzI3ODFkMTYyODBhZGEiLCJ1c2VySWQiOiIyNDEzNjkwODUifQ==</vt:lpwstr>
  </property>
</Properties>
</file>