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C163E">
      <w:pPr>
        <w:pageBreakBefore w:val="0"/>
        <w:widowControl w:val="0"/>
        <w:wordWrap/>
        <w:overflowPunct/>
        <w:topLinePunct w:val="0"/>
        <w:bidi w:val="0"/>
        <w:spacing w:line="309" w:lineRule="auto"/>
        <w:jc w:val="center"/>
        <w:rPr>
          <w:rFonts w:hint="eastAsia" w:ascii="仿宋" w:hAnsi="仿宋" w:eastAsia="仿宋" w:cs="仿宋"/>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hint="eastAsia" w:ascii="仿宋" w:hAnsi="仿宋" w:eastAsia="仿宋" w:cs="仿宋"/>
          <w:color w:val="auto"/>
          <w:sz w:val="24"/>
          <w:szCs w:val="24"/>
          <w:highlight w:val="none"/>
        </w:rPr>
      </w:pPr>
      <w:bookmarkStart w:id="0" w:name="_Toc16209"/>
      <w:bookmarkStart w:id="1" w:name="_Toc8249"/>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仿宋" w:hAnsi="仿宋" w:eastAsia="仿宋" w:cs="仿宋"/>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需求表</w:t>
      </w:r>
      <w:bookmarkEnd w:id="0"/>
      <w:bookmarkEnd w:id="1"/>
    </w:p>
    <w:p w14:paraId="00D6E72B">
      <w:pPr>
        <w:pageBreakBefore w:val="0"/>
        <w:widowControl w:val="0"/>
        <w:wordWrap/>
        <w:overflowPunct/>
        <w:topLinePunct w:val="0"/>
        <w:bidi w:val="0"/>
        <w:spacing w:before="64"/>
        <w:rPr>
          <w:rFonts w:hint="eastAsia" w:ascii="仿宋" w:hAnsi="仿宋" w:eastAsia="仿宋" w:cs="仿宋"/>
          <w:color w:val="auto"/>
          <w:highlight w:val="none"/>
        </w:rPr>
      </w:pPr>
    </w:p>
    <w:tbl>
      <w:tblPr>
        <w:tblStyle w:val="6"/>
        <w:tblW w:w="87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4"/>
        <w:gridCol w:w="1350"/>
        <w:gridCol w:w="1125"/>
        <w:gridCol w:w="2145"/>
        <w:gridCol w:w="1200"/>
        <w:gridCol w:w="1305"/>
        <w:gridCol w:w="988"/>
      </w:tblGrid>
      <w:tr w14:paraId="3A432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dxa"/>
            <w:vAlign w:val="center"/>
          </w:tcPr>
          <w:p w14:paraId="4F86D054">
            <w:pPr>
              <w:pageBreakBefore w:val="0"/>
              <w:widowControl w:val="0"/>
              <w:wordWrap/>
              <w:overflowPunct/>
              <w:topLinePunct w:val="0"/>
              <w:bidi w:val="0"/>
              <w:jc w:val="center"/>
              <w:rPr>
                <w:rFonts w:hint="eastAsia"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序号</w:t>
            </w:r>
          </w:p>
        </w:tc>
        <w:tc>
          <w:tcPr>
            <w:tcW w:w="1350" w:type="dxa"/>
            <w:vAlign w:val="center"/>
          </w:tcPr>
          <w:p w14:paraId="7106C7D4">
            <w:pPr>
              <w:pageBreakBefore w:val="0"/>
              <w:widowControl w:val="0"/>
              <w:wordWrap/>
              <w:overflowPunct/>
              <w:topLinePunct w:val="0"/>
              <w:bidi w:val="0"/>
              <w:jc w:val="center"/>
              <w:rPr>
                <w:rFonts w:hint="default"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项目名称</w:t>
            </w:r>
          </w:p>
        </w:tc>
        <w:tc>
          <w:tcPr>
            <w:tcW w:w="1125" w:type="dxa"/>
            <w:vAlign w:val="center"/>
          </w:tcPr>
          <w:p w14:paraId="22FF290D">
            <w:pPr>
              <w:pageBreakBefore w:val="0"/>
              <w:widowControl w:val="0"/>
              <w:wordWrap/>
              <w:overflowPunct/>
              <w:topLinePunct w:val="0"/>
              <w:bidi w:val="0"/>
              <w:jc w:val="center"/>
              <w:rPr>
                <w:rFonts w:hint="default"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污泥参数</w:t>
            </w:r>
          </w:p>
        </w:tc>
        <w:tc>
          <w:tcPr>
            <w:tcW w:w="2145" w:type="dxa"/>
            <w:vAlign w:val="center"/>
          </w:tcPr>
          <w:p w14:paraId="065BCB9F">
            <w:pPr>
              <w:pageBreakBefore w:val="0"/>
              <w:widowControl w:val="0"/>
              <w:wordWrap/>
              <w:overflowPunct/>
              <w:topLinePunct w:val="0"/>
              <w:bidi w:val="0"/>
              <w:jc w:val="center"/>
              <w:rPr>
                <w:rFonts w:hint="default"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处置标准</w:t>
            </w:r>
          </w:p>
        </w:tc>
        <w:tc>
          <w:tcPr>
            <w:tcW w:w="1200" w:type="dxa"/>
            <w:vAlign w:val="center"/>
          </w:tcPr>
          <w:p w14:paraId="123A2739">
            <w:pPr>
              <w:pageBreakBefore w:val="0"/>
              <w:widowControl w:val="0"/>
              <w:wordWrap/>
              <w:overflowPunct/>
              <w:topLinePunct w:val="0"/>
              <w:bidi w:val="0"/>
              <w:jc w:val="center"/>
              <w:rPr>
                <w:rFonts w:hint="default"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暂估数量（吨）</w:t>
            </w:r>
          </w:p>
        </w:tc>
        <w:tc>
          <w:tcPr>
            <w:tcW w:w="1305" w:type="dxa"/>
            <w:vAlign w:val="center"/>
          </w:tcPr>
          <w:p w14:paraId="06D2E1DF">
            <w:pPr>
              <w:pageBreakBefore w:val="0"/>
              <w:widowControl w:val="0"/>
              <w:wordWrap/>
              <w:overflowPunct/>
              <w:topLinePunct w:val="0"/>
              <w:bidi w:val="0"/>
              <w:jc w:val="center"/>
              <w:rPr>
                <w:rFonts w:hint="eastAsia"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预算单价</w:t>
            </w:r>
          </w:p>
          <w:p w14:paraId="14E90F9B">
            <w:pPr>
              <w:pageBreakBefore w:val="0"/>
              <w:widowControl w:val="0"/>
              <w:wordWrap/>
              <w:overflowPunct/>
              <w:topLinePunct w:val="0"/>
              <w:bidi w:val="0"/>
              <w:jc w:val="center"/>
              <w:rPr>
                <w:rFonts w:hint="default"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（元/吨）</w:t>
            </w:r>
          </w:p>
        </w:tc>
        <w:tc>
          <w:tcPr>
            <w:tcW w:w="988" w:type="dxa"/>
            <w:vAlign w:val="center"/>
          </w:tcPr>
          <w:p w14:paraId="68F33063">
            <w:pPr>
              <w:pageBreakBefore w:val="0"/>
              <w:widowControl w:val="0"/>
              <w:wordWrap/>
              <w:overflowPunct/>
              <w:topLinePunct w:val="0"/>
              <w:bidi w:val="0"/>
              <w:jc w:val="center"/>
              <w:rPr>
                <w:rFonts w:hint="default"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备注</w:t>
            </w:r>
          </w:p>
        </w:tc>
      </w:tr>
      <w:tr w14:paraId="77F0E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654" w:type="dxa"/>
            <w:vAlign w:val="center"/>
          </w:tcPr>
          <w:p w14:paraId="0260F848">
            <w:pPr>
              <w:pageBreakBefore w:val="0"/>
              <w:widowControl w:val="0"/>
              <w:wordWrap/>
              <w:overflowPunct/>
              <w:topLinePunct w:val="0"/>
              <w:bidi w:val="0"/>
              <w:jc w:val="center"/>
              <w:rPr>
                <w:rFonts w:hint="eastAsia"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1</w:t>
            </w:r>
          </w:p>
        </w:tc>
        <w:tc>
          <w:tcPr>
            <w:tcW w:w="1350" w:type="dxa"/>
            <w:vAlign w:val="center"/>
          </w:tcPr>
          <w:p w14:paraId="4934310F">
            <w:pPr>
              <w:pageBreakBefore w:val="0"/>
              <w:widowControl w:val="0"/>
              <w:wordWrap/>
              <w:overflowPunct/>
              <w:topLinePunct w:val="0"/>
              <w:bidi w:val="0"/>
              <w:jc w:val="center"/>
              <w:rPr>
                <w:rFonts w:hint="eastAsia" w:ascii="仿宋" w:hAnsi="仿宋" w:eastAsia="仿宋" w:cs="仿宋"/>
                <w:color w:val="auto"/>
                <w:sz w:val="22"/>
                <w:szCs w:val="22"/>
                <w:highlight w:val="none"/>
                <w:vertAlign w:val="baseline"/>
              </w:rPr>
            </w:pPr>
            <w:r>
              <w:rPr>
                <w:rFonts w:hint="eastAsia" w:ascii="仿宋" w:hAnsi="仿宋" w:eastAsia="仿宋" w:cs="仿宋"/>
                <w:color w:val="auto"/>
                <w:spacing w:val="0"/>
                <w:kern w:val="0"/>
                <w:position w:val="0"/>
                <w:sz w:val="24"/>
                <w:szCs w:val="24"/>
                <w:highlight w:val="none"/>
                <w:u w:val="none"/>
                <w:shd w:val="clear" w:color="auto" w:fill="FFFFFF"/>
                <w:lang w:val="en-US" w:eastAsia="zh-CN"/>
              </w:rPr>
              <w:t>2026年共青城市城区污水处理厂污泥处置项目</w:t>
            </w:r>
          </w:p>
        </w:tc>
        <w:tc>
          <w:tcPr>
            <w:tcW w:w="1125" w:type="dxa"/>
            <w:vAlign w:val="center"/>
          </w:tcPr>
          <w:p w14:paraId="505C6B80">
            <w:pPr>
              <w:pageBreakBefore w:val="0"/>
              <w:widowControl w:val="0"/>
              <w:wordWrap/>
              <w:overflowPunct/>
              <w:topLinePunct w:val="0"/>
              <w:bidi w:val="0"/>
              <w:jc w:val="center"/>
              <w:rPr>
                <w:rFonts w:hint="eastAsia" w:ascii="仿宋" w:hAnsi="仿宋" w:eastAsia="仿宋" w:cs="仿宋"/>
                <w:color w:val="auto"/>
                <w:sz w:val="22"/>
                <w:szCs w:val="22"/>
                <w:highlight w:val="none"/>
                <w:vertAlign w:val="baseline"/>
              </w:rPr>
            </w:pPr>
            <w:r>
              <w:rPr>
                <w:rFonts w:hint="eastAsia" w:ascii="仿宋" w:hAnsi="仿宋" w:eastAsia="仿宋" w:cs="仿宋"/>
                <w:color w:val="auto"/>
                <w:sz w:val="22"/>
                <w:szCs w:val="22"/>
                <w:highlight w:val="none"/>
                <w:vertAlign w:val="baseline"/>
              </w:rPr>
              <w:t>污泥含水率≤60%</w:t>
            </w:r>
          </w:p>
        </w:tc>
        <w:tc>
          <w:tcPr>
            <w:tcW w:w="2145" w:type="dxa"/>
            <w:vAlign w:val="center"/>
          </w:tcPr>
          <w:p w14:paraId="2500F178">
            <w:pPr>
              <w:pageBreakBefore w:val="0"/>
              <w:widowControl w:val="0"/>
              <w:wordWrap/>
              <w:overflowPunct/>
              <w:topLinePunct w:val="0"/>
              <w:bidi w:val="0"/>
              <w:jc w:val="center"/>
              <w:rPr>
                <w:rFonts w:hint="eastAsia" w:ascii="仿宋" w:hAnsi="仿宋" w:eastAsia="仿宋" w:cs="仿宋"/>
                <w:color w:val="auto"/>
                <w:sz w:val="22"/>
                <w:szCs w:val="22"/>
                <w:highlight w:val="none"/>
                <w:vertAlign w:val="baseline"/>
              </w:rPr>
            </w:pPr>
            <w:r>
              <w:rPr>
                <w:rFonts w:hint="eastAsia" w:ascii="仿宋" w:hAnsi="仿宋" w:eastAsia="仿宋" w:cs="仿宋"/>
                <w:color w:val="auto"/>
                <w:sz w:val="22"/>
                <w:szCs w:val="22"/>
                <w:highlight w:val="none"/>
                <w:vertAlign w:val="baseline"/>
              </w:rPr>
              <w:t>符合行业标准、国家标准，包括但不限于《城镇污水处理厂污泥处置单独焚烧用泥质(GB/T24602-2009</w:t>
            </w:r>
            <w:r>
              <w:rPr>
                <w:rFonts w:hint="eastAsia" w:ascii="仿宋" w:hAnsi="仿宋" w:eastAsia="仿宋" w:cs="仿宋"/>
                <w:color w:val="auto"/>
                <w:sz w:val="22"/>
                <w:szCs w:val="22"/>
                <w:highlight w:val="none"/>
                <w:vertAlign w:val="baseline"/>
                <w:lang w:eastAsia="zh-CN"/>
              </w:rPr>
              <w:t>）</w:t>
            </w:r>
          </w:p>
        </w:tc>
        <w:tc>
          <w:tcPr>
            <w:tcW w:w="1200" w:type="dxa"/>
            <w:vAlign w:val="center"/>
          </w:tcPr>
          <w:p w14:paraId="677BED2D">
            <w:pPr>
              <w:pageBreakBefore w:val="0"/>
              <w:widowControl w:val="0"/>
              <w:wordWrap/>
              <w:overflowPunct/>
              <w:topLinePunct w:val="0"/>
              <w:bidi w:val="0"/>
              <w:jc w:val="center"/>
              <w:rPr>
                <w:rFonts w:hint="default"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rPr>
              <w:t>约</w:t>
            </w:r>
            <w:r>
              <w:rPr>
                <w:rFonts w:hint="eastAsia" w:ascii="仿宋" w:hAnsi="仿宋" w:eastAsia="仿宋" w:cs="仿宋"/>
                <w:color w:val="auto"/>
                <w:sz w:val="22"/>
                <w:szCs w:val="22"/>
                <w:highlight w:val="none"/>
                <w:vertAlign w:val="baseline"/>
                <w:lang w:val="en-US" w:eastAsia="zh-CN"/>
              </w:rPr>
              <w:t>3481</w:t>
            </w:r>
          </w:p>
        </w:tc>
        <w:tc>
          <w:tcPr>
            <w:tcW w:w="1305" w:type="dxa"/>
            <w:vAlign w:val="center"/>
          </w:tcPr>
          <w:p w14:paraId="747E92AB">
            <w:pPr>
              <w:pageBreakBefore w:val="0"/>
              <w:widowControl w:val="0"/>
              <w:wordWrap/>
              <w:overflowPunct/>
              <w:topLinePunct w:val="0"/>
              <w:bidi w:val="0"/>
              <w:jc w:val="center"/>
              <w:rPr>
                <w:rFonts w:hint="default"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191</w:t>
            </w:r>
          </w:p>
        </w:tc>
        <w:tc>
          <w:tcPr>
            <w:tcW w:w="988" w:type="dxa"/>
            <w:vAlign w:val="center"/>
          </w:tcPr>
          <w:p w14:paraId="2BF3CE4B">
            <w:pPr>
              <w:pageBreakBefore w:val="0"/>
              <w:widowControl w:val="0"/>
              <w:wordWrap/>
              <w:overflowPunct/>
              <w:topLinePunct w:val="0"/>
              <w:bidi w:val="0"/>
              <w:jc w:val="center"/>
              <w:rPr>
                <w:rFonts w:hint="default" w:ascii="仿宋" w:hAnsi="仿宋" w:eastAsia="仿宋" w:cs="仿宋"/>
                <w:color w:val="auto"/>
                <w:sz w:val="22"/>
                <w:szCs w:val="22"/>
                <w:highlight w:val="none"/>
                <w:vertAlign w:val="baseline"/>
                <w:lang w:val="en-US" w:eastAsia="zh-CN"/>
              </w:rPr>
            </w:pPr>
            <w:r>
              <w:rPr>
                <w:rFonts w:hint="eastAsia" w:ascii="仿宋" w:hAnsi="仿宋" w:eastAsia="仿宋" w:cs="仿宋"/>
                <w:color w:val="auto"/>
                <w:sz w:val="22"/>
                <w:szCs w:val="22"/>
                <w:highlight w:val="none"/>
                <w:vertAlign w:val="baseline"/>
                <w:lang w:val="en-US" w:eastAsia="zh-CN"/>
              </w:rPr>
              <w:t>据实结算</w:t>
            </w:r>
          </w:p>
        </w:tc>
      </w:tr>
      <w:tr w14:paraId="37753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8767" w:type="dxa"/>
            <w:gridSpan w:val="7"/>
            <w:vAlign w:val="center"/>
          </w:tcPr>
          <w:p w14:paraId="0768440F">
            <w:pPr>
              <w:pageBreakBefore w:val="0"/>
              <w:widowControl w:val="0"/>
              <w:wordWrap/>
              <w:overflowPunct/>
              <w:topLinePunct w:val="0"/>
              <w:bidi w:val="0"/>
              <w:jc w:val="left"/>
              <w:rPr>
                <w:rFonts w:hint="eastAsia" w:ascii="仿宋" w:hAnsi="仿宋" w:eastAsia="仿宋" w:cs="仿宋"/>
                <w:b/>
                <w:bCs/>
                <w:color w:val="auto"/>
                <w:sz w:val="22"/>
                <w:szCs w:val="22"/>
                <w:highlight w:val="none"/>
                <w:vertAlign w:val="baseline"/>
                <w:lang w:val="en-US" w:eastAsia="zh-CN"/>
              </w:rPr>
            </w:pPr>
            <w:r>
              <w:rPr>
                <w:rFonts w:hint="eastAsia" w:ascii="仿宋" w:hAnsi="仿宋" w:eastAsia="仿宋" w:cs="仿宋"/>
                <w:b/>
                <w:bCs/>
                <w:color w:val="auto"/>
                <w:sz w:val="22"/>
                <w:szCs w:val="22"/>
                <w:highlight w:val="none"/>
                <w:vertAlign w:val="baseline"/>
                <w:lang w:val="en-US" w:eastAsia="zh-CN"/>
              </w:rPr>
              <w:t>注：1.供应商总报价不得超过本项目最高限价，单价不得超过</w:t>
            </w:r>
            <w:r>
              <w:rPr>
                <w:rFonts w:hint="eastAsia" w:ascii="仿宋" w:hAnsi="仿宋" w:eastAsia="仿宋" w:cs="仿宋"/>
                <w:color w:val="auto"/>
                <w:sz w:val="22"/>
                <w:szCs w:val="22"/>
                <w:highlight w:val="none"/>
                <w:vertAlign w:val="baseline"/>
                <w:lang w:val="en-US" w:eastAsia="zh-CN"/>
              </w:rPr>
              <w:t>191</w:t>
            </w:r>
            <w:r>
              <w:rPr>
                <w:rFonts w:hint="eastAsia" w:ascii="仿宋" w:hAnsi="仿宋" w:eastAsia="仿宋" w:cs="仿宋"/>
                <w:b/>
                <w:bCs/>
                <w:color w:val="auto"/>
                <w:sz w:val="22"/>
                <w:szCs w:val="22"/>
                <w:highlight w:val="none"/>
                <w:vertAlign w:val="baseline"/>
                <w:lang w:val="en-US" w:eastAsia="zh-CN"/>
              </w:rPr>
              <w:t>元/吨，否则响应无效。</w:t>
            </w:r>
          </w:p>
          <w:p w14:paraId="1A2A14DC">
            <w:pPr>
              <w:pageBreakBefore w:val="0"/>
              <w:widowControl w:val="0"/>
              <w:wordWrap/>
              <w:overflowPunct/>
              <w:topLinePunct w:val="0"/>
              <w:bidi w:val="0"/>
              <w:jc w:val="left"/>
              <w:rPr>
                <w:rFonts w:hint="eastAsia" w:ascii="仿宋" w:hAnsi="仿宋" w:eastAsia="仿宋" w:cs="仿宋"/>
                <w:b/>
                <w:bCs/>
                <w:color w:val="auto"/>
                <w:sz w:val="22"/>
                <w:szCs w:val="22"/>
                <w:highlight w:val="none"/>
                <w:vertAlign w:val="baseline"/>
                <w:lang w:val="en-US" w:eastAsia="zh-CN"/>
              </w:rPr>
            </w:pPr>
            <w:r>
              <w:rPr>
                <w:rFonts w:hint="eastAsia" w:ascii="仿宋" w:hAnsi="仿宋" w:eastAsia="仿宋" w:cs="仿宋"/>
                <w:b/>
                <w:bCs/>
                <w:color w:val="auto"/>
                <w:sz w:val="22"/>
                <w:szCs w:val="22"/>
                <w:highlight w:val="none"/>
                <w:vertAlign w:val="baseline"/>
                <w:lang w:val="en-US" w:eastAsia="zh-CN"/>
              </w:rPr>
              <w:t>2.项目最终结算以实际处置量为准，采购单位将以成交单价金额签订采购合同，在后期费用结算时依据单价金额据实结算，（实际结算金额=实际污泥处置量*成交单价）。</w:t>
            </w:r>
          </w:p>
          <w:p w14:paraId="693EF18F">
            <w:pPr>
              <w:pageBreakBefore w:val="0"/>
              <w:widowControl w:val="0"/>
              <w:wordWrap/>
              <w:overflowPunct/>
              <w:topLinePunct w:val="0"/>
              <w:bidi w:val="0"/>
              <w:jc w:val="left"/>
              <w:rPr>
                <w:rFonts w:hint="eastAsia" w:ascii="仿宋" w:hAnsi="仿宋" w:eastAsia="仿宋" w:cs="仿宋"/>
                <w:color w:val="auto"/>
                <w:sz w:val="22"/>
                <w:szCs w:val="22"/>
                <w:highlight w:val="none"/>
                <w:vertAlign w:val="baseline"/>
                <w:lang w:val="en-US" w:eastAsia="zh-CN"/>
              </w:rPr>
            </w:pPr>
            <w:r>
              <w:rPr>
                <w:rFonts w:hint="eastAsia" w:ascii="仿宋" w:hAnsi="仿宋" w:eastAsia="仿宋" w:cs="仿宋"/>
                <w:b/>
                <w:bCs/>
                <w:color w:val="auto"/>
                <w:sz w:val="22"/>
                <w:szCs w:val="22"/>
                <w:highlight w:val="none"/>
                <w:vertAlign w:val="baseline"/>
                <w:lang w:val="en-US" w:eastAsia="zh-CN"/>
              </w:rPr>
              <w:t>3.供应商须提供污泥处置的最终去向证明材料。</w:t>
            </w:r>
          </w:p>
        </w:tc>
      </w:tr>
    </w:tbl>
    <w:p w14:paraId="1A61E4C7">
      <w:pPr>
        <w:pageBreakBefore w:val="0"/>
        <w:widowControl w:val="0"/>
        <w:wordWrap/>
        <w:overflowPunct/>
        <w:topLinePunct w:val="0"/>
        <w:bidi w:val="0"/>
        <w:rPr>
          <w:rFonts w:hint="eastAsia" w:ascii="仿宋" w:hAnsi="仿宋" w:eastAsia="仿宋" w:cs="仿宋"/>
          <w:color w:val="auto"/>
          <w:highlight w:val="none"/>
        </w:rPr>
      </w:pPr>
    </w:p>
    <w:p w14:paraId="63C46ABF">
      <w:pPr>
        <w:pageBreakBefore w:val="0"/>
        <w:widowControl w:val="0"/>
        <w:wordWrap/>
        <w:overflowPunct/>
        <w:topLinePunct w:val="0"/>
        <w:bidi w:val="0"/>
        <w:spacing w:before="47" w:line="219" w:lineRule="auto"/>
        <w:ind w:left="3805"/>
        <w:outlineLvl w:val="1"/>
        <w:rPr>
          <w:rFonts w:hint="eastAsia" w:ascii="仿宋" w:hAnsi="仿宋" w:eastAsia="仿宋" w:cs="仿宋"/>
          <w:color w:val="auto"/>
          <w:sz w:val="24"/>
          <w:szCs w:val="24"/>
          <w:highlight w:val="none"/>
        </w:rPr>
      </w:pPr>
      <w:bookmarkStart w:id="4" w:name="_GoBack"/>
      <w:bookmarkEnd w:id="4"/>
      <w:bookmarkStart w:id="2" w:name="_Toc26355"/>
      <w:bookmarkStart w:id="3" w:name="_Toc25288"/>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仿宋" w:hAnsi="仿宋" w:eastAsia="仿宋" w:cs="仿宋"/>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求</w:t>
      </w:r>
      <w:bookmarkEnd w:id="2"/>
      <w:bookmarkEnd w:id="3"/>
    </w:p>
    <w:p w14:paraId="213747FE">
      <w:pPr>
        <w:pageBreakBefore w:val="0"/>
        <w:widowControl w:val="0"/>
        <w:wordWrap/>
        <w:overflowPunct/>
        <w:topLinePunct w:val="0"/>
        <w:bidi w:val="0"/>
        <w:spacing w:before="78" w:line="219" w:lineRule="auto"/>
        <w:rPr>
          <w:rFonts w:hint="eastAsia" w:ascii="仿宋" w:hAnsi="仿宋" w:eastAsia="仿宋" w:cs="仿宋"/>
          <w:b/>
          <w:bCs/>
          <w:color w:val="auto"/>
          <w:sz w:val="24"/>
          <w:szCs w:val="24"/>
          <w:highlight w:val="none"/>
        </w:rPr>
      </w:pPr>
      <w:r>
        <w:rPr>
          <w:rFonts w:hint="eastAsia" w:ascii="仿宋" w:hAnsi="仿宋" w:eastAsia="仿宋" w:cs="仿宋"/>
          <w:b/>
          <w:bCs/>
          <w:color w:val="auto"/>
          <w:spacing w:val="-5"/>
          <w:sz w:val="24"/>
          <w:szCs w:val="24"/>
          <w:highlight w:val="none"/>
        </w:rPr>
        <w:t>（一）</w:t>
      </w:r>
      <w:r>
        <w:rPr>
          <w:rFonts w:hint="eastAsia" w:ascii="仿宋" w:hAnsi="仿宋" w:eastAsia="仿宋" w:cs="仿宋"/>
          <w:b/>
          <w:bCs/>
          <w:color w:val="auto"/>
          <w:spacing w:val="25"/>
          <w:sz w:val="24"/>
          <w:szCs w:val="24"/>
          <w:highlight w:val="none"/>
        </w:rPr>
        <w:t xml:space="preserve"> </w:t>
      </w:r>
      <w:r>
        <w:rPr>
          <w:rFonts w:hint="eastAsia" w:ascii="仿宋" w:hAnsi="仿宋" w:eastAsia="仿宋" w:cs="仿宋"/>
          <w:b/>
          <w:bCs/>
          <w:color w:val="auto"/>
          <w:spacing w:val="-5"/>
          <w:sz w:val="24"/>
          <w:szCs w:val="24"/>
          <w:highlight w:val="none"/>
          <w:lang w:val="en-US" w:eastAsia="zh-CN"/>
        </w:rPr>
        <w:t>服务</w:t>
      </w:r>
      <w:r>
        <w:rPr>
          <w:rFonts w:hint="eastAsia" w:ascii="仿宋" w:hAnsi="仿宋" w:eastAsia="仿宋" w:cs="仿宋"/>
          <w:b/>
          <w:bCs/>
          <w:color w:val="auto"/>
          <w:spacing w:val="-5"/>
          <w:sz w:val="24"/>
          <w:szCs w:val="24"/>
          <w:highlight w:val="none"/>
        </w:rPr>
        <w:t>需求</w:t>
      </w:r>
    </w:p>
    <w:p w14:paraId="0FAEABD9">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1.</w:t>
      </w:r>
      <w:r>
        <w:rPr>
          <w:rFonts w:hint="eastAsia" w:ascii="仿宋" w:hAnsi="仿宋" w:eastAsia="仿宋" w:cs="仿宋"/>
          <w:color w:val="auto"/>
          <w:sz w:val="24"/>
          <w:szCs w:val="24"/>
          <w:highlight w:val="none"/>
        </w:rPr>
        <w:t>基本要求</w:t>
      </w:r>
    </w:p>
    <w:p w14:paraId="0535056B">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1.1 服务：</w:t>
      </w:r>
      <w:r>
        <w:rPr>
          <w:rFonts w:hint="eastAsia" w:ascii="仿宋" w:hAnsi="仿宋" w:eastAsia="仿宋" w:cs="仿宋"/>
          <w:color w:val="auto"/>
          <w:sz w:val="24"/>
          <w:szCs w:val="24"/>
          <w:highlight w:val="none"/>
          <w:lang w:eastAsia="zh-CN"/>
        </w:rPr>
        <w:t>供应商</w:t>
      </w:r>
      <w:r>
        <w:rPr>
          <w:rFonts w:hint="eastAsia" w:ascii="仿宋" w:hAnsi="仿宋" w:eastAsia="仿宋" w:cs="仿宋"/>
          <w:color w:val="auto"/>
          <w:sz w:val="24"/>
          <w:szCs w:val="24"/>
          <w:highlight w:val="none"/>
        </w:rPr>
        <w:t>承担的服务，包括但不限于装车、卸车、运输、存储处置服务等合同中规定</w:t>
      </w:r>
      <w:r>
        <w:rPr>
          <w:rFonts w:hint="eastAsia" w:ascii="仿宋" w:hAnsi="仿宋" w:eastAsia="仿宋" w:cs="仿宋"/>
          <w:color w:val="auto"/>
          <w:sz w:val="24"/>
          <w:szCs w:val="24"/>
          <w:highlight w:val="none"/>
          <w:lang w:eastAsia="zh-CN"/>
        </w:rPr>
        <w:t>供应商</w:t>
      </w:r>
      <w:r>
        <w:rPr>
          <w:rFonts w:hint="eastAsia" w:ascii="仿宋" w:hAnsi="仿宋" w:eastAsia="仿宋" w:cs="仿宋"/>
          <w:color w:val="auto"/>
          <w:sz w:val="24"/>
          <w:szCs w:val="24"/>
          <w:highlight w:val="none"/>
        </w:rPr>
        <w:t>应承担的一切义务。</w:t>
      </w:r>
    </w:p>
    <w:p w14:paraId="6B641C40">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1.2 技术文件：指</w:t>
      </w:r>
      <w:r>
        <w:rPr>
          <w:rFonts w:hint="eastAsia" w:ascii="仿宋" w:hAnsi="仿宋" w:eastAsia="仿宋" w:cs="仿宋"/>
          <w:color w:val="auto"/>
          <w:sz w:val="24"/>
          <w:szCs w:val="24"/>
          <w:highlight w:val="none"/>
          <w:lang w:eastAsia="zh-CN"/>
        </w:rPr>
        <w:t>供应商</w:t>
      </w:r>
      <w:r>
        <w:rPr>
          <w:rFonts w:hint="eastAsia" w:ascii="仿宋" w:hAnsi="仿宋" w:eastAsia="仿宋" w:cs="仿宋"/>
          <w:color w:val="auto"/>
          <w:sz w:val="24"/>
          <w:szCs w:val="24"/>
          <w:highlight w:val="none"/>
        </w:rPr>
        <w:t>按照规定的义务应当提供的处置标准、技术参数等相关所有的数据、图纸、各种正式的文字资料（营业执照、环评、环评批复及环保验收等）、电子文件及其载体以及生产过程的照片和录像等。</w:t>
      </w:r>
    </w:p>
    <w:p w14:paraId="1961D793">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2.</w:t>
      </w:r>
      <w:r>
        <w:rPr>
          <w:rFonts w:hint="eastAsia" w:ascii="仿宋" w:hAnsi="仿宋" w:eastAsia="仿宋" w:cs="仿宋"/>
          <w:color w:val="auto"/>
          <w:sz w:val="24"/>
          <w:szCs w:val="24"/>
          <w:highlight w:val="none"/>
        </w:rPr>
        <w:t>技术规范</w:t>
      </w:r>
    </w:p>
    <w:p w14:paraId="0BA903D9">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2.1 本项目服务技术规范应符合中华人民共和国现行国家、行业或地方有关机构发布的最新版本标准。</w:t>
      </w:r>
    </w:p>
    <w:p w14:paraId="1B0FCB2B">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2.2 服务所产生的废气、废水、残余物的排放与处置完全满足技术规范的要求，并应出具相应的检测报告，证明各类废弃物达标排放以及焚烧残余</w:t>
      </w:r>
      <w:r>
        <w:rPr>
          <w:rFonts w:hint="eastAsia" w:ascii="仿宋" w:hAnsi="仿宋" w:eastAsia="仿宋" w:cs="仿宋"/>
          <w:color w:val="auto"/>
          <w:sz w:val="24"/>
          <w:szCs w:val="24"/>
          <w:highlight w:val="none"/>
          <w:lang w:eastAsia="zh-CN"/>
        </w:rPr>
        <w:t>物</w:t>
      </w:r>
      <w:r>
        <w:rPr>
          <w:rFonts w:hint="eastAsia" w:ascii="仿宋" w:hAnsi="仿宋" w:eastAsia="仿宋" w:cs="仿宋"/>
          <w:color w:val="auto"/>
          <w:sz w:val="24"/>
          <w:szCs w:val="24"/>
          <w:highlight w:val="none"/>
        </w:rPr>
        <w:t>最终去向符合国家环保的相关规定。</w:t>
      </w:r>
    </w:p>
    <w:p w14:paraId="0E9482D6">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3.</w:t>
      </w:r>
      <w:r>
        <w:rPr>
          <w:rFonts w:hint="eastAsia" w:ascii="仿宋" w:hAnsi="仿宋" w:eastAsia="仿宋" w:cs="仿宋"/>
          <w:sz w:val="24"/>
          <w:szCs w:val="24"/>
          <w:highlight w:val="none"/>
        </w:rPr>
        <w:t>服务要求</w:t>
      </w:r>
    </w:p>
    <w:p w14:paraId="75BB9D5F">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3.1 污泥处置方式：无危害处置。</w:t>
      </w:r>
    </w:p>
    <w:p w14:paraId="26871D06">
      <w:pPr>
        <w:pStyle w:val="2"/>
        <w:ind w:firstLine="480" w:firstLineChars="200"/>
        <w:rPr>
          <w:rFonts w:hint="eastAsia" w:cs="仿宋"/>
          <w:sz w:val="24"/>
          <w:szCs w:val="24"/>
          <w:highlight w:val="none"/>
          <w:lang w:val="en-US" w:eastAsia="zh-CN"/>
        </w:rPr>
      </w:pPr>
      <w:r>
        <w:rPr>
          <w:rFonts w:hint="eastAsia" w:cs="仿宋"/>
          <w:sz w:val="24"/>
          <w:szCs w:val="24"/>
          <w:highlight w:val="none"/>
          <w:lang w:val="en-US" w:eastAsia="zh-CN"/>
        </w:rPr>
        <w:t>3.2 日常处置责任：</w:t>
      </w:r>
    </w:p>
    <w:p w14:paraId="7381BDE0">
      <w:pPr>
        <w:pStyle w:val="2"/>
        <w:ind w:firstLine="480"/>
        <w:rPr>
          <w:rFonts w:hint="eastAsia" w:cs="仿宋"/>
          <w:sz w:val="24"/>
          <w:szCs w:val="24"/>
          <w:highlight w:val="none"/>
          <w:lang w:val="en-US" w:eastAsia="zh-CN"/>
        </w:rPr>
      </w:pPr>
      <w:r>
        <w:rPr>
          <w:rFonts w:hint="eastAsia" w:ascii="仿宋" w:hAnsi="仿宋" w:eastAsia="仿宋" w:cs="仿宋"/>
          <w:sz w:val="24"/>
          <w:szCs w:val="24"/>
          <w:highlight w:val="none"/>
        </w:rPr>
        <w:t>①</w:t>
      </w:r>
      <w:r>
        <w:rPr>
          <w:rFonts w:hint="eastAsia" w:cs="仿宋"/>
          <w:sz w:val="24"/>
          <w:szCs w:val="24"/>
          <w:highlight w:val="none"/>
          <w:lang w:val="en-US" w:eastAsia="zh-CN"/>
        </w:rPr>
        <w:t>供应商需做到污泥“日产日清”，每天及时完成当日污泥接收和处置。</w:t>
      </w:r>
    </w:p>
    <w:p w14:paraId="5E673346">
      <w:pPr>
        <w:pStyle w:val="2"/>
        <w:ind w:firstLine="480"/>
        <w:rPr>
          <w:rFonts w:hint="eastAsia" w:cs="仿宋"/>
          <w:sz w:val="24"/>
          <w:szCs w:val="24"/>
          <w:highlight w:val="none"/>
          <w:lang w:val="en-US" w:eastAsia="zh-CN"/>
        </w:rPr>
      </w:pPr>
      <w:r>
        <w:rPr>
          <w:rFonts w:hint="eastAsia" w:ascii="仿宋" w:hAnsi="仿宋" w:eastAsia="仿宋" w:cs="仿宋"/>
          <w:sz w:val="24"/>
          <w:szCs w:val="24"/>
          <w:highlight w:val="none"/>
        </w:rPr>
        <w:t>②</w:t>
      </w:r>
      <w:r>
        <w:rPr>
          <w:rFonts w:hint="eastAsia" w:cs="仿宋"/>
          <w:sz w:val="24"/>
          <w:szCs w:val="24"/>
          <w:highlight w:val="none"/>
          <w:lang w:val="en-US" w:eastAsia="zh-CN"/>
        </w:rPr>
        <w:t>严禁将污泥转移至第三方处置，且服务期内不得单方面拒绝接收污泥（生态环境等政府部门有明确规定的除外）。</w:t>
      </w:r>
    </w:p>
    <w:p w14:paraId="230ED50F">
      <w:pPr>
        <w:pStyle w:val="2"/>
        <w:rPr>
          <w:rFonts w:hint="default" w:eastAsia="仿宋"/>
          <w:highlight w:val="none"/>
          <w:lang w:val="en-US" w:eastAsia="zh-CN"/>
        </w:rPr>
      </w:pPr>
      <w:r>
        <w:rPr>
          <w:rFonts w:hint="eastAsia" w:cs="仿宋"/>
          <w:sz w:val="24"/>
          <w:szCs w:val="24"/>
          <w:highlight w:val="none"/>
          <w:lang w:val="en-US" w:eastAsia="zh-CN"/>
        </w:rPr>
        <w:t xml:space="preserve">    </w:t>
      </w:r>
      <w:r>
        <w:rPr>
          <w:rFonts w:hint="eastAsia" w:ascii="仿宋" w:hAnsi="仿宋" w:eastAsia="仿宋" w:cs="仿宋"/>
          <w:sz w:val="24"/>
          <w:szCs w:val="24"/>
          <w:highlight w:val="none"/>
        </w:rPr>
        <w:t>③</w:t>
      </w:r>
      <w:r>
        <w:rPr>
          <w:rFonts w:hint="eastAsia" w:cs="仿宋"/>
          <w:sz w:val="24"/>
          <w:szCs w:val="24"/>
          <w:highlight w:val="none"/>
          <w:lang w:val="en-US" w:eastAsia="zh-CN"/>
        </w:rPr>
        <w:t>若违反上述要求，由此产生的全部损失与责任均由供应商承担。</w:t>
      </w:r>
    </w:p>
    <w:p w14:paraId="6DBAABCF">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装运</w:t>
      </w:r>
    </w:p>
    <w:p w14:paraId="08BCAF3F">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应具备每批次接收采购人</w:t>
      </w:r>
      <w:r>
        <w:rPr>
          <w:rFonts w:hint="eastAsia" w:ascii="仿宋" w:hAnsi="仿宋" w:eastAsia="仿宋" w:cs="仿宋"/>
          <w:color w:val="auto"/>
          <w:sz w:val="24"/>
          <w:szCs w:val="24"/>
          <w:highlight w:val="none"/>
        </w:rPr>
        <w:t>不低于</w:t>
      </w:r>
      <w:r>
        <w:rPr>
          <w:rFonts w:hint="eastAsia" w:ascii="仿宋" w:hAnsi="仿宋" w:eastAsia="仿宋" w:cs="仿宋"/>
          <w:color w:val="auto"/>
          <w:sz w:val="24"/>
          <w:szCs w:val="24"/>
          <w:highlight w:val="none"/>
          <w:lang w:val="en-US" w:eastAsia="zh-CN"/>
        </w:rPr>
        <w:t>15</w:t>
      </w:r>
      <w:r>
        <w:rPr>
          <w:rFonts w:hint="eastAsia" w:ascii="仿宋" w:hAnsi="仿宋" w:eastAsia="仿宋" w:cs="仿宋"/>
          <w:color w:val="auto"/>
          <w:sz w:val="24"/>
          <w:szCs w:val="24"/>
          <w:highlight w:val="none"/>
        </w:rPr>
        <w:t>吨污泥的能力</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且成交人处理采购人污泥能力不低于15吨/天</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接收到污泥后，对该污泥进行工艺处理，必须使污泥处置后达到国家相关的环保标准。</w:t>
      </w:r>
    </w:p>
    <w:p w14:paraId="23B8D2B6">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color w:val="auto"/>
          <w:sz w:val="24"/>
          <w:szCs w:val="24"/>
          <w:highlight w:val="none"/>
        </w:rPr>
        <w:t>②</w:t>
      </w:r>
      <w:r>
        <w:rPr>
          <w:rFonts w:hint="eastAsia" w:ascii="仿宋" w:hAnsi="仿宋" w:eastAsia="仿宋" w:cs="仿宋"/>
          <w:color w:val="auto"/>
          <w:sz w:val="24"/>
          <w:szCs w:val="24"/>
          <w:highlight w:val="none"/>
          <w:lang w:eastAsia="zh-CN"/>
        </w:rPr>
        <w:t>供应商</w:t>
      </w:r>
      <w:r>
        <w:rPr>
          <w:rFonts w:hint="eastAsia" w:ascii="仿宋" w:hAnsi="仿宋" w:eastAsia="仿宋" w:cs="仿宋"/>
          <w:color w:val="auto"/>
          <w:sz w:val="24"/>
          <w:szCs w:val="24"/>
          <w:highlight w:val="none"/>
        </w:rPr>
        <w:t>拟派车辆不得少于2辆，必须</w:t>
      </w:r>
      <w:r>
        <w:rPr>
          <w:rFonts w:hint="eastAsia" w:ascii="仿宋" w:hAnsi="仿宋" w:eastAsia="仿宋" w:cs="仿宋"/>
          <w:sz w:val="24"/>
          <w:szCs w:val="24"/>
          <w:highlight w:val="none"/>
        </w:rPr>
        <w:t>是全密闭式污泥环保专用运输车辆（载重量不低于8吨/辆）</w:t>
      </w:r>
      <w:r>
        <w:rPr>
          <w:rFonts w:hint="eastAsia" w:ascii="仿宋" w:hAnsi="仿宋" w:eastAsia="仿宋" w:cs="仿宋"/>
          <w:b/>
          <w:bCs/>
          <w:sz w:val="24"/>
          <w:szCs w:val="24"/>
          <w:highlight w:val="none"/>
        </w:rPr>
        <w:t>（</w:t>
      </w:r>
      <w:r>
        <w:rPr>
          <w:rFonts w:hint="eastAsia" w:ascii="仿宋" w:hAnsi="仿宋" w:eastAsia="仿宋" w:cs="仿宋"/>
          <w:b/>
          <w:bCs/>
          <w:sz w:val="24"/>
          <w:szCs w:val="24"/>
          <w:highlight w:val="none"/>
          <w:lang w:val="en-US" w:eastAsia="zh-CN"/>
        </w:rPr>
        <w:t>注</w:t>
      </w:r>
      <w:r>
        <w:rPr>
          <w:rFonts w:hint="eastAsia" w:ascii="仿宋" w:hAnsi="仿宋" w:eastAsia="仿宋" w:cs="仿宋"/>
          <w:b/>
          <w:bCs/>
          <w:sz w:val="24"/>
          <w:szCs w:val="24"/>
          <w:highlight w:val="none"/>
        </w:rPr>
        <w:t>：①如为供应商自有车辆：须提供车辆</w:t>
      </w:r>
      <w:r>
        <w:rPr>
          <w:rFonts w:hint="eastAsia" w:ascii="仿宋" w:hAnsi="仿宋" w:eastAsia="仿宋" w:cs="仿宋"/>
          <w:b/>
          <w:bCs/>
          <w:sz w:val="24"/>
          <w:szCs w:val="24"/>
          <w:highlight w:val="none"/>
          <w:lang w:val="en-US" w:eastAsia="zh-CN"/>
        </w:rPr>
        <w:t>彩色</w:t>
      </w:r>
      <w:r>
        <w:rPr>
          <w:rFonts w:hint="eastAsia" w:ascii="仿宋" w:hAnsi="仿宋" w:eastAsia="仿宋" w:cs="仿宋"/>
          <w:b/>
          <w:bCs/>
          <w:sz w:val="24"/>
          <w:szCs w:val="24"/>
          <w:highlight w:val="none"/>
        </w:rPr>
        <w:t>照片、</w:t>
      </w:r>
      <w:r>
        <w:rPr>
          <w:rFonts w:hint="eastAsia" w:ascii="仿宋" w:hAnsi="仿宋" w:eastAsia="仿宋" w:cs="仿宋"/>
          <w:b/>
          <w:bCs/>
          <w:sz w:val="24"/>
          <w:szCs w:val="24"/>
          <w:highlight w:val="none"/>
          <w:lang w:val="en-US" w:eastAsia="zh-CN"/>
        </w:rPr>
        <w:t>有</w:t>
      </w:r>
      <w:r>
        <w:rPr>
          <w:rFonts w:hint="eastAsia" w:ascii="仿宋" w:hAnsi="仿宋" w:eastAsia="仿宋" w:cs="仿宋"/>
          <w:b/>
          <w:bCs/>
          <w:sz w:val="24"/>
          <w:szCs w:val="24"/>
          <w:highlight w:val="none"/>
        </w:rPr>
        <w:t>效期内的车辆行驶证（车辆所有人为供应商）；</w:t>
      </w:r>
      <w:r>
        <w:rPr>
          <w:rFonts w:hint="default" w:ascii="仿宋" w:hAnsi="仿宋" w:eastAsia="仿宋" w:cs="仿宋"/>
          <w:b/>
          <w:bCs/>
          <w:sz w:val="24"/>
          <w:szCs w:val="24"/>
          <w:highlight w:val="none"/>
        </w:rPr>
        <w:t>②</w:t>
      </w:r>
      <w:r>
        <w:rPr>
          <w:rFonts w:hint="eastAsia" w:ascii="仿宋" w:hAnsi="仿宋" w:eastAsia="仿宋" w:cs="仿宋"/>
          <w:b/>
          <w:bCs/>
          <w:sz w:val="24"/>
          <w:szCs w:val="24"/>
          <w:highlight w:val="none"/>
        </w:rPr>
        <w:t>如为供应商租赁车辆：须提供车辆</w:t>
      </w:r>
      <w:r>
        <w:rPr>
          <w:rFonts w:hint="eastAsia" w:ascii="仿宋" w:hAnsi="仿宋" w:eastAsia="仿宋" w:cs="仿宋"/>
          <w:b/>
          <w:bCs/>
          <w:sz w:val="24"/>
          <w:szCs w:val="24"/>
          <w:highlight w:val="none"/>
          <w:lang w:val="en-US" w:eastAsia="zh-CN"/>
        </w:rPr>
        <w:t>彩色</w:t>
      </w:r>
      <w:r>
        <w:rPr>
          <w:rFonts w:hint="eastAsia" w:ascii="仿宋" w:hAnsi="仿宋" w:eastAsia="仿宋" w:cs="仿宋"/>
          <w:b/>
          <w:bCs/>
          <w:sz w:val="24"/>
          <w:szCs w:val="24"/>
          <w:highlight w:val="none"/>
        </w:rPr>
        <w:t>照片、租赁合同及有效期内的车辆行驶证（车辆所有人为</w:t>
      </w:r>
      <w:r>
        <w:rPr>
          <w:rFonts w:hint="eastAsia" w:ascii="仿宋" w:hAnsi="仿宋" w:eastAsia="仿宋" w:cs="仿宋"/>
          <w:b/>
          <w:bCs/>
          <w:sz w:val="24"/>
          <w:szCs w:val="24"/>
          <w:highlight w:val="none"/>
          <w:lang w:val="en-US" w:eastAsia="zh-CN"/>
        </w:rPr>
        <w:t>出租方</w:t>
      </w:r>
      <w:r>
        <w:rPr>
          <w:rFonts w:hint="eastAsia" w:ascii="仿宋" w:hAnsi="仿宋" w:eastAsia="仿宋" w:cs="仿宋"/>
          <w:b/>
          <w:bCs/>
          <w:sz w:val="24"/>
          <w:szCs w:val="24"/>
          <w:highlight w:val="none"/>
        </w:rPr>
        <w:t>）。</w:t>
      </w:r>
      <w:r>
        <w:rPr>
          <w:rFonts w:hint="eastAsia" w:ascii="仿宋" w:hAnsi="仿宋" w:eastAsia="仿宋" w:cs="仿宋"/>
          <w:b/>
          <w:bCs/>
          <w:sz w:val="24"/>
          <w:szCs w:val="24"/>
          <w:highlight w:val="none"/>
          <w:lang w:val="en-US" w:eastAsia="zh-CN"/>
        </w:rPr>
        <w:t>响应文件中提供以上①或</w:t>
      </w:r>
      <w:r>
        <w:rPr>
          <w:rFonts w:hint="default" w:ascii="仿宋" w:hAnsi="仿宋" w:eastAsia="仿宋" w:cs="仿宋"/>
          <w:b/>
          <w:bCs/>
          <w:sz w:val="24"/>
          <w:szCs w:val="24"/>
          <w:highlight w:val="none"/>
          <w:lang w:val="en-US" w:eastAsia="zh-CN"/>
        </w:rPr>
        <w:t>②</w:t>
      </w:r>
      <w:r>
        <w:rPr>
          <w:rFonts w:hint="eastAsia" w:ascii="仿宋" w:hAnsi="仿宋" w:eastAsia="仿宋" w:cs="仿宋"/>
          <w:b/>
          <w:bCs/>
          <w:sz w:val="24"/>
          <w:szCs w:val="24"/>
          <w:highlight w:val="none"/>
          <w:lang w:val="en-US" w:eastAsia="zh-CN"/>
        </w:rPr>
        <w:t>证明材料扫描件，否则作无效响应处理</w:t>
      </w:r>
      <w:r>
        <w:rPr>
          <w:rFonts w:hint="eastAsia" w:ascii="仿宋" w:hAnsi="仿宋" w:eastAsia="仿宋" w:cs="仿宋"/>
          <w:b/>
          <w:bCs/>
          <w:sz w:val="24"/>
          <w:szCs w:val="24"/>
          <w:highlight w:val="none"/>
        </w:rPr>
        <w:t>）</w:t>
      </w:r>
      <w:r>
        <w:rPr>
          <w:rFonts w:hint="eastAsia" w:ascii="仿宋" w:hAnsi="仿宋" w:eastAsia="仿宋" w:cs="仿宋"/>
          <w:sz w:val="24"/>
          <w:szCs w:val="24"/>
          <w:highlight w:val="none"/>
        </w:rPr>
        <w:t>，并符合国家及地方关于固体废物运输的管理规范。车辆须安装GPS定位装置，运输途中应采取可靠防泄漏、防遗撒措施，并按照采购人事先报备的固定路线行驶。</w:t>
      </w:r>
    </w:p>
    <w:p w14:paraId="5AFF4C9E">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③运输由</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车辆到达采购人指定地点后，负责将采购人暂存间的污泥进行装车，然后将污泥运输到</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处置点进行污泥的卸车及处置，按照一般固废储存要求做好“三防”，避免造成二次污染。</w:t>
      </w:r>
    </w:p>
    <w:p w14:paraId="50544940">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④</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车辆到达处置点卸料时，及时用水印相机进行拍照留底，以备环保部门检查，对于污泥的处理应该满足污泥处理设备达标化、污泥处置资源化、排放清洁化、污泥运输规范化。</w:t>
      </w:r>
    </w:p>
    <w:p w14:paraId="0543243D">
      <w:pPr>
        <w:pStyle w:val="2"/>
        <w:keepNext w:val="0"/>
        <w:keepLines w:val="0"/>
        <w:pageBreakBefore w:val="0"/>
        <w:kinsoku w:val="0"/>
        <w:wordWrap/>
        <w:overflowPunct/>
        <w:topLinePunct w:val="0"/>
        <w:autoSpaceDE w:val="0"/>
        <w:autoSpaceDN w:val="0"/>
        <w:bidi w:val="0"/>
        <w:adjustRightInd w:val="0"/>
        <w:snapToGrid w:val="0"/>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3.4 质量安全管理及处置进度要求</w:t>
      </w:r>
    </w:p>
    <w:p w14:paraId="5C6A7B51">
      <w:pPr>
        <w:pStyle w:val="2"/>
        <w:keepNext w:val="0"/>
        <w:keepLines w:val="0"/>
        <w:pageBreakBefore w:val="0"/>
        <w:kinsoku w:val="0"/>
        <w:wordWrap/>
        <w:overflowPunct/>
        <w:topLinePunct w:val="0"/>
        <w:autoSpaceDE w:val="0"/>
        <w:autoSpaceDN w:val="0"/>
        <w:bidi w:val="0"/>
        <w:adjustRightInd w:val="0"/>
        <w:snapToGrid w:val="0"/>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①采购人要求及时处置污泥，如未按要求及时处置，采购人有权不支付当月污泥处置费用，且</w:t>
      </w:r>
      <w:r>
        <w:rPr>
          <w:rFonts w:hint="eastAsia" w:cs="仿宋"/>
          <w:sz w:val="24"/>
          <w:szCs w:val="24"/>
          <w:highlight w:val="none"/>
          <w:lang w:eastAsia="zh-CN"/>
        </w:rPr>
        <w:t>供应商</w:t>
      </w:r>
      <w:r>
        <w:rPr>
          <w:rFonts w:hint="eastAsia" w:ascii="仿宋" w:hAnsi="仿宋" w:eastAsia="仿宋" w:cs="仿宋"/>
          <w:sz w:val="24"/>
          <w:szCs w:val="24"/>
          <w:highlight w:val="none"/>
        </w:rPr>
        <w:t>承担项目总价20%的违约金。</w:t>
      </w:r>
    </w:p>
    <w:p w14:paraId="38EC0E74">
      <w:pPr>
        <w:pStyle w:val="2"/>
        <w:keepNext w:val="0"/>
        <w:keepLines w:val="0"/>
        <w:pageBreakBefore w:val="0"/>
        <w:kinsoku w:val="0"/>
        <w:wordWrap/>
        <w:overflowPunct/>
        <w:topLinePunct w:val="0"/>
        <w:autoSpaceDE w:val="0"/>
        <w:autoSpaceDN w:val="0"/>
        <w:bidi w:val="0"/>
        <w:adjustRightInd w:val="0"/>
        <w:snapToGrid w:val="0"/>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②</w:t>
      </w:r>
      <w:r>
        <w:rPr>
          <w:rFonts w:hint="eastAsia" w:cs="仿宋"/>
          <w:sz w:val="24"/>
          <w:szCs w:val="24"/>
          <w:highlight w:val="none"/>
          <w:lang w:eastAsia="zh-CN"/>
        </w:rPr>
        <w:t>供应商</w:t>
      </w:r>
      <w:r>
        <w:rPr>
          <w:rFonts w:hint="eastAsia" w:ascii="仿宋" w:hAnsi="仿宋" w:eastAsia="仿宋" w:cs="仿宋"/>
          <w:sz w:val="24"/>
          <w:szCs w:val="24"/>
          <w:highlight w:val="none"/>
        </w:rPr>
        <w:t>应做好合同范围内的管理工作，保证按照合同中的标准开展工作。</w:t>
      </w:r>
    </w:p>
    <w:p w14:paraId="09704EF8">
      <w:pPr>
        <w:pStyle w:val="2"/>
        <w:keepNext w:val="0"/>
        <w:keepLines w:val="0"/>
        <w:pageBreakBefore w:val="0"/>
        <w:kinsoku w:val="0"/>
        <w:wordWrap/>
        <w:overflowPunct/>
        <w:topLinePunct w:val="0"/>
        <w:autoSpaceDE w:val="0"/>
        <w:autoSpaceDN w:val="0"/>
        <w:bidi w:val="0"/>
        <w:adjustRightInd w:val="0"/>
        <w:snapToGrid w:val="0"/>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③</w:t>
      </w:r>
      <w:r>
        <w:rPr>
          <w:rFonts w:hint="eastAsia" w:cs="仿宋"/>
          <w:sz w:val="24"/>
          <w:szCs w:val="24"/>
          <w:highlight w:val="none"/>
          <w:lang w:eastAsia="zh-CN"/>
        </w:rPr>
        <w:t>供应商</w:t>
      </w:r>
      <w:r>
        <w:rPr>
          <w:rFonts w:hint="eastAsia" w:ascii="仿宋" w:hAnsi="仿宋" w:eastAsia="仿宋" w:cs="仿宋"/>
          <w:sz w:val="24"/>
          <w:szCs w:val="24"/>
          <w:highlight w:val="none"/>
        </w:rPr>
        <w:t>应遵守采购人安全管理制度，主动制定安全、环保措施，必要时现场应派专人监护，对装卸料及车辆行驶过程的安全负全部责任。对采购人提出的意见必须及时整改，发生人身事故和不安全情况，必须立即报告采购人，同时按规定上报</w:t>
      </w:r>
      <w:r>
        <w:rPr>
          <w:rFonts w:hint="eastAsia" w:cs="仿宋"/>
          <w:sz w:val="24"/>
          <w:szCs w:val="24"/>
          <w:highlight w:val="none"/>
          <w:lang w:eastAsia="zh-CN"/>
        </w:rPr>
        <w:t>，供应商</w:t>
      </w:r>
      <w:r>
        <w:rPr>
          <w:rFonts w:hint="eastAsia" w:ascii="仿宋" w:hAnsi="仿宋" w:eastAsia="仿宋" w:cs="仿宋"/>
          <w:sz w:val="24"/>
          <w:szCs w:val="24"/>
          <w:highlight w:val="none"/>
        </w:rPr>
        <w:t>自行承担所有责任。在服务整个过程中，发生的安全事故由中标人负责，采购人不承担任何责任。</w:t>
      </w:r>
    </w:p>
    <w:p w14:paraId="681ED757">
      <w:pPr>
        <w:pStyle w:val="2"/>
        <w:keepNext w:val="0"/>
        <w:keepLines w:val="0"/>
        <w:pageBreakBefore w:val="0"/>
        <w:kinsoku w:val="0"/>
        <w:wordWrap/>
        <w:overflowPunct/>
        <w:topLinePunct w:val="0"/>
        <w:autoSpaceDE w:val="0"/>
        <w:autoSpaceDN w:val="0"/>
        <w:bidi w:val="0"/>
        <w:adjustRightInd w:val="0"/>
        <w:snapToGrid w:val="0"/>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④</w:t>
      </w:r>
      <w:r>
        <w:rPr>
          <w:rFonts w:hint="eastAsia" w:cs="仿宋"/>
          <w:sz w:val="24"/>
          <w:szCs w:val="24"/>
          <w:highlight w:val="none"/>
          <w:lang w:eastAsia="zh-CN"/>
        </w:rPr>
        <w:t>供应商</w:t>
      </w:r>
      <w:r>
        <w:rPr>
          <w:rFonts w:hint="eastAsia" w:ascii="仿宋" w:hAnsi="仿宋" w:eastAsia="仿宋" w:cs="仿宋"/>
          <w:sz w:val="24"/>
          <w:szCs w:val="24"/>
          <w:highlight w:val="none"/>
        </w:rPr>
        <w:t>应文明作业，对作业范围的环境卫生安排专人及时清扫干净，在运输过程中不得抛、洒、滴、漏，不得造成二次污染。应在采购人指定的工作范围内工作，不得随意进入</w:t>
      </w:r>
      <w:r>
        <w:rPr>
          <w:rFonts w:hint="eastAsia" w:cs="仿宋"/>
          <w:sz w:val="24"/>
          <w:szCs w:val="24"/>
          <w:highlight w:val="none"/>
          <w:lang w:eastAsia="zh-CN"/>
        </w:rPr>
        <w:t>其他生产</w:t>
      </w:r>
      <w:r>
        <w:rPr>
          <w:rFonts w:hint="eastAsia" w:ascii="仿宋" w:hAnsi="仿宋" w:eastAsia="仿宋" w:cs="仿宋"/>
          <w:sz w:val="24"/>
          <w:szCs w:val="24"/>
          <w:highlight w:val="none"/>
        </w:rPr>
        <w:t>场所，不得擅自触及运行及备用中的设备，如擅自进入</w:t>
      </w:r>
      <w:r>
        <w:rPr>
          <w:rFonts w:hint="eastAsia" w:cs="仿宋"/>
          <w:sz w:val="24"/>
          <w:szCs w:val="24"/>
          <w:highlight w:val="none"/>
          <w:lang w:eastAsia="zh-CN"/>
        </w:rPr>
        <w:t>其他</w:t>
      </w:r>
      <w:r>
        <w:rPr>
          <w:rFonts w:hint="eastAsia" w:ascii="仿宋" w:hAnsi="仿宋" w:eastAsia="仿宋" w:cs="仿宋"/>
          <w:sz w:val="24"/>
          <w:szCs w:val="24"/>
          <w:highlight w:val="none"/>
        </w:rPr>
        <w:t>区域或擅自使用采购人的设备以及违反采购人规定，所造成的后果由</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负全部责任。</w:t>
      </w:r>
    </w:p>
    <w:p w14:paraId="1441D073">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4.</w:t>
      </w:r>
      <w:r>
        <w:rPr>
          <w:rFonts w:hint="eastAsia" w:ascii="仿宋" w:hAnsi="仿宋" w:eastAsia="仿宋" w:cs="仿宋"/>
          <w:sz w:val="24"/>
          <w:szCs w:val="24"/>
          <w:highlight w:val="none"/>
        </w:rPr>
        <w:t>质量保证</w:t>
      </w:r>
    </w:p>
    <w:p w14:paraId="5B6694A9">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 xml:space="preserve">4.1 </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应保证所提供服务完全符合国家、行业或地方相关标准规定的技术规范要求。</w:t>
      </w:r>
    </w:p>
    <w:p w14:paraId="26885F32">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4.2</w:t>
      </w:r>
      <w:r>
        <w:rPr>
          <w:rFonts w:hint="eastAsia" w:ascii="仿宋" w:hAnsi="仿宋" w:eastAsia="仿宋" w:cs="仿宋"/>
          <w:sz w:val="24"/>
          <w:szCs w:val="24"/>
          <w:highlight w:val="none"/>
        </w:rPr>
        <w:t>供应商所提供的证明材料，完全满足采购文件技术规范的要求。并应出具焚烧残留物的最终处置合同以证明产品符合文件规定。</w:t>
      </w:r>
    </w:p>
    <w:p w14:paraId="139F0CE5">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4.3</w:t>
      </w:r>
      <w:r>
        <w:rPr>
          <w:rFonts w:hint="eastAsia" w:ascii="仿宋" w:hAnsi="仿宋" w:eastAsia="仿宋" w:cs="仿宋"/>
          <w:sz w:val="24"/>
          <w:szCs w:val="24"/>
          <w:highlight w:val="none"/>
        </w:rPr>
        <w:t>供应商资质证件齐全，有义务指导采购人完成相关备案等。</w:t>
      </w:r>
    </w:p>
    <w:p w14:paraId="3296E179">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4.4</w:t>
      </w:r>
      <w:r>
        <w:rPr>
          <w:rFonts w:hint="eastAsia" w:ascii="仿宋" w:hAnsi="仿宋" w:eastAsia="仿宋" w:cs="仿宋"/>
          <w:sz w:val="24"/>
          <w:szCs w:val="24"/>
          <w:highlight w:val="none"/>
        </w:rPr>
        <w:t>供应商应配合采购人按照规定做好每车污泥的联单签收工作。</w:t>
      </w:r>
    </w:p>
    <w:p w14:paraId="701012AF">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4.5</w:t>
      </w:r>
      <w:r>
        <w:rPr>
          <w:rFonts w:hint="eastAsia" w:ascii="仿宋" w:hAnsi="仿宋" w:eastAsia="仿宋" w:cs="仿宋"/>
          <w:sz w:val="24"/>
          <w:szCs w:val="24"/>
          <w:highlight w:val="none"/>
        </w:rPr>
        <w:t>供应商污泥到场后必须按照国家相关部门规定储存，满足规范要求。现场不</w:t>
      </w:r>
    </w:p>
    <w:p w14:paraId="6E2AE176">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具备储存条件的应及时与采购人沟通协调，不得随意储存。成交供应商厂内储存需按要求做好“三防”工作，避免造成二次污染，否则承担一切法律责任。存储及处置场地必须符合国家环保法规要求并报甲方及环保部门备案</w:t>
      </w:r>
      <w:r>
        <w:rPr>
          <w:rFonts w:hint="eastAsia" w:ascii="仿宋" w:hAnsi="仿宋" w:eastAsia="仿宋" w:cs="仿宋"/>
          <w:sz w:val="24"/>
          <w:szCs w:val="24"/>
          <w:highlight w:val="none"/>
          <w:lang w:eastAsia="zh-CN"/>
        </w:rPr>
        <w:t>。</w:t>
      </w:r>
    </w:p>
    <w:p w14:paraId="4E06B740">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5.</w:t>
      </w:r>
      <w:r>
        <w:rPr>
          <w:rFonts w:hint="eastAsia" w:ascii="仿宋" w:hAnsi="仿宋" w:eastAsia="仿宋" w:cs="仿宋"/>
          <w:sz w:val="24"/>
          <w:szCs w:val="24"/>
          <w:highlight w:val="none"/>
        </w:rPr>
        <w:t>安全要求</w:t>
      </w:r>
    </w:p>
    <w:p w14:paraId="3833ABDC">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5.1 服务过程中所有的操作程序必须按照国家规范要求操作，确保安全。</w:t>
      </w:r>
    </w:p>
    <w:p w14:paraId="3AB8B273">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5.2 拟派本项目的工作人员必须购买意外工伤保险。</w:t>
      </w:r>
    </w:p>
    <w:p w14:paraId="13C36D27">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5.3 拟派本项目的运输车辆必须按规定购买保险。</w:t>
      </w:r>
    </w:p>
    <w:p w14:paraId="5074ADB2">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6.供应商</w:t>
      </w:r>
      <w:r>
        <w:rPr>
          <w:rFonts w:hint="eastAsia" w:ascii="仿宋" w:hAnsi="仿宋" w:eastAsia="仿宋" w:cs="仿宋"/>
          <w:sz w:val="24"/>
          <w:szCs w:val="24"/>
          <w:highlight w:val="none"/>
        </w:rPr>
        <w:t>团队实力要求</w:t>
      </w:r>
    </w:p>
    <w:p w14:paraId="4FB785BF">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b/>
          <w:bCs/>
          <w:sz w:val="24"/>
          <w:szCs w:val="24"/>
          <w:highlight w:val="none"/>
          <w:lang w:eastAsia="zh-CN"/>
        </w:rPr>
      </w:pPr>
      <w:r>
        <w:rPr>
          <w:rFonts w:hint="eastAsia" w:ascii="仿宋" w:hAnsi="仿宋" w:eastAsia="仿宋" w:cs="仿宋"/>
          <w:sz w:val="24"/>
          <w:szCs w:val="24"/>
          <w:highlight w:val="none"/>
        </w:rPr>
        <w:t xml:space="preserve">6.1 </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拟派本项目污泥处置人员</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lang w:val="en-US" w:eastAsia="zh-CN"/>
        </w:rPr>
        <w:t>至少1名</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rPr>
        <w:t>应具备</w:t>
      </w:r>
      <w:r>
        <w:rPr>
          <w:rFonts w:hint="eastAsia" w:ascii="仿宋" w:hAnsi="仿宋" w:eastAsia="仿宋" w:cs="仿宋"/>
          <w:b/>
          <w:bCs/>
          <w:sz w:val="24"/>
          <w:szCs w:val="24"/>
          <w:highlight w:val="none"/>
          <w:lang w:val="en-US" w:eastAsia="zh-CN"/>
        </w:rPr>
        <w:t>污泥处理工证书和</w:t>
      </w:r>
      <w:r>
        <w:rPr>
          <w:rFonts w:hint="eastAsia" w:ascii="仿宋" w:hAnsi="仿宋" w:eastAsia="仿宋" w:cs="仿宋"/>
          <w:b/>
          <w:bCs/>
          <w:sz w:val="24"/>
          <w:szCs w:val="24"/>
          <w:highlight w:val="none"/>
        </w:rPr>
        <w:t>相应的处置能力。</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lang w:val="en-US" w:eastAsia="zh-CN"/>
        </w:rPr>
        <w:t>响应文件中提供人员</w:t>
      </w:r>
      <w:r>
        <w:rPr>
          <w:rFonts w:hint="eastAsia" w:ascii="仿宋" w:hAnsi="仿宋" w:eastAsia="仿宋" w:cs="仿宋"/>
          <w:b/>
          <w:bCs/>
          <w:sz w:val="24"/>
          <w:szCs w:val="24"/>
          <w:highlight w:val="none"/>
        </w:rPr>
        <w:t>有效期内</w:t>
      </w:r>
      <w:r>
        <w:rPr>
          <w:rFonts w:hint="eastAsia" w:ascii="仿宋" w:hAnsi="仿宋" w:eastAsia="仿宋" w:cs="仿宋"/>
          <w:b/>
          <w:bCs/>
          <w:sz w:val="24"/>
          <w:szCs w:val="24"/>
          <w:highlight w:val="none"/>
          <w:lang w:val="en-US" w:eastAsia="zh-CN"/>
        </w:rPr>
        <w:t>污泥处理工证书扫描件，否则作无效响应处理</w:t>
      </w:r>
      <w:r>
        <w:rPr>
          <w:rFonts w:hint="eastAsia" w:ascii="仿宋" w:hAnsi="仿宋" w:eastAsia="仿宋" w:cs="仿宋"/>
          <w:b/>
          <w:bCs/>
          <w:sz w:val="24"/>
          <w:szCs w:val="24"/>
          <w:highlight w:val="none"/>
          <w:lang w:eastAsia="zh-CN"/>
        </w:rPr>
        <w:t>）</w:t>
      </w:r>
    </w:p>
    <w:p w14:paraId="5FB0D6C6">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rPr>
        <w:t xml:space="preserve">6.2 </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拟派本项目的车辆驾驶人员</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lang w:val="en-US" w:eastAsia="zh-CN"/>
        </w:rPr>
        <w:t>至少2名</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rPr>
        <w:t>具有有效期内B2</w:t>
      </w:r>
      <w:r>
        <w:rPr>
          <w:rFonts w:hint="eastAsia" w:ascii="仿宋" w:hAnsi="仿宋" w:eastAsia="仿宋" w:cs="仿宋"/>
          <w:b/>
          <w:bCs/>
          <w:sz w:val="24"/>
          <w:szCs w:val="24"/>
          <w:highlight w:val="none"/>
          <w:lang w:val="en-US" w:eastAsia="zh-CN"/>
        </w:rPr>
        <w:t>或</w:t>
      </w:r>
      <w:r>
        <w:rPr>
          <w:rFonts w:hint="eastAsia" w:ascii="仿宋" w:hAnsi="仿宋" w:eastAsia="仿宋" w:cs="仿宋"/>
          <w:b/>
          <w:bCs/>
          <w:sz w:val="24"/>
          <w:szCs w:val="24"/>
          <w:highlight w:val="none"/>
        </w:rPr>
        <w:t>以上级别驾驶证和道路运输从业人员从业资格证件有效期内的证件。</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lang w:val="en-US" w:eastAsia="zh-CN"/>
        </w:rPr>
        <w:t>响应文件中提供人员证书扫描件，否则作无效响应处理</w:t>
      </w:r>
      <w:r>
        <w:rPr>
          <w:rFonts w:hint="eastAsia" w:ascii="仿宋" w:hAnsi="仿宋" w:eastAsia="仿宋" w:cs="仿宋"/>
          <w:b/>
          <w:bCs/>
          <w:sz w:val="24"/>
          <w:szCs w:val="24"/>
          <w:highlight w:val="none"/>
          <w:lang w:eastAsia="zh-CN"/>
        </w:rPr>
        <w:t>）</w:t>
      </w:r>
    </w:p>
    <w:p w14:paraId="0E4F0459">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7.</w:t>
      </w:r>
      <w:r>
        <w:rPr>
          <w:rFonts w:hint="eastAsia" w:ascii="仿宋" w:hAnsi="仿宋" w:eastAsia="仿宋" w:cs="仿宋"/>
          <w:sz w:val="24"/>
          <w:szCs w:val="24"/>
          <w:highlight w:val="none"/>
        </w:rPr>
        <w:t>验收：</w:t>
      </w:r>
    </w:p>
    <w:p w14:paraId="09E167A7">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 xml:space="preserve">7.1 </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准确统计出污泥处置数量，称重时，双方派员监磅，称重磅单应记载毛重、皮重净重并且由双方监磅人员共同签字认可。</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应确保称重设备可靠、准确并经相关部门校验核准，状态正常，不得擅自更改称重系统。</w:t>
      </w:r>
    </w:p>
    <w:p w14:paraId="6CA9BD5A">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 xml:space="preserve">7.2 </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应根据磅单称重数量配合采购人做好污泥转移联单的记录和签收，联单签收后复印留底与磅单共同作为依据进行验收。</w:t>
      </w:r>
    </w:p>
    <w:p w14:paraId="10542B01">
      <w:pPr>
        <w:keepNext w:val="0"/>
        <w:keepLines w:val="0"/>
        <w:pageBreakBefore w:val="0"/>
        <w:widowControl w:val="0"/>
        <w:kinsoku w:val="0"/>
        <w:wordWrap/>
        <w:overflowPunct/>
        <w:topLinePunct w:val="0"/>
        <w:autoSpaceDE w:val="0"/>
        <w:autoSpaceDN w:val="0"/>
        <w:bidi w:val="0"/>
        <w:adjustRightInd w:val="0"/>
        <w:snapToGrid w:val="0"/>
        <w:spacing w:line="242" w:lineRule="auto"/>
        <w:ind w:firstLine="480" w:firstLineChars="200"/>
        <w:textAlignment w:val="baseline"/>
        <w:rPr>
          <w:rFonts w:hint="eastAsia" w:ascii="仿宋" w:hAnsi="仿宋" w:eastAsia="仿宋" w:cs="仿宋"/>
          <w:sz w:val="24"/>
          <w:szCs w:val="24"/>
          <w:highlight w:val="none"/>
        </w:rPr>
      </w:pPr>
      <w:r>
        <w:rPr>
          <w:rFonts w:hint="eastAsia" w:ascii="仿宋" w:hAnsi="仿宋" w:eastAsia="仿宋" w:cs="仿宋"/>
          <w:sz w:val="24"/>
          <w:szCs w:val="24"/>
          <w:highlight w:val="none"/>
        </w:rPr>
        <w:t xml:space="preserve">7.3 </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负责污泥装车、运输、处置等一切相关事宜，同时做好污泥跟踪和记录工作及处置后的证明材料，并报告给采购人予以备案。</w:t>
      </w:r>
    </w:p>
    <w:p w14:paraId="29AF2A92">
      <w:pPr>
        <w:pageBreakBefore w:val="0"/>
        <w:widowControl w:val="0"/>
        <w:wordWrap/>
        <w:overflowPunct/>
        <w:topLinePunct w:val="0"/>
        <w:bidi w:val="0"/>
        <w:spacing w:before="78" w:line="219" w:lineRule="auto"/>
        <w:rPr>
          <w:rFonts w:hint="eastAsia" w:ascii="仿宋" w:hAnsi="仿宋" w:eastAsia="仿宋" w:cs="仿宋"/>
          <w:b/>
          <w:bCs/>
          <w:snapToGrid w:val="0"/>
          <w:color w:val="000000"/>
          <w:sz w:val="24"/>
          <w:szCs w:val="24"/>
          <w:highlight w:val="none"/>
          <w:lang w:val="en-US" w:eastAsia="zh-CN" w:bidi="ar-SA"/>
        </w:rPr>
      </w:pPr>
      <w:r>
        <w:rPr>
          <w:rFonts w:hint="eastAsia" w:ascii="仿宋" w:hAnsi="仿宋" w:eastAsia="仿宋" w:cs="仿宋"/>
          <w:b/>
          <w:bCs/>
          <w:snapToGrid w:val="0"/>
          <w:color w:val="000000"/>
          <w:sz w:val="24"/>
          <w:szCs w:val="24"/>
          <w:highlight w:val="none"/>
          <w:lang w:val="en-US" w:eastAsia="zh-CN" w:bidi="ar-SA"/>
        </w:rPr>
        <w:t>注：以上</w:t>
      </w:r>
      <w:r>
        <w:rPr>
          <w:rFonts w:hint="eastAsia" w:ascii="仿宋" w:hAnsi="仿宋" w:eastAsia="仿宋" w:cs="仿宋"/>
          <w:b/>
          <w:bCs/>
          <w:color w:val="auto"/>
          <w:spacing w:val="-5"/>
          <w:sz w:val="24"/>
          <w:szCs w:val="24"/>
          <w:highlight w:val="none"/>
          <w:lang w:val="en-US" w:eastAsia="zh-CN"/>
        </w:rPr>
        <w:t>服务</w:t>
      </w:r>
      <w:r>
        <w:rPr>
          <w:rFonts w:hint="eastAsia" w:ascii="仿宋" w:hAnsi="仿宋" w:eastAsia="仿宋" w:cs="仿宋"/>
          <w:b/>
          <w:bCs/>
          <w:color w:val="auto"/>
          <w:spacing w:val="-5"/>
          <w:sz w:val="24"/>
          <w:szCs w:val="24"/>
          <w:highlight w:val="none"/>
        </w:rPr>
        <w:t>需求</w:t>
      </w:r>
      <w:r>
        <w:rPr>
          <w:rFonts w:hint="eastAsia" w:ascii="仿宋" w:hAnsi="仿宋" w:eastAsia="仿宋" w:cs="仿宋"/>
          <w:b/>
          <w:bCs/>
          <w:color w:val="auto"/>
          <w:spacing w:val="-5"/>
          <w:sz w:val="24"/>
          <w:szCs w:val="24"/>
          <w:highlight w:val="none"/>
          <w:lang w:val="en-US" w:eastAsia="zh-CN"/>
        </w:rPr>
        <w:t>和需要提供的资料为实质性响应条款</w:t>
      </w:r>
      <w:r>
        <w:rPr>
          <w:rFonts w:hint="eastAsia" w:ascii="仿宋" w:hAnsi="仿宋" w:eastAsia="仿宋" w:cs="仿宋"/>
          <w:b/>
          <w:bCs/>
          <w:snapToGrid w:val="0"/>
          <w:color w:val="000000"/>
          <w:sz w:val="24"/>
          <w:szCs w:val="24"/>
          <w:highlight w:val="none"/>
          <w:lang w:val="en-US" w:eastAsia="zh-CN" w:bidi="ar-SA"/>
        </w:rPr>
        <w:t>必须完全响应或优于，否则作无效投标处理。</w:t>
      </w:r>
    </w:p>
    <w:p w14:paraId="59AA67DF"/>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6D2B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2026-06-30T07:05:02Z</dcterms:created>
  <dc:creator>Administrator</dc:creator>
  <cp:lastModifiedBy>Administrator</cp:lastModifiedBy>
  <dcterms:modified xsi:type="dcterms:W3CDTF">2026-06-30T07:05:25Z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eyJoZGlkIjoiMmMwNGQ1NzFmODFkOGQ4MmMxN2MwMTU1ZDFmOGZlMzMiLCJ1c2VySWQiOiIzMzY3NTI5MjAifQ==</vt:lpwstr>
  </property>
  <property fmtid="{D5CDD505-2E9C-101B-9397-08002B2CF9AE}" pid="4" name="ICV">
    <vt:lpwstr>DC81A8A9A3764B819DF7B6435BE561F8_12</vt:lpwstr>
  </property>
</Properties>
</file>