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164981">
      <w:pPr>
        <w:jc w:val="center"/>
        <w:rPr>
          <w:rFonts w:hint="eastAsia" w:ascii="宋体" w:hAnsi="宋体" w:eastAsia="宋体"/>
          <w:sz w:val="44"/>
          <w:szCs w:val="44"/>
        </w:rPr>
      </w:pPr>
      <w:r>
        <w:rPr>
          <w:rFonts w:hint="eastAsia" w:ascii="宋体" w:hAnsi="宋体" w:eastAsia="宋体"/>
          <w:sz w:val="44"/>
          <w:szCs w:val="44"/>
        </w:rPr>
        <w:t>采购需求</w:t>
      </w:r>
    </w:p>
    <w:p w14:paraId="1C62F203">
      <w:pPr>
        <w:widowControl/>
        <w:ind w:firstLine="420"/>
        <w:jc w:val="left"/>
        <w:rPr>
          <w:rFonts w:ascii="Times New Roman" w:hAnsi="Times New Roman" w:eastAsia="宋体" w:cs="Times New Roman"/>
          <w:color w:val="auto"/>
          <w:kern w:val="0"/>
          <w:sz w:val="20"/>
          <w:szCs w:val="20"/>
          <w:lang w:val="en-US" w:eastAsia="zh-CN" w:bidi="ar-SA"/>
        </w:rPr>
      </w:pPr>
    </w:p>
    <w:p w14:paraId="474EAFDC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7" w:lineRule="auto"/>
        <w:ind w:firstLine="562" w:firstLineChars="200"/>
        <w:jc w:val="left"/>
        <w:textAlignment w:val="baseline"/>
        <w:rPr>
          <w:rFonts w:hint="eastAsia" w:ascii="Arial" w:hAnsi="Arial" w:eastAsia="宋体" w:cs="Arial"/>
          <w:b/>
          <w:bCs/>
          <w:snapToGrid w:val="0"/>
          <w:color w:val="auto"/>
          <w:spacing w:val="0"/>
          <w:kern w:val="0"/>
          <w:position w:val="0"/>
          <w:sz w:val="28"/>
          <w:szCs w:val="28"/>
          <w:lang w:eastAsia="zh-CN"/>
        </w:rPr>
      </w:pPr>
      <w:r>
        <w:rPr>
          <w:rFonts w:hint="eastAsia" w:ascii="Arial" w:hAnsi="Arial" w:eastAsia="宋体" w:cs="Arial"/>
          <w:b/>
          <w:bCs/>
          <w:snapToGrid w:val="0"/>
          <w:color w:val="auto"/>
          <w:spacing w:val="0"/>
          <w:kern w:val="0"/>
          <w:position w:val="0"/>
          <w:sz w:val="28"/>
          <w:szCs w:val="28"/>
          <w:lang w:val="en-US" w:eastAsia="zh-CN"/>
        </w:rPr>
        <w:t>★</w:t>
      </w:r>
      <w:r>
        <w:rPr>
          <w:rFonts w:hint="eastAsia" w:ascii="Arial" w:hAnsi="Arial" w:eastAsia="宋体" w:cs="Arial"/>
          <w:b/>
          <w:bCs/>
          <w:snapToGrid w:val="0"/>
          <w:color w:val="auto"/>
          <w:spacing w:val="0"/>
          <w:kern w:val="0"/>
          <w:position w:val="0"/>
          <w:sz w:val="28"/>
          <w:szCs w:val="28"/>
          <w:lang w:eastAsia="zh-CN"/>
        </w:rPr>
        <w:t>（一）采购需求</w:t>
      </w:r>
    </w:p>
    <w:tbl>
      <w:tblPr>
        <w:tblStyle w:val="5"/>
        <w:tblW w:w="5271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4"/>
        <w:gridCol w:w="1601"/>
        <w:gridCol w:w="2809"/>
        <w:gridCol w:w="859"/>
        <w:gridCol w:w="1337"/>
        <w:gridCol w:w="859"/>
        <w:gridCol w:w="745"/>
        <w:gridCol w:w="1257"/>
      </w:tblGrid>
      <w:tr w14:paraId="0A2A9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3" w:hRule="atLeast"/>
          <w:jc w:val="center"/>
        </w:trPr>
        <w:tc>
          <w:tcPr>
            <w:tcW w:w="33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3633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7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2B4E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项目</w:t>
            </w:r>
          </w:p>
        </w:tc>
        <w:tc>
          <w:tcPr>
            <w:tcW w:w="138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3D47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项目特征</w:t>
            </w:r>
          </w:p>
        </w:tc>
        <w:tc>
          <w:tcPr>
            <w:tcW w:w="42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D97E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计价单位</w:t>
            </w:r>
          </w:p>
        </w:tc>
        <w:tc>
          <w:tcPr>
            <w:tcW w:w="65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EAEC9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工程量</w:t>
            </w:r>
          </w:p>
        </w:tc>
        <w:tc>
          <w:tcPr>
            <w:tcW w:w="423" w:type="pct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 w14:paraId="6EF5C0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  <w:p w14:paraId="472B43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(元)</w:t>
            </w:r>
          </w:p>
        </w:tc>
        <w:tc>
          <w:tcPr>
            <w:tcW w:w="36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E44E9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总价</w:t>
            </w:r>
          </w:p>
          <w:p w14:paraId="6A316D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(元)</w:t>
            </w:r>
          </w:p>
        </w:tc>
        <w:tc>
          <w:tcPr>
            <w:tcW w:w="61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6AC1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 w14:paraId="146753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33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2072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676" w:type="pct"/>
            <w:gridSpan w:val="5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8F20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安全利用区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782B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61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9158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</w:tr>
      <w:tr w14:paraId="6C960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  <w:jc w:val="center"/>
        </w:trPr>
        <w:tc>
          <w:tcPr>
            <w:tcW w:w="33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3624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1.1</w:t>
            </w:r>
          </w:p>
        </w:tc>
        <w:tc>
          <w:tcPr>
            <w:tcW w:w="78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7117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叶面阻控技术服务</w:t>
            </w:r>
          </w:p>
        </w:tc>
        <w:tc>
          <w:tcPr>
            <w:tcW w:w="138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C8CA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无人机飞防服务、二次转运服务及叶面阻控剂配备服务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3711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亩</w:t>
            </w:r>
          </w:p>
        </w:tc>
        <w:tc>
          <w:tcPr>
            <w:tcW w:w="65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05B0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12784.16</w:t>
            </w:r>
          </w:p>
        </w:tc>
        <w:tc>
          <w:tcPr>
            <w:tcW w:w="42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6D53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36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1769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61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A2A6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施用2次</w:t>
            </w:r>
          </w:p>
        </w:tc>
      </w:tr>
      <w:tr w14:paraId="448C9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  <w:jc w:val="center"/>
        </w:trPr>
        <w:tc>
          <w:tcPr>
            <w:tcW w:w="33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2256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1.2</w:t>
            </w:r>
          </w:p>
        </w:tc>
        <w:tc>
          <w:tcPr>
            <w:tcW w:w="78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3794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土壤钝化技术服务</w:t>
            </w:r>
          </w:p>
        </w:tc>
        <w:tc>
          <w:tcPr>
            <w:tcW w:w="138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9E31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土壤钝化服务，含撒施服务、二次转运服务及土壤钝化剂配备服务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47924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亩</w:t>
            </w:r>
          </w:p>
        </w:tc>
        <w:tc>
          <w:tcPr>
            <w:tcW w:w="65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24B7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12784.16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C1E8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36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383A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61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380D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施用1次</w:t>
            </w:r>
          </w:p>
        </w:tc>
      </w:tr>
      <w:tr w14:paraId="39A7E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33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9C91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1.3</w:t>
            </w:r>
          </w:p>
        </w:tc>
        <w:tc>
          <w:tcPr>
            <w:tcW w:w="78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34B5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水分管理服务</w:t>
            </w:r>
          </w:p>
        </w:tc>
        <w:tc>
          <w:tcPr>
            <w:tcW w:w="138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5910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提供水分管理服务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10A7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亩</w:t>
            </w:r>
          </w:p>
        </w:tc>
        <w:tc>
          <w:tcPr>
            <w:tcW w:w="65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53DB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12784.16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C52A1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36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97391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61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CAC4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</w:tr>
      <w:tr w14:paraId="0D2AD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33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22884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676" w:type="pct"/>
            <w:gridSpan w:val="5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41EF1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优先保护区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D198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61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8CAA6C">
            <w:pPr>
              <w:widowControl w:val="0"/>
              <w:kinsoku/>
              <w:autoSpaceDE/>
              <w:autoSpaceDN/>
              <w:adjustRightInd/>
              <w:snapToGrid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</w:tr>
      <w:tr w14:paraId="46865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  <w:jc w:val="center"/>
        </w:trPr>
        <w:tc>
          <w:tcPr>
            <w:tcW w:w="33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31C6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2.1</w:t>
            </w:r>
          </w:p>
        </w:tc>
        <w:tc>
          <w:tcPr>
            <w:tcW w:w="78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B6FB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叶面阻控技术服务</w:t>
            </w:r>
          </w:p>
        </w:tc>
        <w:tc>
          <w:tcPr>
            <w:tcW w:w="138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2EEFE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无人机飞防服务、二次转运服务及叶面阻控剂配备服务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E014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亩</w:t>
            </w:r>
          </w:p>
        </w:tc>
        <w:tc>
          <w:tcPr>
            <w:tcW w:w="65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A510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20010</w:t>
            </w:r>
          </w:p>
        </w:tc>
        <w:tc>
          <w:tcPr>
            <w:tcW w:w="42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DBEA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36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1C3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61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B895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施用2次</w:t>
            </w:r>
          </w:p>
        </w:tc>
      </w:tr>
      <w:tr w14:paraId="5487D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33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102E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2.2</w:t>
            </w:r>
          </w:p>
        </w:tc>
        <w:tc>
          <w:tcPr>
            <w:tcW w:w="78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14F3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水分管理服务</w:t>
            </w:r>
          </w:p>
        </w:tc>
        <w:tc>
          <w:tcPr>
            <w:tcW w:w="138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AE47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提供水分管理服务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A6DEB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亩</w:t>
            </w:r>
          </w:p>
        </w:tc>
        <w:tc>
          <w:tcPr>
            <w:tcW w:w="65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02034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20010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FCF2C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366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03E54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61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F30A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</w:tr>
      <w:tr w14:paraId="67DD0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  <w:jc w:val="center"/>
        </w:trPr>
        <w:tc>
          <w:tcPr>
            <w:tcW w:w="33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5D1E7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78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57B9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安全利用技术培训服务</w:t>
            </w:r>
          </w:p>
        </w:tc>
        <w:tc>
          <w:tcPr>
            <w:tcW w:w="138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586E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对玉山县2026年安全利用地块涉及乡镇组织受污染耕地安全利用技术培训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1706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项</w:t>
            </w:r>
          </w:p>
        </w:tc>
        <w:tc>
          <w:tcPr>
            <w:tcW w:w="65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62CE8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B561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18C76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61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3E3E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</w:tr>
      <w:tr w14:paraId="280AE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3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1A57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172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41A0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项目管理服务、台账建设服务等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3DDF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项</w:t>
            </w:r>
          </w:p>
        </w:tc>
        <w:tc>
          <w:tcPr>
            <w:tcW w:w="658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618B1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23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5D5A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366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34D8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</w:p>
        </w:tc>
        <w:tc>
          <w:tcPr>
            <w:tcW w:w="61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A97C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2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</w:tr>
    </w:tbl>
    <w:p w14:paraId="3DDEEECF">
      <w:pPr>
        <w:keepNext/>
        <w:keepLines/>
        <w:widowControl w:val="0"/>
        <w:numPr>
          <w:ilvl w:val="2"/>
          <w:numId w:val="0"/>
        </w:numPr>
        <w:kinsoku/>
        <w:autoSpaceDE/>
        <w:autoSpaceDN/>
        <w:bidi w:val="0"/>
        <w:adjustRightInd/>
        <w:snapToGrid/>
        <w:spacing w:before="20" w:after="20"/>
        <w:ind w:firstLine="562" w:firstLineChars="200"/>
        <w:jc w:val="both"/>
        <w:textAlignment w:val="auto"/>
        <w:outlineLvl w:val="2"/>
        <w:rPr>
          <w:rFonts w:hint="eastAsia" w:ascii="宋体" w:hAnsi="宋体" w:eastAsia="宋体" w:cs="宋体"/>
          <w:b/>
          <w:bCs/>
          <w:snapToGrid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/>
          <w:color w:val="auto"/>
          <w:kern w:val="2"/>
          <w:sz w:val="28"/>
          <w:szCs w:val="28"/>
          <w:lang w:val="en-US" w:eastAsia="zh-CN" w:bidi="ar-SA"/>
        </w:rPr>
        <w:t>（二）技术要求</w:t>
      </w:r>
    </w:p>
    <w:p w14:paraId="5C3FA04E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beforeAutospacing="0" w:afterLines="0" w:afterAutospacing="0" w:line="360" w:lineRule="auto"/>
        <w:ind w:firstLine="560" w:firstLineChars="200"/>
        <w:jc w:val="both"/>
        <w:textAlignment w:val="auto"/>
        <w:outlineLvl w:val="2"/>
        <w:rPr>
          <w:rFonts w:hint="eastAsia" w:ascii="宋体" w:hAnsi="宋体" w:eastAsia="宋体" w:cs="宋体"/>
          <w:b w:val="0"/>
          <w:bCs/>
          <w:snapToGrid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/>
          <w:snapToGrid/>
          <w:color w:val="auto"/>
          <w:kern w:val="2"/>
          <w:sz w:val="28"/>
          <w:szCs w:val="28"/>
          <w:lang w:val="en-US" w:eastAsia="zh-CN" w:bidi="ar-SA"/>
        </w:rPr>
        <w:t>1、项目地点及内容：</w:t>
      </w:r>
    </w:p>
    <w:p w14:paraId="4743BB81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beforeAutospacing="0" w:afterLines="0" w:afterAutospacing="0" w:line="360" w:lineRule="auto"/>
        <w:ind w:left="0" w:leftChars="0" w:firstLine="560" w:firstLineChars="200"/>
        <w:jc w:val="both"/>
        <w:textAlignment w:val="auto"/>
        <w:outlineLvl w:val="3"/>
        <w:rPr>
          <w:rFonts w:hint="eastAsia" w:ascii="宋体" w:hAnsi="宋体" w:eastAsia="宋体" w:cs="宋体"/>
          <w:b w:val="0"/>
          <w:bCs/>
          <w:snapToGrid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/>
          <w:snapToGrid/>
          <w:color w:val="auto"/>
          <w:kern w:val="2"/>
          <w:sz w:val="28"/>
          <w:szCs w:val="28"/>
          <w:lang w:val="en-US" w:eastAsia="zh-CN" w:bidi="ar-SA"/>
        </w:rPr>
        <w:t>（1）安全利用区及优先保护区</w:t>
      </w:r>
    </w:p>
    <w:p w14:paraId="4CB85FEA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中标人按照确定的工艺参数，完成玉山县2026年受污染耕地安全利用项目，其中安全利用区</w:t>
      </w:r>
      <w:r>
        <w:rPr>
          <w:rFonts w:hint="eastAsia" w:ascii="宋体" w:hAnsi="宋体" w:eastAsia="宋体" w:cs="宋体"/>
          <w:b/>
          <w:bCs/>
          <w:snapToGrid/>
          <w:color w:val="auto"/>
          <w:kern w:val="2"/>
          <w:sz w:val="28"/>
          <w:szCs w:val="28"/>
          <w:lang w:val="en-US" w:eastAsia="zh-CN"/>
        </w:rPr>
        <w:t>12784.16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亩，优先保护区20010.00亩。</w:t>
      </w:r>
    </w:p>
    <w:p w14:paraId="176CD87F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针对安全利用区采用：土壤钝化+采取叶面阻控+水分管理的措施；针对优先保护区采用：叶面阻控+水分管理。对各乡(街道、镇)的安全利用技术用量进行汇总，表1为安全利用区及优先保护区技术服务措施用量表。</w:t>
      </w:r>
    </w:p>
    <w:p w14:paraId="5117AE15">
      <w:pPr>
        <w:widowControl/>
        <w:ind w:firstLine="420"/>
        <w:jc w:val="left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 w:bidi="ar-SA"/>
        </w:rPr>
      </w:pPr>
    </w:p>
    <w:p w14:paraId="23427859">
      <w:pPr>
        <w:widowControl/>
        <w:ind w:firstLine="420"/>
        <w:jc w:val="left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 w:bidi="ar-SA"/>
        </w:rPr>
      </w:pPr>
      <w:bookmarkStart w:id="0" w:name="_GoBack"/>
      <w:bookmarkEnd w:id="0"/>
    </w:p>
    <w:p w14:paraId="12BDF3ED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firstLine="422" w:firstLineChars="200"/>
        <w:jc w:val="center"/>
        <w:textAlignment w:val="auto"/>
        <w:rPr>
          <w:rFonts w:hint="eastAsia" w:ascii="宋体" w:hAnsi="宋体" w:eastAsia="宋体" w:cs="宋体"/>
          <w:b/>
          <w:bCs/>
          <w:snapToGrid/>
          <w:color w:val="auto"/>
          <w:kern w:val="2"/>
          <w:sz w:val="21"/>
          <w:szCs w:val="21"/>
          <w:lang w:val="en-US" w:eastAsia="zh-CN"/>
        </w:rPr>
      </w:pPr>
    </w:p>
    <w:p w14:paraId="2DE30134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firstLine="562" w:firstLineChars="200"/>
        <w:jc w:val="center"/>
        <w:textAlignment w:val="auto"/>
        <w:rPr>
          <w:rFonts w:hint="eastAsia" w:ascii="宋体" w:hAnsi="宋体" w:eastAsia="宋体" w:cs="宋体"/>
          <w:b/>
          <w:bCs/>
          <w:snapToGrid/>
          <w:color w:val="auto"/>
          <w:kern w:val="2"/>
          <w:sz w:val="21"/>
          <w:szCs w:val="21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宋体" w:hAnsi="宋体" w:eastAsia="宋体" w:cs="宋体"/>
          <w:b/>
          <w:bCs/>
          <w:snapToGrid/>
          <w:color w:val="auto"/>
          <w:kern w:val="2"/>
          <w:sz w:val="21"/>
          <w:szCs w:val="21"/>
          <w:lang w:val="en-US" w:eastAsia="zh-CN"/>
        </w:rPr>
        <w:t>表1安全利用区及优先保护区技术服务措施用量表</w:t>
      </w:r>
    </w:p>
    <w:tbl>
      <w:tblPr>
        <w:tblStyle w:val="5"/>
        <w:tblW w:w="5087" w:type="pct"/>
        <w:tblInd w:w="-2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2"/>
        <w:gridCol w:w="655"/>
        <w:gridCol w:w="1064"/>
        <w:gridCol w:w="986"/>
        <w:gridCol w:w="784"/>
        <w:gridCol w:w="1019"/>
        <w:gridCol w:w="1435"/>
        <w:gridCol w:w="1140"/>
        <w:gridCol w:w="1289"/>
        <w:gridCol w:w="922"/>
      </w:tblGrid>
      <w:tr w14:paraId="2EBCE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8F4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E7B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街镇</w:t>
            </w:r>
          </w:p>
        </w:tc>
        <w:tc>
          <w:tcPr>
            <w:tcW w:w="54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CA9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村</w:t>
            </w:r>
          </w:p>
        </w:tc>
        <w:tc>
          <w:tcPr>
            <w:tcW w:w="50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D18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5"/>
                <w:szCs w:val="15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5"/>
                <w:szCs w:val="15"/>
                <w:lang w:val="en-US" w:eastAsia="zh-CN"/>
              </w:rPr>
              <w:t>安全利用区水田面积（亩）</w:t>
            </w:r>
          </w:p>
        </w:tc>
        <w:tc>
          <w:tcPr>
            <w:tcW w:w="40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661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5"/>
                <w:szCs w:val="15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5"/>
                <w:szCs w:val="15"/>
                <w:lang w:val="en-US" w:eastAsia="zh-CN"/>
              </w:rPr>
              <w:t>优先保护区水田面积（亩）</w:t>
            </w:r>
          </w:p>
        </w:tc>
        <w:tc>
          <w:tcPr>
            <w:tcW w:w="52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599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pH值</w:t>
            </w:r>
          </w:p>
        </w:tc>
        <w:tc>
          <w:tcPr>
            <w:tcW w:w="1314" w:type="pct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DF8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叶面阻控剂（L)</w:t>
            </w:r>
          </w:p>
        </w:tc>
        <w:tc>
          <w:tcPr>
            <w:tcW w:w="1128" w:type="pct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52B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土壤钝化剂（吨）</w:t>
            </w:r>
          </w:p>
        </w:tc>
      </w:tr>
      <w:tr w14:paraId="37DE0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E67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FB9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3B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0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8F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4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6BF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2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E0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1314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682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1128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3FA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</w:tr>
      <w:tr w14:paraId="488D8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A08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7A0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D7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0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735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4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17B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2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DC7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C9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用量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48B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总计（L）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FB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用量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ABF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总计</w:t>
            </w:r>
          </w:p>
          <w:p w14:paraId="5C2C0F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（吨）</w:t>
            </w:r>
          </w:p>
        </w:tc>
      </w:tr>
      <w:tr w14:paraId="47B2A1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647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634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六都乡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BEE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官仓边村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4F2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715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5BF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6.23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7AD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215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A47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8E7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F349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877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353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896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六都村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29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6BD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44B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5.82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C59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6FA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A8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291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788B32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D27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89A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ED9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清水塘村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069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A9B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27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5.65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93E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013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815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A0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48F5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C2A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C2D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9C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下濂溪村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E33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5CF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256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5.65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73D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AF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D79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25A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37E1A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E41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5E0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50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下坊村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9EB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19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B10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5.17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C1A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B03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258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04B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18B43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9E4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598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83B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三都村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EF9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08C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287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6.48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FB9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B86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E8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6F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5AD52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900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46C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8AC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大路中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D4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2D9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250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33E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6.40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9D6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D6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250.00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360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17B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54BCC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F67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0E5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631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桥底坞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D8C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1BA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20C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6.30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28D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D09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9C2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D53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44A16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66A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2D0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6B4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前州村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67E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84F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247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6.30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8EF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E72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966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BF6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1CB0F2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94E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D52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岩瑞镇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7F4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包溪村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7BB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285.54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E35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E0A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6.02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7DE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E92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885.54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EEE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7C0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7B4FD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0A2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CA9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66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横塘村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FD3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9B8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7B9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6.23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A3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640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C78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795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16CD7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F85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CD1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8A6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太平村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82D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8BC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4CC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6.30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6FA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084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334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38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35705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8AA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F9F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6C3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大园地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F7B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77B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959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6.20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CB6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AC3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2E7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38A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50D5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CD4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5EA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8DF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关山桥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022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86D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6F2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6.17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E97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9A6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7A1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55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42BD8F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66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0DD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4B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周溪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32B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C31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0F0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6.14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9E7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F06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6D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515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DCC3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B44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83C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248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五里洋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1C7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442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C9F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6.10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1A8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CC4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5A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69B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13291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2A0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286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0AF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下珠村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E28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7A0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220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FC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6.09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63A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476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220.00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B6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E50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E4AD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DC5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C41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1A5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王家坝村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46B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56B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B9D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6.09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B2C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DF5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B18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451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72467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522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26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34C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东津桥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3AF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813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EA2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6.09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3F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759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FAF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552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46142F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580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339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DC1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宅前村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E7E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FD0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650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BF8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6.05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B9B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9FA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650.00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10B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C37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0873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337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C4E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F9A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田畈村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BD3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1C2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F39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C2A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E10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838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04B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12F1D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BEC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26B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375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中塘村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3AE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1EE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5C5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6.01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DB5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781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51E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366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34657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452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C19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24D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岩洲村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283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461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800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9FD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27A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F5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800.00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DDC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426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26975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2CA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65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2DF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周殿村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773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55F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3AD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B0B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5D3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985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FCE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7F28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6E7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961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A5A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龙琴社区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806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C8E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25A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5.97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491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467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A56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487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72E88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AF4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D77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临湖镇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A21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横溪社区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11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443.61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D32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00E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6.28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16F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783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443.61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C2C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306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44.36</w:t>
            </w:r>
          </w:p>
        </w:tc>
      </w:tr>
      <w:tr w14:paraId="2153B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78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66A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CF9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临湖社区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83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553.10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65D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523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5.52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D47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593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553.10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7E0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DE8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55.31</w:t>
            </w:r>
          </w:p>
        </w:tc>
      </w:tr>
      <w:tr w14:paraId="044B97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F04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08A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955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仓坞村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6BE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352.24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9E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7DB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6.30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7E2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267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352.24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CD6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6C8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35.22</w:t>
            </w:r>
          </w:p>
        </w:tc>
      </w:tr>
      <w:tr w14:paraId="11FFA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463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52F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EF7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坊头村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DD6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450.98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473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0D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5.80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4EA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4A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450.98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27B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374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45.10</w:t>
            </w:r>
          </w:p>
        </w:tc>
      </w:tr>
      <w:tr w14:paraId="19F44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675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0E0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3E3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上坂村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CAC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317.55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FFF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20D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5.70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C6E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7A2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317.55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DBE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768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31.76</w:t>
            </w:r>
          </w:p>
        </w:tc>
      </w:tr>
      <w:tr w14:paraId="367EF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BB5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95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581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四甲村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4C1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275.51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42B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5CD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5.26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C45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E3C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275.51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C75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98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41.33</w:t>
            </w:r>
          </w:p>
        </w:tc>
      </w:tr>
      <w:tr w14:paraId="51AA2B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974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203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323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杨宅村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A67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750.88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C98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447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5.88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8CC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5FD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750.88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BC4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236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75.09</w:t>
            </w:r>
          </w:p>
        </w:tc>
      </w:tr>
      <w:tr w14:paraId="116D95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46F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23A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819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叶桥村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A9F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134.75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3C8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818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769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3E8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134.75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50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9F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13.48</w:t>
            </w:r>
          </w:p>
        </w:tc>
      </w:tr>
      <w:tr w14:paraId="13BB8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A2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CEC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9B3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院边村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95D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501.58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DA5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1D4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6.28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910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5C6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501.58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1B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849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50.16</w:t>
            </w:r>
          </w:p>
        </w:tc>
      </w:tr>
      <w:tr w14:paraId="2DA00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56C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FD7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06A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竹岭村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490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4A6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8E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6.40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718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6D2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4E9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2CC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4F967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D65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138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B6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竹园村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115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29.08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073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A9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5.90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856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0D6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29.08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B81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8F2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2.91</w:t>
            </w:r>
          </w:p>
        </w:tc>
      </w:tr>
      <w:tr w14:paraId="31C5EA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AE6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4C6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必姆镇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3A1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泉眼村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E4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4B3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76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5.13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2EE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62E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630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05B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15.00</w:t>
            </w:r>
          </w:p>
        </w:tc>
      </w:tr>
      <w:tr w14:paraId="54489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1FE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9C9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654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石笋村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A87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147.48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C2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D19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6.18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CA0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5F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347.48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13F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464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14.75</w:t>
            </w:r>
          </w:p>
        </w:tc>
      </w:tr>
      <w:tr w14:paraId="6FE8F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10A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43E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295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苏村村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56D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129.00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CA0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A83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4A5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A6A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329.00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3B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FB6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19.35</w:t>
            </w:r>
          </w:p>
        </w:tc>
      </w:tr>
      <w:tr w14:paraId="3935A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E17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084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D8B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古山村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6CE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24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89F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487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F76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ED7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81E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65CF0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5A3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3E6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D31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王村村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131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459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46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28C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9A2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C89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B11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5F71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504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63F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B7A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上湖田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5E0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F9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618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A06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04B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9F1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458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68B0C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E37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54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84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杨家村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6D5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0E1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290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A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91F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519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AB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4B97A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773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F25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横街镇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855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张村村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70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59.30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D9B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63B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5.27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58F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7B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359.30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D11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856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8.90</w:t>
            </w:r>
          </w:p>
        </w:tc>
      </w:tr>
      <w:tr w14:paraId="1CC57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639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A37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1B7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碓头村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F3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0E6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F65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4A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BB0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C5B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E0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38FC1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873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425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DA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打铁坞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4E2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74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D86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086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F93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B8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B31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33261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D39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972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B2D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坞口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2B0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D4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160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D82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AEE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F66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160.00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9E1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41C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6126C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E2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5F6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樟村镇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D3E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双溪村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5B2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196.88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C88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463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6.05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0C5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79D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196.88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BC7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25E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19.69</w:t>
            </w:r>
          </w:p>
        </w:tc>
      </w:tr>
      <w:tr w14:paraId="22D68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699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AD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45B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雁门村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97F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301.27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207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29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6.10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37C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DB5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301.27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050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AF6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30.13</w:t>
            </w:r>
          </w:p>
        </w:tc>
      </w:tr>
      <w:tr w14:paraId="592B3B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9BB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9F3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591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营盘村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CA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245.74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0B0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7E1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5.83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2AE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BC8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245.74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FDE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DE0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24.57</w:t>
            </w:r>
          </w:p>
        </w:tc>
      </w:tr>
      <w:tr w14:paraId="517B5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21B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F79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9F3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樟村社区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7EF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166.70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A15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8D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5.80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A67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050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166.70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B41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3D7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16.67</w:t>
            </w:r>
          </w:p>
        </w:tc>
      </w:tr>
      <w:tr w14:paraId="4D284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55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1E0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A3C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百果村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C5A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373.30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84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AF5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5.95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DC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4EB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373.30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2B0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13F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37.33</w:t>
            </w:r>
          </w:p>
        </w:tc>
      </w:tr>
      <w:tr w14:paraId="1BF0B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EBE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EEE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41F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方村社区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FDA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405.30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178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44A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5.80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9BE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CF6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405.30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E28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94D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40.53</w:t>
            </w:r>
          </w:p>
        </w:tc>
      </w:tr>
      <w:tr w14:paraId="51E964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5AC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338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937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进士村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BC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66.00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A9E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D3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5.70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42B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C12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66.00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18B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57E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6.60</w:t>
            </w:r>
          </w:p>
        </w:tc>
      </w:tr>
      <w:tr w14:paraId="1BE63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67A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C10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027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南源村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D4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F79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8D3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5.90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AD4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A2F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B6B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0E3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50053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2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896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E69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四股桥乡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D06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潭头村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19A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0A3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267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5.30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662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4E3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04F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A9B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15B830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968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52C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下塘乡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662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溪北村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AF2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148.75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789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EDB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89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266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148.75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624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45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22.31</w:t>
            </w:r>
          </w:p>
        </w:tc>
      </w:tr>
      <w:tr w14:paraId="1B7CD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9B0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14E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9F8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下坛村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3F8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486.59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9A9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ACF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860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384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786.59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8DA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2AB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72.99</w:t>
            </w:r>
          </w:p>
        </w:tc>
      </w:tr>
      <w:tr w14:paraId="5B51E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BC1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99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08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松岭村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9FC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9DB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540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BE7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8BF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3BB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540.00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8EE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78C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8D0D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02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7BE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B37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曾家村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7D9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03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F9A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5.47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DC8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804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1EC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B6A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711F6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EFF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264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仙岩镇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3CD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黄毛坞村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8D9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79.70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BF7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931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5.78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BF0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2A5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79.70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E1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E4E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7.97</w:t>
            </w:r>
          </w:p>
        </w:tc>
      </w:tr>
      <w:tr w14:paraId="48074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ACF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47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620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毛家垄村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9A3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65.36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90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B71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5.90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829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DE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65.36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551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FF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6.54</w:t>
            </w:r>
          </w:p>
        </w:tc>
      </w:tr>
      <w:tr w14:paraId="0CA90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F45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B1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CF5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毛家社区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75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76.07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CE4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19A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5.03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AA9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EDA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76.07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C50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F2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11.41</w:t>
            </w:r>
          </w:p>
        </w:tc>
      </w:tr>
      <w:tr w14:paraId="75C0E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24C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951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220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吴家社区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A75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44.25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2F2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224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D1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019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44.25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081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A5C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6.64</w:t>
            </w:r>
          </w:p>
        </w:tc>
      </w:tr>
      <w:tr w14:paraId="5D532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E6A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AF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233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埂头村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925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0A3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25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069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1AC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8E0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941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946D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D59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B9A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B2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桑园村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CBB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5B9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A74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BB2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F9A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303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A03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4BD9C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3BB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09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DEB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官溪村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AB2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2B6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DB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323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124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04F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3E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6AE7A7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21C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A87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怀玉乡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F3C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白泥村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28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93B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AA3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6.80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58C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CB5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953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8B6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47087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586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BB4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77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关口村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EEC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882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27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6.00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417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B2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A36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B79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5F354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666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57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B0A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后叶村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E6B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538.58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AA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2D9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6.43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4D1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BA0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538.58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AFA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698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53.86</w:t>
            </w:r>
          </w:p>
        </w:tc>
      </w:tr>
      <w:tr w14:paraId="4ED10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D77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43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CA6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怀玉林场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67A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306.01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32A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D1E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389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60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306.01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2B2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3F4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45.90</w:t>
            </w:r>
          </w:p>
        </w:tc>
      </w:tr>
      <w:tr w14:paraId="36798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4DA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D4B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61D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锦溪村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BBB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431.88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8B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4D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6.10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C08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965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431.88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880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E33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43.19</w:t>
            </w:r>
          </w:p>
        </w:tc>
      </w:tr>
      <w:tr w14:paraId="525FB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61B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A04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72E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陇首村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66A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560.07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FC3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26E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5.58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57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28B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560.07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35C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C0A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56.01</w:t>
            </w:r>
          </w:p>
        </w:tc>
      </w:tr>
      <w:tr w14:paraId="67621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AD9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9C0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448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马路社区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69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527.46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E5E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F9F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6.97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C3C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A36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527.46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129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721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52.75</w:t>
            </w:r>
          </w:p>
        </w:tc>
      </w:tr>
      <w:tr w14:paraId="3CE4C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614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AD2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D3C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水阁社区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0B3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330.12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E2C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86A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7.30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BC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DE7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330.12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FBB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F7D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33.01</w:t>
            </w:r>
          </w:p>
        </w:tc>
      </w:tr>
      <w:tr w14:paraId="14FA8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0B4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85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冰溪街道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A35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金交社区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DBA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177.60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DAE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70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6.25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521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840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177.60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FD5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43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17.76</w:t>
            </w:r>
          </w:p>
        </w:tc>
      </w:tr>
      <w:tr w14:paraId="379EC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A55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EC9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BF9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文成村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969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8AB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8B0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5.93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467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B01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77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036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1.50</w:t>
            </w:r>
          </w:p>
        </w:tc>
      </w:tr>
      <w:tr w14:paraId="1A0897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4CF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603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394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杨家坊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ED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962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538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5.27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5A0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7DB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98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5AF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36348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30A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F12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文成街道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957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珠湖村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6FE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702.03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F48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7AA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5.04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A45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EB0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702.03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008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954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105.30</w:t>
            </w:r>
          </w:p>
        </w:tc>
      </w:tr>
      <w:tr w14:paraId="7B664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EF5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2E0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8B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姜宅村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23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494.30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410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B8D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6.68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56D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9F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494.30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832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6C6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49.43</w:t>
            </w:r>
          </w:p>
        </w:tc>
      </w:tr>
      <w:tr w14:paraId="5DE0A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803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A17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CD0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洪家村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220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330.23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5C4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BC0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5.68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FD3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74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330.23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C9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D0D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33.02</w:t>
            </w:r>
          </w:p>
        </w:tc>
      </w:tr>
      <w:tr w14:paraId="0C01C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ED5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EF0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407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毛塘村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EA0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655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7B1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7.65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82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8BD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B07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0CB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683D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20F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8A3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1DB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邱家村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A4B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666.90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11A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152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6.21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AF8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BFC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666.90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306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BCC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66.69</w:t>
            </w:r>
          </w:p>
        </w:tc>
      </w:tr>
      <w:tr w14:paraId="527E7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951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5E2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F63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山边村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9DA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0A0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800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E0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5.58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DFB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AE6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800.00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802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100kg/亩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C3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6378F1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75C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697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E34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十里山村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F24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517.47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CE4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BF2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5.48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521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7A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517.47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045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150kg/亩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635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77.62</w:t>
            </w:r>
          </w:p>
        </w:tc>
      </w:tr>
      <w:tr w14:paraId="63D95C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0AC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E4A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61E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六村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162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22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79F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5.13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65F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89D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7D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AE4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3AD9B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8C0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14F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FB3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乌鹰村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204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8C0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190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EA2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4.84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A9F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7DC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190.00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D3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922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58308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C7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778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CCB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金桥村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C53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623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BEE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5.03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89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1DA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600.00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075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BDF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53A19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8C0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941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CD7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板桥村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B9E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0EB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7A9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5.10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6D4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E9A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02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03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23B23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5AC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3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DCE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下镇镇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519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白桥村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60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345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350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DF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5.03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1B1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0D6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350.00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35E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3DF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7098D3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DDD36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0DBF4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234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占畈村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BE1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D46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DD7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5.03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133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16A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116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DB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5A53F3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A3D0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06785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78C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渎口村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678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FF4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1A1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5.03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F6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A9E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54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169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27E2A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2BEE6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FF2EE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8F2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玉马村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323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58A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BE1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4.97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906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2A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700.00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C83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0BD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6A2E9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C60AE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5132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773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毛宅村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D40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C2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8F1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4.80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A62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DE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787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BA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2612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1EDA6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7E84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2FC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双园村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09A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6A1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A20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4.50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E89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4B2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FF6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296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6AE5E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13286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96C59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1F6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下仓村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3E4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62F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E39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4.50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280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4C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A44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04F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6D5CF2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AEB7D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3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0C77C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A3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西山村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589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A46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7B5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4.40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C3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500ml/亩*2次</w:t>
            </w: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9FF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300.00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6AD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0kg/亩</w:t>
            </w: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BBF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0.00</w:t>
            </w:r>
          </w:p>
        </w:tc>
      </w:tr>
      <w:tr w14:paraId="01573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1133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1B7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小计</w:t>
            </w:r>
          </w:p>
        </w:tc>
        <w:tc>
          <w:tcPr>
            <w:tcW w:w="5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644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12784.16</w:t>
            </w:r>
          </w:p>
        </w:tc>
        <w:tc>
          <w:tcPr>
            <w:tcW w:w="4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6C0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20010</w:t>
            </w:r>
          </w:p>
        </w:tc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C2B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E9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5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67A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32794.16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A2E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</w:p>
        </w:tc>
        <w:tc>
          <w:tcPr>
            <w:tcW w:w="4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B77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18"/>
                <w:szCs w:val="18"/>
                <w:lang w:val="en-US" w:eastAsia="zh-CN"/>
              </w:rPr>
              <w:t>1392.14</w:t>
            </w:r>
          </w:p>
        </w:tc>
      </w:tr>
    </w:tbl>
    <w:p w14:paraId="1BAADE9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480" w:firstLineChars="200"/>
        <w:jc w:val="left"/>
        <w:textAlignment w:val="baseline"/>
        <w:rPr>
          <w:rFonts w:hint="eastAsia" w:ascii="Arial" w:hAnsi="Arial" w:eastAsia="Arial" w:cs="Arial"/>
          <w:snapToGrid w:val="0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Arial" w:hAnsi="Arial" w:eastAsia="Arial" w:cs="Arial"/>
          <w:snapToGrid w:val="0"/>
          <w:color w:val="auto"/>
          <w:kern w:val="0"/>
          <w:sz w:val="24"/>
          <w:szCs w:val="24"/>
          <w:lang w:val="en-US" w:eastAsia="zh-CN"/>
        </w:rPr>
        <w:t>注：列为低积累水稻示范推广区的地块，不再另行实施其他安全利用类措施。该地块原定配发的安全利用物资及相应措施，可直接核减或实施单位经实地调研后，向玉山县农业农村局提交书面申请，转用于未种植低积累水稻安全利用耕地或pH值较低的优先保护类耕地，并在最终验收台账中予以明确记录。</w:t>
      </w:r>
    </w:p>
    <w:p w14:paraId="4F7ABDAF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beforeAutospacing="0" w:afterLines="0" w:afterAutospacing="0" w:line="560" w:lineRule="exact"/>
        <w:ind w:left="0" w:leftChars="0" w:firstLine="562" w:firstLineChars="200"/>
        <w:jc w:val="both"/>
        <w:textAlignment w:val="auto"/>
        <w:outlineLvl w:val="2"/>
        <w:rPr>
          <w:rFonts w:hint="eastAsia" w:ascii="宋体" w:hAnsi="宋体" w:eastAsia="宋体" w:cs="宋体"/>
          <w:b/>
          <w:snapToGrid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snapToGrid/>
          <w:color w:val="auto"/>
          <w:kern w:val="2"/>
          <w:sz w:val="28"/>
          <w:szCs w:val="28"/>
          <w:lang w:val="en-US" w:eastAsia="zh-CN" w:bidi="ar-SA"/>
        </w:rPr>
        <w:t>2、采购服务内容：</w:t>
      </w:r>
    </w:p>
    <w:p w14:paraId="2D418EE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560" w:lineRule="exact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default" w:ascii="Calibri" w:hAnsi="Calibri" w:eastAsia="宋体" w:cs="Calibri"/>
          <w:snapToGrid/>
          <w:color w:val="auto"/>
          <w:kern w:val="2"/>
          <w:sz w:val="28"/>
          <w:szCs w:val="28"/>
          <w:lang w:val="en-US" w:eastAsia="zh-CN"/>
        </w:rPr>
        <w:t>①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受污染耕地的目标物为镉。</w:t>
      </w:r>
    </w:p>
    <w:p w14:paraId="1E716D9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560" w:lineRule="exact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default" w:ascii="Calibri" w:hAnsi="Calibri" w:eastAsia="宋体" w:cs="Calibri"/>
          <w:snapToGrid/>
          <w:color w:val="auto"/>
          <w:kern w:val="2"/>
          <w:sz w:val="28"/>
          <w:szCs w:val="28"/>
          <w:lang w:val="en-US" w:eastAsia="zh-CN"/>
        </w:rPr>
        <w:t>②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服务内容包括：药剂配备、药剂二次转运服务、药剂施加服务（叶面阻控剂无人机飞防服务和土壤钝化剂撒施服务）、水分管理服务、严格管控地块巡查服务、安全利用技术培训服务、项目服务管理、台账建设等。</w:t>
      </w:r>
    </w:p>
    <w:p w14:paraId="392EEDBC">
      <w:pPr>
        <w:keepNext w:val="0"/>
        <w:keepLines w:val="0"/>
        <w:pageBreakBefore w:val="0"/>
        <w:widowControl w:val="0"/>
        <w:numPr>
          <w:ilvl w:val="2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beforeAutospacing="0" w:afterLines="0" w:afterAutospacing="0" w:line="560" w:lineRule="exact"/>
        <w:ind w:firstLine="562" w:firstLineChars="200"/>
        <w:jc w:val="both"/>
        <w:textAlignment w:val="auto"/>
        <w:outlineLvl w:val="2"/>
        <w:rPr>
          <w:rFonts w:hint="eastAsia" w:ascii="宋体" w:hAnsi="宋体" w:eastAsia="宋体" w:cs="宋体"/>
          <w:b/>
          <w:snapToGrid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snapToGrid/>
          <w:color w:val="auto"/>
          <w:kern w:val="2"/>
          <w:sz w:val="28"/>
          <w:szCs w:val="28"/>
          <w:lang w:val="en-US" w:eastAsia="zh-CN" w:bidi="ar-SA"/>
        </w:rPr>
        <w:t>3、采购技术指标要求：</w:t>
      </w:r>
    </w:p>
    <w:p w14:paraId="345A5674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default" w:ascii="Calibri" w:hAnsi="Calibri" w:eastAsia="宋体" w:cs="Calibri"/>
          <w:snapToGrid/>
          <w:color w:val="auto"/>
          <w:kern w:val="2"/>
          <w:sz w:val="28"/>
          <w:szCs w:val="28"/>
          <w:lang w:val="en-US" w:eastAsia="zh-CN"/>
        </w:rPr>
        <w:t>①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药剂配备服务提供的土壤钝化剂（适用于酸性土壤的土壤调理剂）、叶面阻控剂（中微量元素肥料或含硅水溶肥料）等耕地投入品中，重金属限量指标含量符合GB15618-2018农用地筛选值标准要求，以具有CMA资质的检测机构检测并出具的产品质量检验报告或检测报告为准;</w:t>
      </w:r>
    </w:p>
    <w:p w14:paraId="447F0C7F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default" w:ascii="Calibri" w:hAnsi="Calibri" w:eastAsia="宋体" w:cs="Calibri"/>
          <w:snapToGrid/>
          <w:color w:val="auto"/>
          <w:kern w:val="2"/>
          <w:sz w:val="28"/>
          <w:szCs w:val="28"/>
          <w:lang w:val="en-US" w:eastAsia="zh-CN"/>
        </w:rPr>
        <w:t>②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药剂配备服务提供的土壤钝化剂（适用于酸性土壤的土壤调理剂）：CaO含量≥15%；有机质≥5%；pH：9-11；适用于酸性土壤，以在有效期内的肥料登记证为准;</w:t>
      </w:r>
    </w:p>
    <w:p w14:paraId="4AC4FCAA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default" w:ascii="Calibri" w:hAnsi="Calibri" w:eastAsia="宋体" w:cs="Calibri"/>
          <w:snapToGrid/>
          <w:color w:val="auto"/>
          <w:kern w:val="2"/>
          <w:sz w:val="28"/>
          <w:szCs w:val="28"/>
          <w:lang w:val="en-US" w:eastAsia="zh-CN"/>
        </w:rPr>
        <w:t>③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药剂配备服务提供的叶面阻控剂（中微量元素肥料或含硅水溶肥料）：Si含量≥100g/L，含锌元素增加阻控效果，剂型为水剂，适宜作物：水稻；Na≤10g/L，以在有效期内的肥料登记证为准；</w:t>
      </w:r>
    </w:p>
    <w:p w14:paraId="74B53033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仿宋" w:hAnsi="仿宋" w:eastAsia="仿宋" w:cs="仿宋"/>
          <w:snapToGrid/>
          <w:color w:val="auto"/>
          <w:kern w:val="2"/>
          <w:sz w:val="28"/>
          <w:szCs w:val="28"/>
          <w:lang w:val="en-US" w:eastAsia="zh-CN"/>
        </w:rPr>
        <w:t>④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药剂二次转运服务：投标人自行配送至乡镇的各级行政自然村所指定的田块。</w:t>
      </w:r>
    </w:p>
    <w:p w14:paraId="7B9F601A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仿宋" w:hAnsi="仿宋" w:eastAsia="仿宋" w:cs="仿宋"/>
          <w:snapToGrid/>
          <w:color w:val="auto"/>
          <w:kern w:val="2"/>
          <w:sz w:val="28"/>
          <w:szCs w:val="28"/>
          <w:lang w:val="en-US" w:eastAsia="zh-CN"/>
        </w:rPr>
        <w:t>⑤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药剂施加服务（叶面阻控剂无人机飞防服务和土壤钝化剂撒施服务）：在水稻分蘖期和灌浆期期间内用叶面阻控剂无人机飞防服务2次，土壤钝化剂撒施服务等严格按照服务要求，撒施到位。</w:t>
      </w:r>
    </w:p>
    <w:p w14:paraId="55C3CC43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仿宋" w:hAnsi="仿宋" w:eastAsia="仿宋" w:cs="仿宋"/>
          <w:snapToGrid/>
          <w:color w:val="auto"/>
          <w:kern w:val="2"/>
          <w:sz w:val="28"/>
          <w:szCs w:val="28"/>
          <w:lang w:val="en-US" w:eastAsia="zh-CN"/>
        </w:rPr>
        <w:t>⑥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水分管理服务：主要是在水稻的分蘖期足苗后推迟7天再晒田，晒田复水后至收获期前10天保持淹水，淹水方法可采取在农田排水口垫土，淹水深度3-5cm,期间不能晒田缺水。</w:t>
      </w:r>
    </w:p>
    <w:p w14:paraId="26E4EC3B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微软雅黑" w:hAnsi="微软雅黑" w:eastAsia="微软雅黑" w:cs="微软雅黑"/>
          <w:snapToGrid/>
          <w:color w:val="auto"/>
          <w:kern w:val="2"/>
          <w:sz w:val="28"/>
          <w:szCs w:val="28"/>
          <w:lang w:val="en-US" w:eastAsia="zh-CN"/>
        </w:rPr>
        <w:t>⑦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安全利用实施后，稻田污染治理措施不能对耕地或地下水造成二次污染，治理区域水稻单位产量(折算后)与当季同等条件下周边非治理区相比，减产幅度小于或等于10%;</w:t>
      </w:r>
    </w:p>
    <w:p w14:paraId="5C1360D7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微软雅黑" w:hAnsi="微软雅黑" w:eastAsia="微软雅黑" w:cs="微软雅黑"/>
          <w:snapToGrid/>
          <w:color w:val="auto"/>
          <w:kern w:val="2"/>
          <w:sz w:val="28"/>
          <w:szCs w:val="28"/>
          <w:lang w:val="en-US" w:eastAsia="zh-CN"/>
        </w:rPr>
        <w:t>⑧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安全利用技术培训服务：对玉山县2026年安全利用地块涉及乡镇组织受污染耕地安全利用技术培训；</w:t>
      </w:r>
    </w:p>
    <w:p w14:paraId="2119DDC8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微软雅黑" w:hAnsi="微软雅黑" w:eastAsia="微软雅黑" w:cs="微软雅黑"/>
          <w:snapToGrid/>
          <w:color w:val="auto"/>
          <w:kern w:val="2"/>
          <w:sz w:val="28"/>
          <w:szCs w:val="28"/>
          <w:lang w:val="en-US" w:eastAsia="zh-CN"/>
        </w:rPr>
        <w:t>⑨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项目管理服务：</w:t>
      </w:r>
    </w:p>
    <w:p w14:paraId="1443980E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（1）由采购人提供玉山县2026年受污染耕地安全利用与严格管控实施方案给中标人，中标人按实施方案执行并保障项目顺利运行，项目实施过程中，项目管理人员需要准时记录物资到货、抽检结果、任务分配以及进度等关键数据，采购人和第三方监管单位可以随时查询监控项目进度与细节，有助于及时调整工作计划，提高决策的准确性。</w:t>
      </w:r>
    </w:p>
    <w:p w14:paraId="5B18C4B6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（2）在线协同工作：采购人、第三方监管单位以及人员能够在同一平台上实时共享信息、讨论问题，做出决策，提高协同作战能力。</w:t>
      </w:r>
    </w:p>
    <w:p w14:paraId="6412BE34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（3）应急问题响应及巡检：在服务过程中，采购人及相关项目参与人员遇到问题发出警示，服务团队须迅速响应问题，确保项目能够按计划进行，从而提高了整体的项目完成效率。</w:t>
      </w:r>
    </w:p>
    <w:p w14:paraId="6F32710D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微软雅黑" w:hAnsi="微软雅黑" w:eastAsia="微软雅黑" w:cs="微软雅黑"/>
          <w:snapToGrid/>
          <w:color w:val="auto"/>
          <w:kern w:val="2"/>
          <w:sz w:val="28"/>
          <w:szCs w:val="28"/>
          <w:lang w:val="en-US" w:eastAsia="zh-CN"/>
        </w:rPr>
        <w:t>⑩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台账建设服务等：按照实施方案自行制定本项目台账制度、台账建设清单等，台账日志实时记录后经业主签字确认。</w:t>
      </w:r>
    </w:p>
    <w:p w14:paraId="3C8B6747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beforeAutospacing="0" w:afterLines="0" w:afterAutospacing="0" w:line="360" w:lineRule="auto"/>
        <w:ind w:left="0" w:leftChars="0" w:firstLine="562" w:firstLineChars="200"/>
        <w:jc w:val="both"/>
        <w:textAlignment w:val="auto"/>
        <w:outlineLvl w:val="2"/>
        <w:rPr>
          <w:rFonts w:hint="eastAsia" w:ascii="宋体" w:hAnsi="宋体" w:eastAsia="宋体" w:cs="宋体"/>
          <w:b/>
          <w:snapToGrid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snapToGrid/>
          <w:color w:val="auto"/>
          <w:kern w:val="2"/>
          <w:sz w:val="28"/>
          <w:szCs w:val="28"/>
          <w:lang w:val="en-US" w:eastAsia="zh-CN" w:bidi="ar-SA"/>
        </w:rPr>
        <w:t>4、采购服务要求：</w:t>
      </w:r>
    </w:p>
    <w:p w14:paraId="3A476BD5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firstLine="560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根据土壤pH值、土壤镉含量和水稻镉含量超标情况，安全利用措施具体如下：</w:t>
      </w:r>
    </w:p>
    <w:p w14:paraId="3B3062E5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default" w:ascii="Calibri" w:hAnsi="Calibri" w:eastAsia="宋体" w:cs="Calibri"/>
          <w:snapToGrid/>
          <w:color w:val="auto"/>
          <w:kern w:val="2"/>
          <w:sz w:val="28"/>
          <w:szCs w:val="28"/>
          <w:lang w:val="en-US" w:eastAsia="zh-CN"/>
        </w:rPr>
        <w:t>①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土壤pH值在5.5以下，土壤镉含量超标、水稻镉含量超标风险高，安全利用措施为：土壤钝化剂（150kg/亩）+叶面阻控剂（500ml/亩*2次）+水分管理；</w:t>
      </w:r>
    </w:p>
    <w:p w14:paraId="02E19B8E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default" w:ascii="Calibri" w:hAnsi="Calibri" w:eastAsia="宋体" w:cs="Calibri"/>
          <w:snapToGrid/>
          <w:color w:val="auto"/>
          <w:kern w:val="2"/>
          <w:sz w:val="28"/>
          <w:szCs w:val="28"/>
          <w:lang w:val="en-US" w:eastAsia="zh-CN"/>
        </w:rPr>
        <w:t>②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土壤pH值在5.5以上，土壤镉含量超标、水稻镉含量超标风险较高，安全利用措施为：土壤钝化剂（100kg/亩）+叶面阻控剂（500ml/亩*2次）+水分管理；</w:t>
      </w:r>
    </w:p>
    <w:p w14:paraId="32013054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default" w:ascii="Calibri" w:hAnsi="Calibri" w:eastAsia="宋体" w:cs="Calibri"/>
          <w:snapToGrid/>
          <w:color w:val="auto"/>
          <w:kern w:val="2"/>
          <w:sz w:val="28"/>
          <w:szCs w:val="28"/>
          <w:lang w:val="en-US" w:eastAsia="zh-CN"/>
        </w:rPr>
        <w:t>③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土壤pH值在5.5以上，土壤镉含量未超标，但水稻镉含量仍有超标风险，安全利用措施为：叶面阻控剂（500ml/亩*2次）+水分管理；</w:t>
      </w:r>
    </w:p>
    <w:p w14:paraId="7BE3998C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仿宋" w:hAnsi="仿宋" w:eastAsia="仿宋" w:cs="仿宋"/>
          <w:snapToGrid/>
          <w:color w:val="auto"/>
          <w:kern w:val="2"/>
          <w:sz w:val="28"/>
          <w:szCs w:val="28"/>
          <w:lang w:val="en-US" w:eastAsia="zh-CN"/>
        </w:rPr>
        <w:t>④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优先保护地块安全利用措施为：叶面阻控剂（500ml/亩*2次）+水分管理。</w:t>
      </w:r>
    </w:p>
    <w:p w14:paraId="0E7CC7A7"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Lines="0" w:afterLines="0" w:line="360" w:lineRule="auto"/>
        <w:ind w:left="0" w:firstLine="562" w:firstLineChars="200"/>
        <w:jc w:val="both"/>
        <w:textAlignment w:val="auto"/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lang w:val="en-US" w:eastAsia="zh-CN"/>
        </w:rPr>
        <w:t>★</w:t>
      </w:r>
      <w:r>
        <w:rPr>
          <w:rFonts w:hint="eastAsia" w:ascii="仿宋" w:hAnsi="仿宋" w:eastAsia="仿宋" w:cs="仿宋"/>
          <w:snapToGrid/>
          <w:color w:val="auto"/>
          <w:kern w:val="2"/>
          <w:sz w:val="28"/>
          <w:szCs w:val="28"/>
          <w:lang w:val="en-US" w:eastAsia="zh-CN"/>
        </w:rPr>
        <w:t>⑤</w:t>
      </w:r>
      <w:r>
        <w:rPr>
          <w:rFonts w:hint="eastAsia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  <w:t>若项目实施过程中，安全利用区土壤钝化、叶面阻控等措施因低积累水稻推广或农时农事等特殊原因无法施用，可进行工程量核减或实施单位经实地调研后，向玉山县农业农村局提交书面申请，转用于未种植低积累水稻安全利用耕地或pH值较低的优先保护类耕地，并在最终验收台账中予以明确记录。</w:t>
      </w:r>
    </w:p>
    <w:p w14:paraId="2D9468AE">
      <w:pPr>
        <w:jc w:val="both"/>
        <w:rPr>
          <w:rFonts w:hint="eastAsia" w:ascii="宋体" w:hAnsi="宋体" w:eastAsia="宋体"/>
          <w:sz w:val="44"/>
          <w:szCs w:val="44"/>
          <w:lang w:val="en-US" w:eastAsia="zh-CN"/>
        </w:rPr>
      </w:pPr>
    </w:p>
    <w:sectPr>
      <w:footerReference r:id="rId3" w:type="default"/>
      <w:pgSz w:w="11906" w:h="16838"/>
      <w:pgMar w:top="1440" w:right="1247" w:bottom="1440" w:left="124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5E6819">
    <w:pPr>
      <w:pStyle w:val="2"/>
      <w:spacing w:line="235" w:lineRule="exact"/>
      <w:rPr>
        <w:sz w:val="18"/>
        <w:szCs w:val="1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4E3415"/>
    <w:rsid w:val="0B5B512F"/>
    <w:rsid w:val="0CDC2506"/>
    <w:rsid w:val="157417DA"/>
    <w:rsid w:val="1952192A"/>
    <w:rsid w:val="19E14BB6"/>
    <w:rsid w:val="20B6593D"/>
    <w:rsid w:val="393F56AA"/>
    <w:rsid w:val="397404D3"/>
    <w:rsid w:val="42FF616B"/>
    <w:rsid w:val="49E30754"/>
    <w:rsid w:val="55B635A1"/>
    <w:rsid w:val="663A5F3D"/>
    <w:rsid w:val="6D4E3415"/>
    <w:rsid w:val="6EDA68D4"/>
    <w:rsid w:val="74E651D7"/>
    <w:rsid w:val="7DFE5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FollowedHyperlink"/>
    <w:basedOn w:val="6"/>
    <w:qFormat/>
    <w:uiPriority w:val="0"/>
    <w:rPr>
      <w:color w:val="800080"/>
      <w:u w:val="none"/>
    </w:rPr>
  </w:style>
  <w:style w:type="character" w:styleId="8">
    <w:name w:val="HTML Definition"/>
    <w:basedOn w:val="6"/>
    <w:qFormat/>
    <w:uiPriority w:val="0"/>
  </w:style>
  <w:style w:type="character" w:styleId="9">
    <w:name w:val="HTML Typewriter"/>
    <w:basedOn w:val="6"/>
    <w:qFormat/>
    <w:uiPriority w:val="0"/>
    <w:rPr>
      <w:rFonts w:hint="default" w:ascii="monospace" w:hAnsi="monospace" w:eastAsia="monospace" w:cs="monospace"/>
      <w:sz w:val="20"/>
    </w:rPr>
  </w:style>
  <w:style w:type="character" w:styleId="10">
    <w:name w:val="HTML Acronym"/>
    <w:basedOn w:val="6"/>
    <w:qFormat/>
    <w:uiPriority w:val="0"/>
  </w:style>
  <w:style w:type="character" w:styleId="11">
    <w:name w:val="HTML Variable"/>
    <w:basedOn w:val="6"/>
    <w:qFormat/>
    <w:uiPriority w:val="0"/>
  </w:style>
  <w:style w:type="character" w:styleId="12">
    <w:name w:val="Hyperlink"/>
    <w:basedOn w:val="6"/>
    <w:qFormat/>
    <w:uiPriority w:val="0"/>
    <w:rPr>
      <w:color w:val="0000FF"/>
      <w:u w:val="none"/>
    </w:rPr>
  </w:style>
  <w:style w:type="character" w:styleId="13">
    <w:name w:val="HTML Code"/>
    <w:basedOn w:val="6"/>
    <w:qFormat/>
    <w:uiPriority w:val="0"/>
    <w:rPr>
      <w:rFonts w:hint="default" w:ascii="monospace" w:hAnsi="monospace" w:eastAsia="monospace" w:cs="monospace"/>
      <w:sz w:val="20"/>
    </w:rPr>
  </w:style>
  <w:style w:type="character" w:styleId="14">
    <w:name w:val="HTML Cite"/>
    <w:basedOn w:val="6"/>
    <w:qFormat/>
    <w:uiPriority w:val="0"/>
  </w:style>
  <w:style w:type="character" w:styleId="15">
    <w:name w:val="HTML Keyboard"/>
    <w:basedOn w:val="6"/>
    <w:qFormat/>
    <w:uiPriority w:val="0"/>
    <w:rPr>
      <w:rFonts w:hint="default" w:ascii="monospace" w:hAnsi="monospace" w:eastAsia="monospace" w:cs="monospace"/>
      <w:sz w:val="20"/>
    </w:rPr>
  </w:style>
  <w:style w:type="character" w:styleId="16">
    <w:name w:val="HTML Sample"/>
    <w:basedOn w:val="6"/>
    <w:qFormat/>
    <w:uiPriority w:val="0"/>
    <w:rPr>
      <w:rFonts w:ascii="monospace" w:hAnsi="monospace" w:eastAsia="monospace" w:cs="monospace"/>
    </w:rPr>
  </w:style>
  <w:style w:type="table" w:customStyle="1" w:styleId="1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8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character" w:customStyle="1" w:styleId="19">
    <w:name w:val="layui-this2"/>
    <w:basedOn w:val="6"/>
    <w:qFormat/>
    <w:uiPriority w:val="0"/>
    <w:rPr>
      <w:bdr w:val="single" w:color="EEEEEE" w:sz="6" w:space="0"/>
      <w:shd w:val="clear" w:fill="FFFFFF"/>
    </w:rPr>
  </w:style>
  <w:style w:type="character" w:customStyle="1" w:styleId="20">
    <w:name w:val="first-child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4</Words>
  <Characters>4</Characters>
  <Lines>0</Lines>
  <Paragraphs>0</Paragraphs>
  <TotalTime>0</TotalTime>
  <ScaleCrop>false</ScaleCrop>
  <LinksUpToDate>false</LinksUpToDate>
  <CharactersWithSpaces>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2025-08-11T02:55:00Z</dcterms:created>
  <dc:creator>谭军</dc:creator>
  <cp:lastModifiedBy>千千</cp:lastModifiedBy>
  <dcterms:modified xsi:type="dcterms:W3CDTF">2026-06-27T02:03:58Z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20EB43D4C48F4A278F959278453818AC_11</vt:lpwstr>
  </property>
  <property fmtid="{D5CDD505-2E9C-101B-9397-08002B2CF9AE}" pid="4" name="KSOTemplateDocerSaveRecord">
    <vt:lpwstr>eyJoZGlkIjoiZjIxMDYzNjE5MzMyMzQ5NWM5ODhmMzI4M2ExNTcwMzMiLCJ1c2VySWQiOiI0MjkzNDg3NTEifQ==</vt:lpwstr>
  </property>
</Properties>
</file>