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31364F">
      <w:pPr>
        <w:pageBreakBefore w:val="0"/>
        <w:widowControl w:val="0"/>
        <w:numPr>
          <w:ilvl w:val="0"/>
          <w:numId w:val="0"/>
        </w:numPr>
        <w:wordWrap/>
        <w:overflowPunct/>
        <w:topLinePunct w:val="0"/>
        <w:bidi w:val="0"/>
        <w:spacing w:beforeAutospacing="0" w:line="224" w:lineRule="auto"/>
        <w:jc w:val="center"/>
        <w:outlineLvl w:val="0"/>
        <w:rPr>
          <w:rFonts w:hint="eastAsia" w:ascii="宋体" w:hAnsi="宋体" w:eastAsia="宋体" w:cs="宋体"/>
          <w:snapToGrid w:val="0"/>
          <w:color w:val="auto"/>
          <w:spacing w:val="0"/>
          <w:w w:val="100"/>
          <w:position w:val="0"/>
          <w:sz w:val="31"/>
          <w:szCs w:val="31"/>
          <w:lang w:val="en-US" w:eastAsia="zh-CN" w:bidi="ar-SA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6287"/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position w:val="0"/>
          <w:sz w:val="31"/>
          <w:szCs w:val="31"/>
          <w:lang w:val="en-US" w:eastAsia="zh-CN" w:bidi="ar-SA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  货物需求表及采购需求</w:t>
      </w:r>
      <w:bookmarkEnd w:id="0"/>
    </w:p>
    <w:p w14:paraId="55EE8BFF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32C34EE3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color w:val="auto"/>
          <w:spacing w:val="0"/>
          <w:w w:val="100"/>
          <w:position w:val="0"/>
        </w:rPr>
      </w:pPr>
      <w:bookmarkStart w:id="1" w:name="_Toc9779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货物</w:t>
      </w: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1"/>
    </w:p>
    <w:tbl>
      <w:tblPr>
        <w:tblStyle w:val="5"/>
        <w:tblpPr w:leftFromText="180" w:rightFromText="180" w:vertAnchor="text" w:horzAnchor="page" w:tblpX="1392" w:tblpY="255"/>
        <w:tblOverlap w:val="never"/>
        <w:tblW w:w="9630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1101"/>
        <w:gridCol w:w="6792"/>
      </w:tblGrid>
      <w:tr w14:paraId="27CBB6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1737" w:type="dxa"/>
            <w:tcBorders>
              <w:right w:val="nil"/>
            </w:tcBorders>
          </w:tcPr>
          <w:p w14:paraId="4026721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color w:val="auto"/>
                <w:spacing w:val="0"/>
                <w:w w:val="100"/>
                <w:position w:val="0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10160</wp:posOffset>
                  </wp:positionV>
                  <wp:extent cx="1767840" cy="1456690"/>
                  <wp:effectExtent l="0" t="0" r="3810" b="1016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840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名</w:t>
            </w:r>
          </w:p>
          <w:p w14:paraId="1DB9A859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1A0ABBBA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42FB7C0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内</w:t>
            </w:r>
          </w:p>
          <w:p w14:paraId="3CC81F50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17FBCE8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</w:tcPr>
          <w:p w14:paraId="641D948D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7AA9A68E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7CB2990A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4419B0B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称</w:t>
            </w:r>
          </w:p>
        </w:tc>
        <w:tc>
          <w:tcPr>
            <w:tcW w:w="6792" w:type="dxa"/>
            <w:vAlign w:val="center"/>
          </w:tcPr>
          <w:p w14:paraId="3ABDAAD3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spacing w:val="0"/>
                <w:w w:val="100"/>
                <w:position w:val="0"/>
                <w:lang w:val="en-US" w:eastAsia="zh-CN"/>
              </w:rPr>
            </w:pPr>
            <w:r>
              <w:rPr>
                <w:rFonts w:hint="eastAsia"/>
                <w:color w:val="auto"/>
                <w:spacing w:val="0"/>
                <w:w w:val="100"/>
                <w:position w:val="0"/>
              </w:rPr>
              <w:t>奉新县2026年恒昌花苑片区老旧小区改造 (强弱电改造)项目</w:t>
            </w: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lang w:eastAsia="zh-CN"/>
              </w:rPr>
              <w:t>（</w:t>
            </w: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lang w:val="en-US" w:eastAsia="zh-CN"/>
              </w:rPr>
              <w:t>第二次）</w:t>
            </w:r>
          </w:p>
        </w:tc>
      </w:tr>
      <w:tr w14:paraId="5DB3F8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123F611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数量</w:t>
            </w:r>
          </w:p>
        </w:tc>
        <w:tc>
          <w:tcPr>
            <w:tcW w:w="6792" w:type="dxa"/>
            <w:vAlign w:val="center"/>
          </w:tcPr>
          <w:p w14:paraId="50433C51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</w:rPr>
            </w:pP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详见第五章“</w:t>
            </w: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二、</w:t>
            </w: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采购需求”</w:t>
            </w:r>
          </w:p>
        </w:tc>
      </w:tr>
      <w:tr w14:paraId="4F9B56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6F15DEB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交货期</w:t>
            </w:r>
          </w:p>
        </w:tc>
        <w:tc>
          <w:tcPr>
            <w:tcW w:w="6792" w:type="dxa"/>
            <w:vAlign w:val="center"/>
          </w:tcPr>
          <w:p w14:paraId="4C162A4E">
            <w:pPr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</w:rPr>
            </w:pP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详见第五章“</w:t>
            </w: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二、</w:t>
            </w: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采购需求”</w:t>
            </w:r>
          </w:p>
        </w:tc>
      </w:tr>
      <w:tr w14:paraId="202335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5ED9F9A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交货地点</w:t>
            </w:r>
          </w:p>
        </w:tc>
        <w:tc>
          <w:tcPr>
            <w:tcW w:w="6792" w:type="dxa"/>
            <w:vAlign w:val="center"/>
          </w:tcPr>
          <w:p w14:paraId="4AA19BD4">
            <w:pPr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</w:rPr>
            </w:pP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详见第五章“</w:t>
            </w: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二、</w:t>
            </w: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采购需求”</w:t>
            </w:r>
          </w:p>
        </w:tc>
      </w:tr>
      <w:tr w14:paraId="26FD81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2838" w:type="dxa"/>
            <w:gridSpan w:val="2"/>
          </w:tcPr>
          <w:p w14:paraId="7C7F6BB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7" w:line="220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安装地点</w:t>
            </w:r>
          </w:p>
        </w:tc>
        <w:tc>
          <w:tcPr>
            <w:tcW w:w="6792" w:type="dxa"/>
            <w:vAlign w:val="center"/>
          </w:tcPr>
          <w:p w14:paraId="3C56C754">
            <w:pPr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</w:rPr>
            </w:pP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详见第五章“</w:t>
            </w: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二、</w:t>
            </w:r>
            <w:r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采购需求”</w:t>
            </w:r>
          </w:p>
        </w:tc>
      </w:tr>
      <w:tr w14:paraId="7DBC01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38" w:type="dxa"/>
            <w:gridSpan w:val="2"/>
          </w:tcPr>
          <w:p w14:paraId="6AA25FE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备注</w:t>
            </w:r>
          </w:p>
        </w:tc>
        <w:tc>
          <w:tcPr>
            <w:tcW w:w="6792" w:type="dxa"/>
          </w:tcPr>
          <w:p w14:paraId="35768CA4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rPr>
                <w:color w:val="auto"/>
                <w:spacing w:val="0"/>
                <w:w w:val="100"/>
                <w:position w:val="0"/>
              </w:rPr>
            </w:pPr>
          </w:p>
        </w:tc>
      </w:tr>
    </w:tbl>
    <w:p w14:paraId="3F1E91F4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</w:rPr>
        <w:sectPr>
          <w:footerReference r:id="rId3" w:type="default"/>
          <w:pgSz w:w="11906" w:h="16839"/>
          <w:pgMar w:top="1429" w:right="1587" w:bottom="1429" w:left="1587" w:header="0" w:footer="994" w:gutter="0"/>
          <w:cols w:space="720" w:num="1"/>
        </w:sectPr>
      </w:pPr>
    </w:p>
    <w:p w14:paraId="16670D8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bookmarkStart w:id="2" w:name="bookmark81"/>
      <w:bookmarkEnd w:id="2"/>
      <w:bookmarkStart w:id="3" w:name="_Toc27677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3"/>
    </w:p>
    <w:p w14:paraId="3493BC45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spacing w:val="0"/>
          <w:w w:val="100"/>
          <w:position w:val="0"/>
        </w:rPr>
      </w:pPr>
    </w:p>
    <w:p w14:paraId="62ED7356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w w:val="100"/>
          <w:position w:val="0"/>
        </w:rPr>
      </w:pPr>
    </w:p>
    <w:p w14:paraId="4901D18A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w w:val="100"/>
          <w:position w:val="0"/>
        </w:rPr>
      </w:pPr>
    </w:p>
    <w:p w14:paraId="50EC529F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w w:val="100"/>
          <w:position w:val="0"/>
        </w:rPr>
      </w:pPr>
    </w:p>
    <w:p w14:paraId="79EFFA9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（一） 技术需求</w:t>
      </w:r>
    </w:p>
    <w:p w14:paraId="27A5C741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  <w:sz w:val="24"/>
          <w:szCs w:val="24"/>
        </w:rPr>
      </w:pPr>
    </w:p>
    <w:p w14:paraId="705AB78E">
      <w:pPr>
        <w:pageBreakBefore w:val="0"/>
        <w:widowControl w:val="0"/>
        <w:numPr>
          <w:ilvl w:val="0"/>
          <w:numId w:val="0"/>
        </w:numPr>
        <w:wordWrap/>
        <w:overflowPunct/>
        <w:topLinePunct w:val="0"/>
        <w:bidi w:val="0"/>
        <w:spacing w:before="78" w:line="219" w:lineRule="auto"/>
        <w:rPr>
          <w:rFonts w:ascii="Times New Roman" w:hAnsi="Times New Roman" w:eastAsia="黑体" w:cs="Times New Roman"/>
          <w:b/>
          <w:bCs/>
          <w:color w:val="auto"/>
          <w:kern w:val="44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b/>
          <w:bCs/>
          <w:color w:val="auto"/>
          <w:kern w:val="44"/>
          <w:sz w:val="24"/>
          <w:szCs w:val="24"/>
          <w:lang w:val="en-US" w:eastAsia="zh-CN" w:bidi="ar-SA"/>
        </w:rPr>
        <w:t>1.概述</w:t>
      </w:r>
    </w:p>
    <w:p w14:paraId="550D8D30">
      <w:pPr>
        <w:keepNext/>
        <w:keepLines/>
        <w:widowControl w:val="0"/>
        <w:numPr>
          <w:ilvl w:val="1"/>
          <w:numId w:val="0"/>
        </w:numPr>
        <w:spacing w:before="50" w:beforeLines="50" w:line="360" w:lineRule="auto"/>
        <w:ind w:left="567" w:leftChars="0" w:hanging="567" w:firstLineChars="0"/>
        <w:outlineLvl w:val="1"/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bookmarkStart w:id="4" w:name="_Toc9516"/>
      <w:bookmarkStart w:id="5" w:name="_Toc15053"/>
      <w:bookmarkStart w:id="6" w:name="_Toc3257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1.1.项目概况</w:t>
      </w:r>
      <w:bookmarkEnd w:id="4"/>
      <w:bookmarkEnd w:id="5"/>
      <w:bookmarkEnd w:id="6"/>
    </w:p>
    <w:p w14:paraId="371C3DCA">
      <w:pPr>
        <w:keepNext/>
        <w:keepLines/>
        <w:widowControl w:val="0"/>
        <w:numPr>
          <w:ilvl w:val="2"/>
          <w:numId w:val="0"/>
        </w:numPr>
        <w:spacing w:before="50" w:beforeLines="50" w:line="360" w:lineRule="auto"/>
        <w:ind w:left="709" w:leftChars="0" w:hanging="709" w:firstLineChars="0"/>
        <w:outlineLvl w:val="2"/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bookmarkStart w:id="7" w:name="_Toc4343"/>
      <w:bookmarkStart w:id="8" w:name="_Toc26277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1.1.1.项目名称</w:t>
      </w:r>
      <w:bookmarkEnd w:id="7"/>
      <w:bookmarkEnd w:id="8"/>
    </w:p>
    <w:p w14:paraId="6A0F82F9">
      <w:pPr>
        <w:widowControl w:val="0"/>
        <w:spacing w:line="560" w:lineRule="exact"/>
        <w:ind w:firstLine="480" w:firstLineChars="200"/>
        <w:jc w:val="both"/>
        <w:rPr>
          <w:rFonts w:hint="default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奉新县2026年恒昌花苑片区老旧小区改造(强弱电改造)项目（第二次）</w:t>
      </w:r>
      <w:bookmarkStart w:id="27" w:name="_GoBack"/>
      <w:bookmarkEnd w:id="27"/>
    </w:p>
    <w:p w14:paraId="64E61DAB">
      <w:pPr>
        <w:keepNext/>
        <w:keepLines/>
        <w:widowControl w:val="0"/>
        <w:numPr>
          <w:ilvl w:val="2"/>
          <w:numId w:val="0"/>
        </w:numPr>
        <w:spacing w:before="50" w:beforeLines="50" w:line="360" w:lineRule="auto"/>
        <w:ind w:left="709" w:leftChars="0" w:hanging="709" w:firstLineChars="0"/>
        <w:outlineLvl w:val="2"/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</w:pPr>
      <w:bookmarkStart w:id="9" w:name="_Toc28623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1.1.2.</w:t>
      </w: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项目实施地点</w:t>
      </w:r>
      <w:bookmarkEnd w:id="9"/>
    </w:p>
    <w:p w14:paraId="695487EA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奉新县城东新区路网，通化大道、东湖大道、九天阁路、济美路、冯川路、纵七路六条新建道路</w:t>
      </w:r>
    </w:p>
    <w:p w14:paraId="0A07D0EF">
      <w:pPr>
        <w:widowControl w:val="0"/>
        <w:bidi w:val="0"/>
        <w:spacing w:line="240" w:lineRule="auto"/>
        <w:jc w:val="both"/>
        <w:rPr>
          <w:rFonts w:hint="eastAsia" w:ascii="宋体" w:hAnsi="Courier New" w:eastAsia="仿宋_GB2312" w:cs="Times New Roman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Segoe UI" w:hAnsi="Segoe UI" w:eastAsia="宋体" w:cs="Segoe UI"/>
          <w:b/>
          <w:color w:val="auto"/>
          <w:kern w:val="0"/>
          <w:sz w:val="24"/>
          <w:szCs w:val="24"/>
          <w:lang w:eastAsia="zh-CN"/>
        </w:rPr>
        <w:drawing>
          <wp:inline distT="0" distB="0" distL="114300" distR="114300">
            <wp:extent cx="4428490" cy="4460875"/>
            <wp:effectExtent l="0" t="0" r="10160" b="15875"/>
            <wp:docPr id="5" name="图片 5" descr="奉新县 地图 拷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奉新县 地图 拷贝"/>
                    <pic:cNvPicPr>
                      <a:picLocks noChangeAspect="1"/>
                    </pic:cNvPicPr>
                  </pic:nvPicPr>
                  <pic:blipFill>
                    <a:blip r:embed="rId6"/>
                    <a:srcRect r="350" b="5767"/>
                    <a:stretch>
                      <a:fillRect/>
                    </a:stretch>
                  </pic:blipFill>
                  <pic:spPr>
                    <a:xfrm>
                      <a:off x="0" y="0"/>
                      <a:ext cx="4428490" cy="446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Segoe UI" w:hAnsi="Segoe UI" w:eastAsia="宋体" w:cs="Segoe UI"/>
          <w:b/>
          <w:color w:val="auto"/>
          <w:kern w:val="0"/>
          <w:sz w:val="24"/>
          <w:szCs w:val="24"/>
          <w:lang w:eastAsia="zh-CN"/>
        </w:rPr>
        <w:drawing>
          <wp:inline distT="0" distB="0" distL="114300" distR="114300">
            <wp:extent cx="4676140" cy="6112510"/>
            <wp:effectExtent l="0" t="0" r="10160" b="2540"/>
            <wp:docPr id="10" name="图片 10" descr="地理位置图 拷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地理位置图 拷贝"/>
                    <pic:cNvPicPr>
                      <a:picLocks noChangeAspect="1"/>
                    </pic:cNvPicPr>
                  </pic:nvPicPr>
                  <pic:blipFill>
                    <a:blip r:embed="rId7"/>
                    <a:srcRect l="5687" t="9811" r="2739" b="5520"/>
                    <a:stretch>
                      <a:fillRect/>
                    </a:stretch>
                  </pic:blipFill>
                  <pic:spPr>
                    <a:xfrm>
                      <a:off x="0" y="0"/>
                      <a:ext cx="4676140" cy="6112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E2636E">
      <w:pPr>
        <w:pStyle w:val="7"/>
        <w:bidi w:val="0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项目位置图</w:t>
      </w:r>
    </w:p>
    <w:p w14:paraId="11730011">
      <w:pPr>
        <w:widowControl w:val="0"/>
        <w:bidi w:val="0"/>
        <w:spacing w:line="240" w:lineRule="auto"/>
        <w:ind w:firstLine="480" w:firstLineChars="200"/>
        <w:jc w:val="both"/>
        <w:rPr>
          <w:rFonts w:hint="eastAsia" w:ascii="宋体" w:hAnsi="Courier New" w:eastAsia="仿宋_GB2312" w:cs="Times New Roman"/>
          <w:color w:val="auto"/>
          <w:kern w:val="2"/>
          <w:sz w:val="24"/>
          <w:szCs w:val="24"/>
          <w:lang w:val="en-US" w:eastAsia="zh-CN" w:bidi="ar-SA"/>
        </w:rPr>
      </w:pPr>
    </w:p>
    <w:p w14:paraId="570BECE0">
      <w:pPr>
        <w:keepNext/>
        <w:keepLines/>
        <w:widowControl w:val="0"/>
        <w:numPr>
          <w:ilvl w:val="2"/>
          <w:numId w:val="0"/>
        </w:numPr>
        <w:spacing w:before="50" w:beforeLines="50" w:line="360" w:lineRule="auto"/>
        <w:ind w:left="709" w:leftChars="0" w:hanging="709" w:firstLineChars="0"/>
        <w:outlineLvl w:val="2"/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bookmarkStart w:id="10" w:name="_Toc28911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1.1.3.</w:t>
      </w: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项目实施主要内容</w:t>
      </w:r>
      <w:bookmarkEnd w:id="10"/>
    </w:p>
    <w:p w14:paraId="32ADD4BA">
      <w:pPr>
        <w:widowControl w:val="0"/>
        <w:bidi w:val="0"/>
        <w:spacing w:line="240" w:lineRule="auto"/>
        <w:ind w:firstLine="480" w:firstLineChars="200"/>
        <w:jc w:val="both"/>
        <w:rPr>
          <w:rFonts w:hint="eastAsia" w:ascii="宋体" w:hAnsi="Courier New" w:eastAsia="仿宋_GB2312" w:cs="Times New Roman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项目主要对城东新区路网中的通化大道、东湖大道、九天阁路、冯川路、济美路、纵七路六条新建道路合计约6.5km的路段进行路灯安装及智能化照明系统建设，建设内容包括路灯灯杆基础施工、灯杆及灯具安装、电缆敷设、变压器（箱变）、配电箱安装、防雷接地系统及智能控制系统的安装及调试。</w:t>
      </w:r>
      <w:bookmarkStart w:id="11" w:name="_Toc9858"/>
    </w:p>
    <w:p w14:paraId="43370208">
      <w:pPr>
        <w:widowControl w:val="0"/>
        <w:bidi w:val="0"/>
        <w:spacing w:line="240" w:lineRule="auto"/>
        <w:ind w:firstLine="480" w:firstLineChars="200"/>
        <w:jc w:val="both"/>
        <w:rPr>
          <w:rFonts w:hint="eastAsia" w:ascii="宋体" w:hAnsi="Courier New" w:eastAsia="仿宋_GB2312" w:cs="Times New Roman"/>
          <w:color w:val="auto"/>
          <w:kern w:val="2"/>
          <w:sz w:val="24"/>
          <w:szCs w:val="24"/>
          <w:lang w:val="en-US" w:eastAsia="zh-CN" w:bidi="ar-SA"/>
        </w:rPr>
      </w:pPr>
    </w:p>
    <w:p w14:paraId="16A60BA8">
      <w:pPr>
        <w:widowControl w:val="0"/>
        <w:bidi w:val="0"/>
        <w:spacing w:line="240" w:lineRule="auto"/>
        <w:jc w:val="both"/>
        <w:rPr>
          <w:rFonts w:hint="default" w:ascii="Times New Roman" w:hAnsi="Times New Roman" w:eastAsia="黑体" w:cs="Times New Roman"/>
          <w:b/>
          <w:bCs/>
          <w:color w:val="auto"/>
          <w:kern w:val="44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黑体" w:cs="宋体"/>
          <w:b/>
          <w:bCs/>
          <w:color w:val="auto"/>
          <w:kern w:val="44"/>
          <w:sz w:val="24"/>
          <w:szCs w:val="24"/>
          <w:highlight w:val="none"/>
          <w:lang w:val="en-US" w:eastAsia="zh-CN" w:bidi="ar-SA"/>
        </w:rPr>
        <w:t>2.</w:t>
      </w:r>
      <w:r>
        <w:rPr>
          <w:rFonts w:hint="eastAsia" w:ascii="Times New Roman" w:hAnsi="Times New Roman" w:eastAsia="黑体" w:cs="Times New Roman"/>
          <w:b/>
          <w:bCs/>
          <w:color w:val="auto"/>
          <w:kern w:val="44"/>
          <w:sz w:val="24"/>
          <w:szCs w:val="24"/>
          <w:highlight w:val="none"/>
          <w:lang w:val="en-US" w:eastAsia="zh-CN" w:bidi="ar-SA"/>
        </w:rPr>
        <w:t>采购技术规格与标准</w:t>
      </w:r>
      <w:bookmarkEnd w:id="11"/>
    </w:p>
    <w:p w14:paraId="29E148C6">
      <w:pPr>
        <w:keepNext/>
        <w:keepLines/>
        <w:widowControl w:val="0"/>
        <w:numPr>
          <w:ilvl w:val="1"/>
          <w:numId w:val="0"/>
        </w:numPr>
        <w:bidi w:val="0"/>
        <w:spacing w:before="50" w:beforeLines="50" w:line="360" w:lineRule="auto"/>
        <w:ind w:left="567" w:leftChars="0" w:hanging="567" w:firstLineChars="0"/>
        <w:outlineLvl w:val="1"/>
        <w:rPr>
          <w:rFonts w:hint="default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bookmarkStart w:id="12" w:name="_Toc4007"/>
      <w:bookmarkStart w:id="13" w:name="_Toc26693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2.1.项目技术方案</w:t>
      </w:r>
      <w:bookmarkEnd w:id="12"/>
      <w:bookmarkEnd w:id="13"/>
    </w:p>
    <w:p w14:paraId="4DCA5C18">
      <w:pPr>
        <w:keepNext/>
        <w:keepLines/>
        <w:widowControl w:val="0"/>
        <w:numPr>
          <w:ilvl w:val="2"/>
          <w:numId w:val="0"/>
        </w:numPr>
        <w:bidi w:val="0"/>
        <w:spacing w:before="50" w:beforeLines="50" w:line="360" w:lineRule="auto"/>
        <w:ind w:left="709" w:leftChars="0" w:hanging="709" w:firstLineChars="0"/>
        <w:outlineLvl w:val="2"/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bookmarkStart w:id="14" w:name="_Toc9575"/>
      <w:bookmarkStart w:id="15" w:name="OLE_LINK25"/>
      <w:bookmarkStart w:id="16" w:name="OLE_LINK26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2.1.1.设计原则与标准</w:t>
      </w:r>
      <w:bookmarkEnd w:id="14"/>
    </w:p>
    <w:bookmarkEnd w:id="15"/>
    <w:bookmarkEnd w:id="16"/>
    <w:p w14:paraId="7F5E5B9B">
      <w:pPr>
        <w:widowControl w:val="0"/>
        <w:numPr>
          <w:ilvl w:val="3"/>
          <w:numId w:val="0"/>
        </w:numPr>
        <w:tabs>
          <w:tab w:val="left" w:pos="425"/>
          <w:tab w:val="left" w:pos="851"/>
        </w:tabs>
        <w:bidi w:val="0"/>
        <w:spacing w:line="560" w:lineRule="exact"/>
        <w:ind w:left="0" w:leftChars="0" w:firstLine="561" w:firstLineChars="0"/>
        <w:rPr>
          <w:rFonts w:hint="eastAsia" w:asciiTheme="minorEastAsia" w:hAnsiTheme="minorEastAsia" w:eastAsiaTheme="minorEastAsia" w:cstheme="minorEastAsia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kern w:val="2"/>
          <w:sz w:val="24"/>
          <w:szCs w:val="24"/>
          <w:lang w:val="en-US" w:eastAsia="zh-CN" w:bidi="ar-SA"/>
        </w:rPr>
        <w:t>1.设计原则</w:t>
      </w:r>
    </w:p>
    <w:p w14:paraId="7CA9F20E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begin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instrText xml:space="preserve"> eq \o\ac(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-4"/>
          <w:sz w:val="36"/>
          <w:szCs w:val="24"/>
          <w:lang w:val="en-US" w:eastAsia="zh-CN" w:bidi="ar-SA"/>
        </w:rPr>
        <w:instrText xml:space="preserve">○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0"/>
          <w:sz w:val="24"/>
          <w:szCs w:val="24"/>
          <w:lang w:val="en-US" w:eastAsia="zh-CN" w:bidi="ar-SA"/>
        </w:rPr>
        <w:instrText xml:space="preserve">,1)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end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安全可靠：确保照明设施自身安全及夜间交通安全，供电系统稳定，防护措施到位。</w:t>
      </w:r>
    </w:p>
    <w:p w14:paraId="79B8BBCE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begin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instrText xml:space="preserve"> eq \o\ac(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-4"/>
          <w:sz w:val="36"/>
          <w:szCs w:val="24"/>
          <w:lang w:val="en-US" w:eastAsia="zh-CN" w:bidi="ar-SA"/>
        </w:rPr>
        <w:instrText xml:space="preserve">○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0"/>
          <w:sz w:val="24"/>
          <w:szCs w:val="24"/>
          <w:lang w:val="en-US" w:eastAsia="zh-CN" w:bidi="ar-SA"/>
        </w:rPr>
        <w:instrText xml:space="preserve">,2)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end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技术先进：采用高效、长寿的LED光源和智能化控制系统，体现现代照明技术发展水平。</w:t>
      </w:r>
    </w:p>
    <w:p w14:paraId="5AECF9F2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begin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instrText xml:space="preserve"> eq \o\ac(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-4"/>
          <w:sz w:val="36"/>
          <w:szCs w:val="24"/>
          <w:lang w:val="en-US" w:eastAsia="zh-CN" w:bidi="ar-SA"/>
        </w:rPr>
        <w:instrText xml:space="preserve">○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0"/>
          <w:sz w:val="24"/>
          <w:szCs w:val="24"/>
          <w:lang w:val="en-US" w:eastAsia="zh-CN" w:bidi="ar-SA"/>
        </w:rPr>
        <w:instrText xml:space="preserve">,3)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end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经济节能：在满足功能需求的前提下，通过优化设计和智能控制，降低初期投资和长期运营成本。</w:t>
      </w:r>
    </w:p>
    <w:p w14:paraId="2A6F5160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begin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instrText xml:space="preserve"> eq \o\ac(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-4"/>
          <w:sz w:val="36"/>
          <w:szCs w:val="24"/>
          <w:lang w:val="en-US" w:eastAsia="zh-CN" w:bidi="ar-SA"/>
        </w:rPr>
        <w:instrText xml:space="preserve">○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0"/>
          <w:sz w:val="24"/>
          <w:szCs w:val="24"/>
          <w:lang w:val="en-US" w:eastAsia="zh-CN" w:bidi="ar-SA"/>
        </w:rPr>
        <w:instrText xml:space="preserve">,4)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end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环保美观：防止眩光和光污染，灯具灯杆造型与城东新区现代城市风貌相协调。</w:t>
      </w:r>
    </w:p>
    <w:p w14:paraId="0F9821BA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bookmarkStart w:id="17" w:name="OLE_LINK51"/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begin"/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instrText xml:space="preserve"> eq \o\ac(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-4"/>
          <w:sz w:val="36"/>
          <w:szCs w:val="24"/>
          <w:lang w:val="en-US" w:eastAsia="zh-CN" w:bidi="ar-SA"/>
        </w:rPr>
        <w:instrText xml:space="preserve">○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position w:val="0"/>
          <w:sz w:val="24"/>
          <w:szCs w:val="24"/>
          <w:lang w:val="en-US" w:eastAsia="zh-CN" w:bidi="ar-SA"/>
        </w:rPr>
        <w:instrText xml:space="preserve">,5)</w:instrText>
      </w: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fldChar w:fldCharType="end"/>
      </w:r>
      <w:bookmarkEnd w:id="17"/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维护便利：设备选型标准化，模块化设计，便于后期维护管理。</w:t>
      </w:r>
    </w:p>
    <w:p w14:paraId="3FF708B9">
      <w:pPr>
        <w:widowControl w:val="0"/>
        <w:numPr>
          <w:ilvl w:val="3"/>
          <w:numId w:val="0"/>
        </w:numPr>
        <w:tabs>
          <w:tab w:val="left" w:pos="425"/>
          <w:tab w:val="left" w:pos="851"/>
        </w:tabs>
        <w:bidi w:val="0"/>
        <w:spacing w:line="560" w:lineRule="exact"/>
        <w:ind w:left="0" w:leftChars="0" w:firstLine="561" w:firstLineChars="0"/>
        <w:rPr>
          <w:rFonts w:hint="eastAsia" w:asciiTheme="minorEastAsia" w:hAnsiTheme="minorEastAsia" w:eastAsiaTheme="minorEastAsia" w:cstheme="minorEastAsia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kern w:val="2"/>
          <w:sz w:val="24"/>
          <w:szCs w:val="24"/>
          <w:lang w:val="en-US" w:eastAsia="zh-CN" w:bidi="ar-SA"/>
        </w:rPr>
        <w:t>2.设计标准与规范</w:t>
      </w:r>
    </w:p>
    <w:p w14:paraId="33831656">
      <w:pPr>
        <w:widowControl w:val="0"/>
        <w:bidi w:val="0"/>
        <w:spacing w:line="560" w:lineRule="exact"/>
        <w:ind w:firstLine="480" w:firstLineChars="200"/>
        <w:jc w:val="both"/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color w:val="auto"/>
          <w:kern w:val="2"/>
          <w:sz w:val="24"/>
          <w:szCs w:val="24"/>
          <w:lang w:val="en-US" w:eastAsia="zh-CN" w:bidi="ar-SA"/>
        </w:rPr>
        <w:t>《城市道路照明设计标准》（CJJ45-2015）《城市道路照明工程施工及验收规程》（CJJ89-2012）《低压配电设计规范》（GB50054-2011）《建筑物防雷设计规范》（GB50057-2010）《电力工程电缆设计标准》（GB50217-2018）</w:t>
      </w:r>
    </w:p>
    <w:p w14:paraId="521A9740">
      <w:pPr>
        <w:keepNext/>
        <w:keepLines/>
        <w:widowControl w:val="0"/>
        <w:numPr>
          <w:ilvl w:val="2"/>
          <w:numId w:val="0"/>
        </w:numPr>
        <w:bidi w:val="0"/>
        <w:spacing w:before="50" w:beforeLines="50" w:line="360" w:lineRule="auto"/>
        <w:ind w:left="709" w:leftChars="0" w:hanging="709" w:firstLineChars="0"/>
        <w:outlineLvl w:val="2"/>
        <w:rPr>
          <w:rFonts w:hint="default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</w:pPr>
      <w:bookmarkStart w:id="18" w:name="_Toc17890"/>
      <w:bookmarkStart w:id="19" w:name="OLE_LINK27"/>
      <w:bookmarkStart w:id="20" w:name="OLE_LINK28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2.1.2.</w:t>
      </w:r>
      <w:r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照明设计方案</w:t>
      </w: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：详见施工图</w:t>
      </w:r>
      <w:bookmarkEnd w:id="18"/>
    </w:p>
    <w:bookmarkEnd w:id="19"/>
    <w:bookmarkEnd w:id="20"/>
    <w:p w14:paraId="30A4017F">
      <w:pPr>
        <w:keepNext/>
        <w:keepLines/>
        <w:widowControl w:val="0"/>
        <w:numPr>
          <w:ilvl w:val="2"/>
          <w:numId w:val="0"/>
        </w:numPr>
        <w:bidi w:val="0"/>
        <w:spacing w:before="50" w:beforeLines="50" w:line="360" w:lineRule="auto"/>
        <w:ind w:left="709" w:leftChars="0" w:hanging="709" w:firstLineChars="0"/>
        <w:outlineLvl w:val="2"/>
        <w:rPr>
          <w:rFonts w:hint="eastAsia" w:ascii="宋体" w:hAnsi="Courier New" w:eastAsia="仿宋_GB2312" w:cs="Times New Roman"/>
          <w:color w:val="auto"/>
          <w:kern w:val="2"/>
          <w:sz w:val="24"/>
          <w:szCs w:val="24"/>
          <w:highlight w:val="none"/>
          <w:lang w:val="en-US" w:eastAsia="zh-CN" w:bidi="ar-SA"/>
        </w:rPr>
      </w:pPr>
      <w:bookmarkStart w:id="21" w:name="OLE_LINK29"/>
      <w:bookmarkStart w:id="22" w:name="_Toc22769"/>
      <w:bookmarkStart w:id="23" w:name="OLE_LINK36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2.1.3.</w:t>
      </w:r>
      <w:r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供配电</w:t>
      </w: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及智能控制</w:t>
      </w:r>
      <w:r>
        <w:rPr>
          <w:rFonts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系统设计</w:t>
      </w: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：详见施工图</w:t>
      </w:r>
      <w:bookmarkEnd w:id="21"/>
      <w:bookmarkEnd w:id="22"/>
      <w:bookmarkEnd w:id="23"/>
    </w:p>
    <w:p w14:paraId="26FFF803">
      <w:pPr>
        <w:keepNext/>
        <w:keepLines/>
        <w:widowControl w:val="0"/>
        <w:numPr>
          <w:ilvl w:val="2"/>
          <w:numId w:val="0"/>
        </w:numPr>
        <w:bidi w:val="0"/>
        <w:spacing w:before="50" w:beforeLines="50" w:line="360" w:lineRule="auto"/>
        <w:outlineLvl w:val="2"/>
        <w:rPr>
          <w:rFonts w:hint="default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</w:pPr>
      <w:bookmarkStart w:id="24" w:name="_Toc13618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highlight w:val="none"/>
          <w:lang w:val="en-US" w:eastAsia="zh-CN" w:bidi="ar-SA"/>
        </w:rPr>
        <w:t>2.1.4.电缆、管道及安全防护设计：详见施工图</w:t>
      </w:r>
      <w:bookmarkEnd w:id="24"/>
    </w:p>
    <w:p w14:paraId="231101F6">
      <w:pP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bookmarkStart w:id="25" w:name="_Toc18255"/>
      <w:bookmarkStart w:id="26" w:name="_Toc9974"/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2.2.设备采购清单及主要技术参数和性能指标</w:t>
      </w:r>
      <w:bookmarkEnd w:id="25"/>
      <w:bookmarkEnd w:id="26"/>
    </w:p>
    <w:p w14:paraId="0BF3538D">
      <w:pP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</w:p>
    <w:p w14:paraId="42D0A1F3">
      <w:pP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</w:p>
    <w:p w14:paraId="363EE7A1">
      <w:pP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</w:p>
    <w:p w14:paraId="2766D236">
      <w:pPr>
        <w:rPr>
          <w:rFonts w:hint="default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 w:bidi="ar-SA"/>
        </w:rPr>
        <w:t>其他详见招标文件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27D798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5EE3A5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5EE3A5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AE3641"/>
    <w:rsid w:val="417F7717"/>
    <w:rsid w:val="4F7C6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</w:style>
  <w:style w:type="paragraph" w:customStyle="1" w:styleId="7">
    <w:name w:val="图名、表头名"/>
    <w:basedOn w:val="1"/>
    <w:qFormat/>
    <w:uiPriority w:val="0"/>
    <w:pPr>
      <w:jc w:val="center"/>
    </w:pPr>
    <w:rPr>
      <w:rFonts w:eastAsia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752</Words>
  <Characters>863</Characters>
  <Lines>0</Lines>
  <Paragraphs>0</Paragraphs>
  <TotalTime>0</TotalTime>
  <ScaleCrop>false</ScaleCrop>
  <LinksUpToDate>false</LinksUpToDate>
  <CharactersWithSpaces>867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2026-04-20T09:32:00Z</dcterms:created>
  <dc:creator>Administrator</dc:creator>
  <cp:lastModifiedBy>Administrator</cp:lastModifiedBy>
  <dcterms:modified xsi:type="dcterms:W3CDTF">2026-06-03T09:12:46Z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eyJoZGlkIjoiNGQxZjFhNGEyN2UyZTYwZGQxM2U4MDU5MzU3YjMwMjciLCJ1c2VySWQiOiI1MjI0OTM5MjEifQ==</vt:lpwstr>
  </property>
  <property fmtid="{D5CDD505-2E9C-101B-9397-08002B2CF9AE}" pid="4" name="ICV">
    <vt:lpwstr>4639078D95BF448AB24271E42EEC6317_12</vt:lpwstr>
  </property>
</Properties>
</file>