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4AD5A1">
      <w:pPr>
        <w:pageBreakBefore w:val="0"/>
        <w:topLinePunct w:val="0"/>
        <w:bidi w:val="0"/>
        <w:adjustRightInd w:val="0"/>
        <w:snapToGrid w:val="0"/>
        <w:spacing w:line="460" w:lineRule="exact"/>
        <w:ind w:left="0" w:leftChars="0" w:right="0" w:rightChars="0"/>
        <w:rPr>
          <w:rFonts w:hint="eastAsia" w:ascii="仿宋" w:hAnsi="仿宋" w:eastAsia="仿宋" w:cs="仿宋"/>
          <w:b/>
          <w:color w:val="auto"/>
          <w:spacing w:val="0"/>
          <w:position w:val="0"/>
          <w:sz w:val="24"/>
          <w:szCs w:val="24"/>
          <w:highlight w:val="none"/>
        </w:rPr>
      </w:pPr>
      <w:r>
        <w:rPr>
          <w:rFonts w:hint="eastAsia" w:ascii="仿宋" w:hAnsi="仿宋" w:eastAsia="仿宋" w:cs="仿宋"/>
          <w:b/>
          <w:color w:val="auto"/>
          <w:spacing w:val="0"/>
          <w:position w:val="0"/>
          <w:sz w:val="24"/>
          <w:szCs w:val="24"/>
          <w:highlight w:val="none"/>
        </w:rPr>
        <w:t>（一）采购清单及技术要求</w:t>
      </w:r>
    </w:p>
    <w:p w14:paraId="78ECE271">
      <w:pPr>
        <w:pageBreakBefore w:val="0"/>
        <w:topLinePunct w:val="0"/>
        <w:bidi w:val="0"/>
        <w:adjustRightInd w:val="0"/>
        <w:snapToGrid w:val="0"/>
        <w:spacing w:line="460" w:lineRule="exact"/>
        <w:ind w:left="0" w:leftChars="0" w:right="0" w:rightChars="0" w:firstLine="480" w:firstLineChars="200"/>
        <w:rPr>
          <w:rFonts w:hint="eastAsia" w:ascii="仿宋" w:hAnsi="仿宋" w:eastAsia="仿宋" w:cs="仿宋"/>
          <w:b w:val="0"/>
          <w:bCs/>
          <w:color w:val="auto"/>
          <w:spacing w:val="0"/>
          <w:position w:val="0"/>
          <w:sz w:val="24"/>
          <w:szCs w:val="24"/>
          <w:highlight w:val="none"/>
        </w:rPr>
      </w:pPr>
      <w:r>
        <w:rPr>
          <w:rFonts w:hint="eastAsia" w:ascii="仿宋" w:hAnsi="仿宋" w:eastAsia="仿宋" w:cs="仿宋"/>
          <w:b w:val="0"/>
          <w:bCs/>
          <w:color w:val="auto"/>
          <w:spacing w:val="0"/>
          <w:position w:val="0"/>
          <w:sz w:val="24"/>
          <w:szCs w:val="24"/>
          <w:highlight w:val="none"/>
        </w:rPr>
        <w:t>1、采购清单及技术要求</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774"/>
        <w:gridCol w:w="2841"/>
      </w:tblGrid>
      <w:tr w14:paraId="21F3F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9" w:type="dxa"/>
            <w:vAlign w:val="center"/>
          </w:tcPr>
          <w:p w14:paraId="48E74DB7">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序号</w:t>
            </w:r>
          </w:p>
        </w:tc>
        <w:tc>
          <w:tcPr>
            <w:tcW w:w="4442" w:type="dxa"/>
            <w:vAlign w:val="center"/>
          </w:tcPr>
          <w:p w14:paraId="58295EC4">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品目</w:t>
            </w:r>
          </w:p>
        </w:tc>
        <w:tc>
          <w:tcPr>
            <w:tcW w:w="3321" w:type="dxa"/>
            <w:vAlign w:val="center"/>
          </w:tcPr>
          <w:p w14:paraId="6B0B05F9">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数量</w:t>
            </w:r>
          </w:p>
        </w:tc>
      </w:tr>
      <w:tr w14:paraId="0ECBD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9" w:type="dxa"/>
            <w:vAlign w:val="center"/>
          </w:tcPr>
          <w:p w14:paraId="5F782385">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1</w:t>
            </w:r>
          </w:p>
        </w:tc>
        <w:tc>
          <w:tcPr>
            <w:tcW w:w="4442" w:type="dxa"/>
            <w:vAlign w:val="center"/>
          </w:tcPr>
          <w:p w14:paraId="0B98968F">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全自动核酸检测仪</w:t>
            </w:r>
          </w:p>
        </w:tc>
        <w:tc>
          <w:tcPr>
            <w:tcW w:w="3321" w:type="dxa"/>
            <w:vAlign w:val="center"/>
          </w:tcPr>
          <w:p w14:paraId="6EBEC1E6">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1台</w:t>
            </w:r>
          </w:p>
        </w:tc>
      </w:tr>
      <w:tr w14:paraId="3C129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9" w:type="dxa"/>
            <w:vAlign w:val="center"/>
          </w:tcPr>
          <w:p w14:paraId="0802B9D3">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2</w:t>
            </w:r>
          </w:p>
        </w:tc>
        <w:tc>
          <w:tcPr>
            <w:tcW w:w="4442" w:type="dxa"/>
            <w:vAlign w:val="center"/>
          </w:tcPr>
          <w:p w14:paraId="0AE2B350">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显微镜</w:t>
            </w:r>
          </w:p>
        </w:tc>
        <w:tc>
          <w:tcPr>
            <w:tcW w:w="3321" w:type="dxa"/>
            <w:vAlign w:val="center"/>
          </w:tcPr>
          <w:p w14:paraId="4B26AE99">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2台</w:t>
            </w:r>
          </w:p>
        </w:tc>
      </w:tr>
      <w:tr w14:paraId="3E6CD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9" w:type="dxa"/>
            <w:vAlign w:val="center"/>
          </w:tcPr>
          <w:p w14:paraId="75A962D0">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3</w:t>
            </w:r>
          </w:p>
        </w:tc>
        <w:tc>
          <w:tcPr>
            <w:tcW w:w="4442" w:type="dxa"/>
            <w:vAlign w:val="center"/>
          </w:tcPr>
          <w:p w14:paraId="6430B42C">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离心机</w:t>
            </w:r>
          </w:p>
        </w:tc>
        <w:tc>
          <w:tcPr>
            <w:tcW w:w="3321" w:type="dxa"/>
            <w:vAlign w:val="center"/>
          </w:tcPr>
          <w:p w14:paraId="72C81014">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rPr>
            </w:pPr>
            <w:r>
              <w:rPr>
                <w:rFonts w:hint="eastAsia" w:ascii="仿宋" w:hAnsi="仿宋" w:eastAsia="仿宋" w:cs="仿宋"/>
                <w:b w:val="0"/>
                <w:bCs/>
                <w:color w:val="auto"/>
                <w:spacing w:val="0"/>
                <w:position w:val="0"/>
                <w:sz w:val="24"/>
                <w:szCs w:val="24"/>
                <w:highlight w:val="none"/>
                <w:vertAlign w:val="baseline"/>
                <w:lang w:val="en-US" w:eastAsia="zh-CN"/>
              </w:rPr>
              <w:t>2台</w:t>
            </w:r>
          </w:p>
        </w:tc>
      </w:tr>
      <w:tr w14:paraId="1E9E3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9" w:type="dxa"/>
            <w:vAlign w:val="center"/>
          </w:tcPr>
          <w:p w14:paraId="0B7F9BD5">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4</w:t>
            </w:r>
          </w:p>
        </w:tc>
        <w:tc>
          <w:tcPr>
            <w:tcW w:w="4442" w:type="dxa"/>
            <w:vAlign w:val="center"/>
          </w:tcPr>
          <w:p w14:paraId="39C253EE">
            <w:pPr>
              <w:pageBreakBefore w:val="0"/>
              <w:widowControl w:val="0"/>
              <w:topLinePunct w:val="0"/>
              <w:bidi w:val="0"/>
              <w:adjustRightInd w:val="0"/>
              <w:snapToGrid w:val="0"/>
              <w:spacing w:line="460" w:lineRule="exact"/>
              <w:ind w:left="0" w:leftChars="0" w:right="0" w:rightChars="0" w:firstLine="0" w:firstLineChars="0"/>
              <w:jc w:val="center"/>
              <w:rPr>
                <w:rFonts w:hint="default" w:ascii="仿宋" w:hAnsi="仿宋" w:eastAsia="仿宋" w:cs="仿宋"/>
                <w:b w:val="0"/>
                <w:bCs/>
                <w:color w:val="auto"/>
                <w:spacing w:val="0"/>
                <w:position w:val="0"/>
                <w:sz w:val="24"/>
                <w:szCs w:val="24"/>
                <w:highlight w:val="none"/>
                <w:vertAlign w:val="baseline"/>
                <w:lang w:val="en-US" w:eastAsia="zh-CN"/>
              </w:rPr>
            </w:pPr>
            <w:r>
              <w:rPr>
                <w:rFonts w:hint="eastAsia" w:ascii="仿宋" w:hAnsi="仿宋" w:eastAsia="仿宋" w:cs="仿宋"/>
                <w:b w:val="0"/>
                <w:bCs/>
                <w:color w:val="auto"/>
                <w:spacing w:val="0"/>
                <w:position w:val="0"/>
                <w:sz w:val="24"/>
                <w:szCs w:val="24"/>
                <w:highlight w:val="none"/>
                <w:vertAlign w:val="baseline"/>
                <w:lang w:val="en-US" w:eastAsia="zh-CN"/>
              </w:rPr>
              <w:t>冷藏箱</w:t>
            </w:r>
          </w:p>
        </w:tc>
        <w:tc>
          <w:tcPr>
            <w:tcW w:w="3321" w:type="dxa"/>
            <w:vAlign w:val="center"/>
          </w:tcPr>
          <w:p w14:paraId="62F22038">
            <w:pPr>
              <w:pageBreakBefore w:val="0"/>
              <w:widowControl w:val="0"/>
              <w:topLinePunct w:val="0"/>
              <w:bidi w:val="0"/>
              <w:adjustRightInd w:val="0"/>
              <w:snapToGrid w:val="0"/>
              <w:spacing w:line="460" w:lineRule="exact"/>
              <w:ind w:left="0" w:leftChars="0" w:right="0" w:rightChars="0" w:firstLine="0" w:firstLineChars="0"/>
              <w:jc w:val="center"/>
              <w:rPr>
                <w:rFonts w:hint="eastAsia" w:ascii="仿宋" w:hAnsi="仿宋" w:eastAsia="仿宋" w:cs="仿宋"/>
                <w:b w:val="0"/>
                <w:bCs/>
                <w:color w:val="auto"/>
                <w:spacing w:val="0"/>
                <w:position w:val="0"/>
                <w:sz w:val="24"/>
                <w:szCs w:val="24"/>
                <w:highlight w:val="none"/>
                <w:vertAlign w:val="baseline"/>
              </w:rPr>
            </w:pPr>
            <w:r>
              <w:rPr>
                <w:rFonts w:hint="eastAsia" w:ascii="仿宋" w:hAnsi="仿宋" w:eastAsia="仿宋" w:cs="仿宋"/>
                <w:b w:val="0"/>
                <w:bCs/>
                <w:color w:val="auto"/>
                <w:spacing w:val="0"/>
                <w:position w:val="0"/>
                <w:sz w:val="24"/>
                <w:szCs w:val="24"/>
                <w:highlight w:val="none"/>
                <w:vertAlign w:val="baseline"/>
                <w:lang w:val="en-US" w:eastAsia="zh-CN"/>
              </w:rPr>
              <w:t>4台</w:t>
            </w:r>
          </w:p>
        </w:tc>
      </w:tr>
    </w:tbl>
    <w:p w14:paraId="49623793">
      <w:pPr>
        <w:pageBreakBefore w:val="0"/>
        <w:topLinePunct w:val="0"/>
        <w:bidi w:val="0"/>
        <w:adjustRightInd w:val="0"/>
        <w:snapToGrid w:val="0"/>
        <w:spacing w:line="360" w:lineRule="auto"/>
        <w:ind w:left="0" w:leftChars="0" w:right="0" w:rightChars="0" w:firstLine="480" w:firstLineChars="200"/>
        <w:rPr>
          <w:rFonts w:hint="default"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1.1</w:t>
      </w:r>
      <w:r>
        <w:rPr>
          <w:rFonts w:hint="eastAsia" w:ascii="仿宋" w:hAnsi="仿宋" w:eastAsia="仿宋" w:cs="仿宋"/>
          <w:b w:val="0"/>
          <w:bCs/>
          <w:color w:val="auto"/>
          <w:spacing w:val="0"/>
          <w:position w:val="0"/>
          <w:sz w:val="24"/>
          <w:szCs w:val="24"/>
          <w:highlight w:val="none"/>
          <w:vertAlign w:val="baseline"/>
          <w:lang w:val="en-US" w:eastAsia="zh-CN"/>
        </w:rPr>
        <w:t>全自动核酸检测仪</w:t>
      </w:r>
    </w:p>
    <w:p w14:paraId="323EC3B2">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1.1.1检测原理：基于实时荧光定量PCR技术。 </w:t>
      </w:r>
    </w:p>
    <w:p w14:paraId="65351F3D">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1.1.2主要用途：从痰液、肺泡灌洗液等样本中直接进行结核分枝杆菌鉴定及利福平耐药的相关检测，一款试剂同时检测结核分枝杆菌鉴定和利福平耐药基因。 </w:t>
      </w:r>
    </w:p>
    <w:p w14:paraId="6C9F4294">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1.1.3检测通量：仪器检测通道≥8,可以同时检测≥8个标本，结核分枝杆菌和利福平耐药是同一管检测，同时出具结果，检测灵敏度满足国家检测标准。 </w:t>
      </w:r>
    </w:p>
    <w:p w14:paraId="5DFD204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1.1.4核酸提取：离心柱或磁珠法提取。 </w:t>
      </w:r>
    </w:p>
    <w:p w14:paraId="591B926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1.1.5结核菌检测限：≤50个菌/ml,耐药基因检测限≤1000个菌/ml。 </w:t>
      </w:r>
    </w:p>
    <w:p w14:paraId="07D71D2A">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1.1.6配套试剂检测靶标：IS6110、IS1081、rpoB基因。 </w:t>
      </w:r>
    </w:p>
    <w:p w14:paraId="1605F7B9">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1.1.7荧光通道：≥4。 </w:t>
      </w:r>
    </w:p>
    <w:p w14:paraId="1EEE0CF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1.1.8系统为封闭流程检测，上样后的检测流程在独立封闭的全封闭试剂空间内完成。 </w:t>
      </w:r>
    </w:p>
    <w:p w14:paraId="0E24B2CF">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1.1.9结果分析及报告：根据检测项目，软件可对实验数据的Cq/Ct值、熔解曲线Tm值峰高等进行自动分析，具备结果自动判读功能，可自动输出检测靶标阴性/阳性、药物敏感/耐药等结果，并可导出检测报告。 </w:t>
      </w:r>
    </w:p>
    <w:p w14:paraId="18FB0F81">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1.1.10检测时间：结核分枝杆菌鉴定及利福平耐药检测时间≤120min。 </w:t>
      </w:r>
    </w:p>
    <w:p w14:paraId="6B058BF9">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1.1.11质量控制：双重质控，系统包含内部质控和外部质控。 </w:t>
      </w:r>
    </w:p>
    <w:p w14:paraId="2CF1B317">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 xml:space="preserve">1.1.12核酸扩增反应孔：≥16。 </w:t>
      </w:r>
    </w:p>
    <w:p w14:paraId="20AF9579">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1.1.13内置显示屏，不额外占用空间、不可拆卸，可放置在生物安全柜内操作使用。</w:t>
      </w:r>
    </w:p>
    <w:p w14:paraId="6214DC2F">
      <w:pPr>
        <w:pageBreakBefore w:val="0"/>
        <w:topLinePunct w:val="0"/>
        <w:bidi w:val="0"/>
        <w:adjustRightInd w:val="0"/>
        <w:snapToGrid w:val="0"/>
        <w:spacing w:line="360" w:lineRule="auto"/>
        <w:ind w:left="0" w:leftChars="0" w:right="0" w:rightChars="0" w:firstLine="480" w:firstLineChars="200"/>
        <w:rPr>
          <w:rFonts w:hint="default"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1.2显微镜</w:t>
      </w:r>
    </w:p>
    <w:p w14:paraId="435FE895">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1.2.1调焦机构:有粗调限位，可以进行张力调节，避免标本或物镜的损伤。</w:t>
      </w:r>
    </w:p>
    <w:p w14:paraId="0058273C">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1.2.2聚光镜:带有孔径光阑的阿贝聚光镜。</w:t>
      </w:r>
    </w:p>
    <w:p w14:paraId="7E6C0145">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1.2.3照明系统:≥15000小时寿命LED光源。</w:t>
      </w:r>
    </w:p>
    <w:p w14:paraId="26006392">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1.2.4目镜:视场数≥20。</w:t>
      </w:r>
    </w:p>
    <w:p w14:paraId="474FD9C9">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1.2.5物镜转盘:与显微镜机身固定的内旋式≥4孔物镜转盘，便于放置标本等操作。</w:t>
      </w:r>
    </w:p>
    <w:p w14:paraId="7592BD78">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1.2.6防霉装置:在双目观察筒、目镜、物镜都做了防霉处理。</w:t>
      </w:r>
    </w:p>
    <w:p w14:paraId="578AE6B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1.2.7所采用光学元件均为环保无铅玻璃。</w:t>
      </w:r>
    </w:p>
    <w:p w14:paraId="7416E86D">
      <w:pPr>
        <w:pageBreakBefore w:val="0"/>
        <w:topLinePunct w:val="0"/>
        <w:bidi w:val="0"/>
        <w:adjustRightInd w:val="0"/>
        <w:snapToGrid w:val="0"/>
        <w:spacing w:line="360" w:lineRule="auto"/>
        <w:ind w:left="0" w:leftChars="0" w:right="0" w:rightChars="0" w:firstLine="480" w:firstLineChars="200"/>
        <w:rPr>
          <w:rFonts w:hint="default"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1.3离心机</w:t>
      </w:r>
    </w:p>
    <w:p w14:paraId="65F04BB2">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1.3.1满足多种离心回收要求运行中转速，离心力，温度同屏显示，变化关系，清析可见。</w:t>
      </w:r>
    </w:p>
    <w:p w14:paraId="07D1C456">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1.3.2磁性转子自动识别系统，当不同的规格的转子上机后，操作界面可以自动识别最高转速和最大离心力，防止转子超速使用，确保离心安全。</w:t>
      </w:r>
    </w:p>
    <w:p w14:paraId="4E44E047">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1.3.3至少具有门盖，超速，超温，过流，过压，过热等、保护功能。</w:t>
      </w:r>
    </w:p>
    <w:p w14:paraId="3C0864BA">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1.3.4门盖双锁扣设计，防止门盖运行过程意外打开，仪器更安全</w:t>
      </w:r>
    </w:p>
    <w:p w14:paraId="44109A3A">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1.3.5离心力自动换算，同屏显示，无需转换。</w:t>
      </w:r>
    </w:p>
    <w:p w14:paraId="2291500A">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1.3.6机身自带更换转子工具架。更换转子方便，防止工具遗失。</w:t>
      </w:r>
    </w:p>
    <w:p w14:paraId="25F7881C">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1.3.7机身自带操作视频二维码，可随时查看。</w:t>
      </w:r>
    </w:p>
    <w:p w14:paraId="1D24A8CD">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1.3.8须采用大扭矩无刷电机，无碳粉污染，免维护，使用寿命长、转速控制精度准确。</w:t>
      </w:r>
    </w:p>
    <w:p w14:paraId="392F15E6">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1.3.9具有通过第三方认证的气密性角转子，有效防止气溶胶及液体外泄。</w:t>
      </w:r>
    </w:p>
    <w:p w14:paraId="72112A07">
      <w:pPr>
        <w:pageBreakBefore w:val="0"/>
        <w:topLinePunct w:val="0"/>
        <w:bidi w:val="0"/>
        <w:adjustRightInd w:val="0"/>
        <w:snapToGrid w:val="0"/>
        <w:spacing w:line="360" w:lineRule="auto"/>
        <w:ind w:left="0" w:leftChars="0" w:right="0" w:rightChars="0" w:firstLine="480" w:firstLineChars="200"/>
        <w:rPr>
          <w:rFonts w:hint="default"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1.3.10最高转速:≥5500rpm。</w:t>
      </w:r>
    </w:p>
    <w:p w14:paraId="0DA01777">
      <w:pPr>
        <w:pageBreakBefore w:val="0"/>
        <w:topLinePunct w:val="0"/>
        <w:bidi w:val="0"/>
        <w:adjustRightInd w:val="0"/>
        <w:snapToGrid w:val="0"/>
        <w:spacing w:line="360" w:lineRule="auto"/>
        <w:ind w:left="0" w:leftChars="0" w:right="0" w:rightChars="0" w:firstLine="480" w:firstLineChars="200"/>
        <w:rPr>
          <w:rFonts w:hint="default"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1.4冷藏箱</w:t>
      </w:r>
    </w:p>
    <w:p w14:paraId="7535FB5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1.4.1样式:立式，玻璃门。</w:t>
      </w:r>
    </w:p>
    <w:p w14:paraId="2C544953">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1.4.2有效容积:≥725L。</w:t>
      </w:r>
    </w:p>
    <w:p w14:paraId="58415320">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1.4.3箱体材料:PCM彩板。</w:t>
      </w:r>
    </w:p>
    <w:p w14:paraId="3CD3046F">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1.4.4内胆材料:喷涂铝板。</w:t>
      </w:r>
    </w:p>
    <w:p w14:paraId="376B4323">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1.4.5保温材料:无CFC聚氨酯发泡。</w:t>
      </w:r>
    </w:p>
    <w:p w14:paraId="29DB055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1.4.6箱内顶部LED照明系统，功耗低，亮度高。</w:t>
      </w:r>
    </w:p>
    <w:p w14:paraId="2E11C733">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1.4.7压缩机:须采用高效压缩机，风扇电机，节能高效、静音。</w:t>
      </w:r>
    </w:p>
    <w:p w14:paraId="1DB297DB">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1.4.8门体带锁，防止随意开启，存储物品安全。</w:t>
      </w:r>
    </w:p>
    <w:p w14:paraId="3C1EC272">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1.4.9共4脚轮+2脚刹，移动固定方便。</w:t>
      </w:r>
    </w:p>
    <w:p w14:paraId="662EB78C">
      <w:pPr>
        <w:pageBreakBefore w:val="0"/>
        <w:topLinePunct w:val="0"/>
        <w:bidi w:val="0"/>
        <w:adjustRightInd w:val="0"/>
        <w:snapToGrid w:val="0"/>
        <w:spacing w:line="360" w:lineRule="auto"/>
        <w:ind w:left="0" w:leftChars="0" w:right="0" w:rightChars="0" w:firstLine="480" w:firstLineChars="200"/>
        <w:rPr>
          <w:rFonts w:hint="eastAsia" w:ascii="仿宋" w:hAnsi="仿宋" w:eastAsia="仿宋" w:cs="仿宋"/>
          <w:b w:val="0"/>
          <w:bCs/>
          <w:color w:val="auto"/>
          <w:spacing w:val="0"/>
          <w:position w:val="0"/>
          <w:sz w:val="24"/>
          <w:szCs w:val="24"/>
          <w:highlight w:val="none"/>
          <w:lang w:val="en-US" w:eastAsia="zh-CN"/>
        </w:rPr>
      </w:pPr>
      <w:r>
        <w:rPr>
          <w:rFonts w:hint="eastAsia" w:ascii="仿宋" w:hAnsi="仿宋" w:eastAsia="仿宋" w:cs="仿宋"/>
          <w:b w:val="0"/>
          <w:bCs/>
          <w:color w:val="auto"/>
          <w:spacing w:val="0"/>
          <w:position w:val="0"/>
          <w:sz w:val="24"/>
          <w:szCs w:val="24"/>
          <w:highlight w:val="none"/>
          <w:lang w:val="en-US" w:eastAsia="zh-CN"/>
        </w:rPr>
        <w:t>1.4.10蓄电池可提供不少于48小时显示及报警功能。</w:t>
      </w:r>
    </w:p>
    <w:p w14:paraId="23474C5B">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95822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2026-06-03T07:57:03Z</dcterms:created>
  <dc:creator>huwei</dc:creator>
  <cp:lastModifiedBy>safe</cp:lastModifiedBy>
  <dcterms:modified xsi:type="dcterms:W3CDTF">2026-06-03T07:57:28Z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eyJoZGlkIjoiMWI5MzU5MmZkMGU4YzMxOWFmYWVhMGE5YjI4OTlkMzQiLCJ1c2VySWQiOiI0MDU4Mjk3MzUifQ==</vt:lpwstr>
  </property>
  <property fmtid="{D5CDD505-2E9C-101B-9397-08002B2CF9AE}" pid="4" name="ICV">
    <vt:lpwstr>799CF61DC56E41E38C34EBBCE5769F9B_12</vt:lpwstr>
  </property>
</Properties>
</file>