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41B1D9">
      <w:pPr>
        <w:widowControl w:val="0"/>
        <w:kinsoku/>
        <w:spacing w:before="63" w:line="224" w:lineRule="auto"/>
        <w:jc w:val="center"/>
        <w:outlineLvl w:val="0"/>
        <w:rPr>
          <w:rFonts w:ascii="宋体" w:hAnsi="宋体" w:eastAsia="宋体" w:cs="宋体"/>
          <w:b/>
          <w:color w:val="000000" w:themeColor="text1"/>
          <w:sz w:val="32"/>
          <w:szCs w:val="32"/>
          <w:lang w:eastAsia="zh-CN"/>
          <w14:textFill>
            <w14:solidFill>
              <w14:schemeClr w14:val="tx1"/>
            </w14:solidFill>
          </w14:textFill>
        </w:rPr>
      </w:pPr>
      <w:r>
        <w:rPr>
          <w:rFonts w:hint="eastAsia" w:ascii="宋体" w:hAnsi="宋体" w:eastAsia="宋体" w:cs="宋体"/>
          <w:b/>
          <w:color w:val="000000" w:themeColor="text1"/>
          <w:spacing w:val="9"/>
          <w:sz w:val="32"/>
          <w:szCs w:val="32"/>
          <w:lang w:val="en-US" w:eastAsia="zh-CN"/>
          <w14:textFill>
            <w14:solidFill>
              <w14:schemeClr w14:val="tx1"/>
            </w14:solidFill>
          </w14:textFill>
        </w:rPr>
        <w:t>货物</w:t>
      </w:r>
      <w:r>
        <w:rPr>
          <w:rFonts w:ascii="宋体" w:hAnsi="宋体" w:eastAsia="宋体" w:cs="宋体"/>
          <w:b/>
          <w:color w:val="000000" w:themeColor="text1"/>
          <w:spacing w:val="9"/>
          <w:sz w:val="32"/>
          <w:szCs w:val="32"/>
          <w:lang w:eastAsia="zh-CN"/>
          <w14:textFill>
            <w14:solidFill>
              <w14:schemeClr w14:val="tx1"/>
            </w14:solidFill>
          </w14:textFill>
        </w:rPr>
        <w:t>需求</w:t>
      </w:r>
    </w:p>
    <w:p w14:paraId="5836D29C">
      <w:pPr>
        <w:widowControl w:val="0"/>
        <w:kinsoku/>
        <w:spacing w:line="309" w:lineRule="auto"/>
        <w:jc w:val="center"/>
        <w:rPr>
          <w:color w:val="000000" w:themeColor="text1"/>
          <w:lang w:eastAsia="zh-CN"/>
          <w14:textFill>
            <w14:solidFill>
              <w14:schemeClr w14:val="tx1"/>
            </w14:solidFill>
          </w14:textFill>
        </w:rPr>
      </w:pPr>
    </w:p>
    <w:p w14:paraId="296E39C8">
      <w:pPr>
        <w:widowControl w:val="0"/>
        <w:kinsoku/>
        <w:spacing w:before="78" w:line="220" w:lineRule="auto"/>
        <w:jc w:val="both"/>
        <w:outlineLvl w:val="1"/>
        <w:rPr>
          <w:rFonts w:ascii="宋体" w:hAnsi="宋体" w:eastAsia="宋体" w:cs="宋体"/>
          <w:b/>
          <w:color w:val="000000" w:themeColor="text1"/>
          <w:spacing w:val="-2"/>
          <w:sz w:val="28"/>
          <w:szCs w:val="24"/>
          <w:lang w:eastAsia="zh-CN"/>
          <w14:textFill>
            <w14:solidFill>
              <w14:schemeClr w14:val="tx1"/>
            </w14:solidFill>
          </w14:textFill>
        </w:rPr>
      </w:pPr>
      <w:bookmarkStart w:id="0" w:name="_Toc7426"/>
      <w:r>
        <w:rPr>
          <w:rFonts w:ascii="宋体" w:hAnsi="宋体" w:eastAsia="宋体" w:cs="宋体"/>
          <w:b/>
          <w:color w:val="000000" w:themeColor="text1"/>
          <w:spacing w:val="-2"/>
          <w:sz w:val="28"/>
          <w:szCs w:val="24"/>
          <w:lang w:eastAsia="zh-CN"/>
          <w14:textFill>
            <w14:solidFill>
              <w14:schemeClr w14:val="tx1"/>
            </w14:solidFill>
          </w14:textFill>
        </w:rPr>
        <w:t>一、</w:t>
      </w:r>
      <w:r>
        <w:rPr>
          <w:rFonts w:hint="eastAsia" w:ascii="宋体" w:hAnsi="宋体" w:eastAsia="宋体" w:cs="宋体"/>
          <w:b/>
          <w:color w:val="000000" w:themeColor="text1"/>
          <w:spacing w:val="-2"/>
          <w:sz w:val="28"/>
          <w:szCs w:val="24"/>
          <w:lang w:eastAsia="zh-CN"/>
          <w14:textFill>
            <w14:solidFill>
              <w14:schemeClr w14:val="tx1"/>
            </w14:solidFill>
          </w14:textFill>
        </w:rPr>
        <w:t>采购</w:t>
      </w:r>
      <w:r>
        <w:rPr>
          <w:rFonts w:ascii="宋体" w:hAnsi="宋体" w:eastAsia="宋体" w:cs="宋体"/>
          <w:b/>
          <w:color w:val="000000" w:themeColor="text1"/>
          <w:spacing w:val="-2"/>
          <w:sz w:val="28"/>
          <w:szCs w:val="24"/>
          <w:lang w:eastAsia="zh-CN"/>
          <w14:textFill>
            <w14:solidFill>
              <w14:schemeClr w14:val="tx1"/>
            </w14:solidFill>
          </w14:textFill>
        </w:rPr>
        <w:t>需求表</w:t>
      </w:r>
      <w:bookmarkEnd w:id="0"/>
    </w:p>
    <w:p w14:paraId="3CDA87A4">
      <w:pPr>
        <w:widowControl w:val="0"/>
        <w:spacing w:before="78" w:line="360" w:lineRule="auto"/>
        <w:jc w:val="center"/>
        <w:outlineLvl w:val="1"/>
        <w:rPr>
          <w:rFonts w:ascii="宋体" w:hAnsi="宋体" w:eastAsia="宋体" w:cs="宋体"/>
          <w:b/>
          <w:color w:val="000000" w:themeColor="text1"/>
          <w:sz w:val="28"/>
          <w:szCs w:val="24"/>
          <w:lang w:eastAsia="zh-CN"/>
          <w14:textFill>
            <w14:solidFill>
              <w14:schemeClr w14:val="tx1"/>
            </w14:solidFill>
          </w14:textFill>
        </w:rPr>
      </w:pPr>
      <w:r>
        <w:rPr>
          <w:rFonts w:ascii="宋体" w:hAnsi="宋体" w:eastAsia="宋体" w:cs="宋体"/>
          <w:b/>
          <w:color w:val="000000" w:themeColor="text1"/>
          <w:sz w:val="28"/>
          <w:szCs w:val="24"/>
          <w:lang w:eastAsia="zh-CN"/>
          <w14:textFill>
            <w14:solidFill>
              <w14:schemeClr w14:val="tx1"/>
            </w14:solidFill>
          </w14:textFill>
        </w:rPr>
        <w:t>一、</w:t>
      </w:r>
      <w:r>
        <w:rPr>
          <w:rFonts w:hint="eastAsia" w:ascii="宋体" w:hAnsi="宋体" w:eastAsia="宋体" w:cs="宋体"/>
          <w:b/>
          <w:color w:val="000000" w:themeColor="text1"/>
          <w:sz w:val="28"/>
          <w:szCs w:val="24"/>
          <w:lang w:eastAsia="zh-CN"/>
          <w14:textFill>
            <w14:solidFill>
              <w14:schemeClr w14:val="tx1"/>
            </w14:solidFill>
          </w14:textFill>
        </w:rPr>
        <w:t>采购</w:t>
      </w:r>
      <w:r>
        <w:rPr>
          <w:rFonts w:ascii="宋体" w:hAnsi="宋体" w:eastAsia="宋体" w:cs="宋体"/>
          <w:b/>
          <w:color w:val="000000" w:themeColor="text1"/>
          <w:sz w:val="28"/>
          <w:szCs w:val="24"/>
          <w:lang w:eastAsia="zh-CN"/>
          <w14:textFill>
            <w14:solidFill>
              <w14:schemeClr w14:val="tx1"/>
            </w14:solidFill>
          </w14:textFill>
        </w:rPr>
        <w:t>需求表</w:t>
      </w:r>
    </w:p>
    <w:tbl>
      <w:tblPr>
        <w:tblStyle w:val="8"/>
        <w:tblW w:w="990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88"/>
        <w:gridCol w:w="570"/>
        <w:gridCol w:w="7051"/>
      </w:tblGrid>
      <w:tr w14:paraId="781FF7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jc w:val="center"/>
        </w:trPr>
        <w:tc>
          <w:tcPr>
            <w:tcW w:w="2288" w:type="dxa"/>
            <w:tcBorders>
              <w:right w:val="nil"/>
            </w:tcBorders>
          </w:tcPr>
          <w:p w14:paraId="43E284C2">
            <w:pPr>
              <w:widowControl w:val="0"/>
              <w:spacing w:before="183" w:line="223" w:lineRule="auto"/>
              <w:ind w:left="1091"/>
              <w:rPr>
                <w:rFonts w:ascii="宋体" w:hAnsi="宋体" w:eastAsia="宋体" w:cs="宋体"/>
                <w:color w:val="000000" w:themeColor="text1"/>
                <w:sz w:val="24"/>
                <w:szCs w:val="24"/>
                <w14:textFill>
                  <w14:solidFill>
                    <w14:schemeClr w14:val="tx1"/>
                  </w14:solidFill>
                </w14:textFill>
              </w:rPr>
            </w:pPr>
            <w:r>
              <w:rPr>
                <w:color w:val="000000" w:themeColor="text1"/>
                <w:lang w:eastAsia="zh-CN"/>
                <w14:textFill>
                  <w14:solidFill>
                    <w14:schemeClr w14:val="tx1"/>
                  </w14:solidFill>
                </w14:textFill>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1" name="IM 6"/>
                  <wp:cNvGraphicFramePr/>
                  <a:graphic xmlns:a="http://schemas.openxmlformats.org/drawingml/2006/main">
                    <a:graphicData uri="http://schemas.openxmlformats.org/drawingml/2006/picture">
                      <pic:pic xmlns:pic="http://schemas.openxmlformats.org/drawingml/2006/picture">
                        <pic:nvPicPr>
                          <pic:cNvPr id="1" name="IM 6"/>
                          <pic:cNvPicPr/>
                        </pic:nvPicPr>
                        <pic:blipFill>
                          <a:blip r:embed="rId5" cstate="print"/>
                          <a:stretch>
                            <a:fillRect/>
                          </a:stretch>
                        </pic:blipFill>
                        <pic:spPr>
                          <a:xfrm>
                            <a:off x="0" y="0"/>
                            <a:ext cx="1805051" cy="1485442"/>
                          </a:xfrm>
                          <a:prstGeom prst="rect">
                            <a:avLst/>
                          </a:prstGeom>
                        </pic:spPr>
                      </pic:pic>
                    </a:graphicData>
                  </a:graphic>
                </wp:anchor>
              </w:drawing>
            </w:r>
            <w:r>
              <w:rPr>
                <w:rFonts w:ascii="宋体" w:hAnsi="宋体" w:eastAsia="宋体" w:cs="宋体"/>
                <w:color w:val="000000" w:themeColor="text1"/>
                <w:sz w:val="24"/>
                <w:szCs w:val="24"/>
                <w14:textFill>
                  <w14:solidFill>
                    <w14:schemeClr w14:val="tx1"/>
                  </w14:solidFill>
                </w14:textFill>
              </w:rPr>
              <w:t>名</w:t>
            </w:r>
          </w:p>
          <w:p w14:paraId="18419813">
            <w:pPr>
              <w:pStyle w:val="9"/>
              <w:widowControl w:val="0"/>
              <w:spacing w:line="245" w:lineRule="auto"/>
              <w:rPr>
                <w:color w:val="000000" w:themeColor="text1"/>
                <w14:textFill>
                  <w14:solidFill>
                    <w14:schemeClr w14:val="tx1"/>
                  </w14:solidFill>
                </w14:textFill>
              </w:rPr>
            </w:pPr>
          </w:p>
          <w:p w14:paraId="26A6359A">
            <w:pPr>
              <w:pStyle w:val="9"/>
              <w:widowControl w:val="0"/>
              <w:spacing w:line="246" w:lineRule="auto"/>
              <w:rPr>
                <w:color w:val="000000" w:themeColor="text1"/>
                <w14:textFill>
                  <w14:solidFill>
                    <w14:schemeClr w14:val="tx1"/>
                  </w14:solidFill>
                </w14:textFill>
              </w:rPr>
            </w:pPr>
          </w:p>
          <w:p w14:paraId="7733A3F5">
            <w:pPr>
              <w:widowControl w:val="0"/>
              <w:spacing w:before="78" w:line="219" w:lineRule="auto"/>
              <w:ind w:left="481"/>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内</w:t>
            </w:r>
          </w:p>
          <w:p w14:paraId="150A7EF2">
            <w:pPr>
              <w:pStyle w:val="9"/>
              <w:widowControl w:val="0"/>
              <w:spacing w:line="338" w:lineRule="auto"/>
              <w:rPr>
                <w:color w:val="000000" w:themeColor="text1"/>
                <w14:textFill>
                  <w14:solidFill>
                    <w14:schemeClr w14:val="tx1"/>
                  </w14:solidFill>
                </w14:textFill>
              </w:rPr>
            </w:pPr>
          </w:p>
          <w:p w14:paraId="531AAB41">
            <w:pPr>
              <w:widowControl w:val="0"/>
              <w:spacing w:before="78" w:line="220" w:lineRule="auto"/>
              <w:ind w:left="1311"/>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容</w:t>
            </w:r>
          </w:p>
        </w:tc>
        <w:tc>
          <w:tcPr>
            <w:tcW w:w="570" w:type="dxa"/>
            <w:tcBorders>
              <w:left w:val="nil"/>
            </w:tcBorders>
          </w:tcPr>
          <w:p w14:paraId="3A205F7A">
            <w:pPr>
              <w:pStyle w:val="9"/>
              <w:widowControl w:val="0"/>
              <w:spacing w:line="263" w:lineRule="auto"/>
              <w:rPr>
                <w:color w:val="000000" w:themeColor="text1"/>
                <w14:textFill>
                  <w14:solidFill>
                    <w14:schemeClr w14:val="tx1"/>
                  </w14:solidFill>
                </w14:textFill>
              </w:rPr>
            </w:pPr>
          </w:p>
          <w:p w14:paraId="784D9FA0">
            <w:pPr>
              <w:pStyle w:val="9"/>
              <w:widowControl w:val="0"/>
              <w:spacing w:line="263" w:lineRule="auto"/>
              <w:rPr>
                <w:color w:val="000000" w:themeColor="text1"/>
                <w14:textFill>
                  <w14:solidFill>
                    <w14:schemeClr w14:val="tx1"/>
                  </w14:solidFill>
                </w14:textFill>
              </w:rPr>
            </w:pPr>
          </w:p>
          <w:p w14:paraId="59DDB23A">
            <w:pPr>
              <w:pStyle w:val="9"/>
              <w:widowControl w:val="0"/>
              <w:spacing w:line="264" w:lineRule="auto"/>
              <w:rPr>
                <w:color w:val="000000" w:themeColor="text1"/>
                <w14:textFill>
                  <w14:solidFill>
                    <w14:schemeClr w14:val="tx1"/>
                  </w14:solidFill>
                </w14:textFill>
              </w:rPr>
            </w:pPr>
          </w:p>
          <w:p w14:paraId="2FCC34AD">
            <w:pPr>
              <w:widowControl w:val="0"/>
              <w:spacing w:before="78" w:line="221" w:lineRule="auto"/>
              <w:ind w:left="192"/>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称</w:t>
            </w:r>
          </w:p>
        </w:tc>
        <w:tc>
          <w:tcPr>
            <w:tcW w:w="7051" w:type="dxa"/>
            <w:vAlign w:val="center"/>
          </w:tcPr>
          <w:p w14:paraId="7E4A49C7">
            <w:pPr>
              <w:pStyle w:val="9"/>
              <w:widowControl w:val="0"/>
              <w:jc w:val="center"/>
              <w:rPr>
                <w:rFonts w:asciiTheme="minorEastAsia" w:hAnsiTheme="minorEastAsia" w:eastAsiaTheme="minorEastAsia"/>
                <w:color w:val="000000" w:themeColor="text1"/>
                <w:sz w:val="24"/>
                <w:szCs w:val="24"/>
                <w:lang w:eastAsia="zh-CN"/>
                <w14:textFill>
                  <w14:solidFill>
                    <w14:schemeClr w14:val="tx1"/>
                  </w14:solidFill>
                </w14:textFill>
              </w:rPr>
            </w:pPr>
            <w:r>
              <w:rPr>
                <w:rFonts w:hint="eastAsia" w:cs="宋体" w:asciiTheme="minorEastAsia" w:hAnsiTheme="minorEastAsia" w:eastAsiaTheme="minorEastAsia"/>
                <w:color w:val="000000" w:themeColor="text1"/>
                <w:spacing w:val="3"/>
                <w:sz w:val="28"/>
                <w:szCs w:val="32"/>
                <w:lang w:eastAsia="zh-CN"/>
                <w14:textFill>
                  <w14:solidFill>
                    <w14:schemeClr w14:val="tx1"/>
                  </w14:solidFill>
                </w14:textFill>
              </w:rPr>
              <w:t>湘东工业园污水处理厂3号池膜组件更换项目</w:t>
            </w:r>
          </w:p>
        </w:tc>
      </w:tr>
      <w:tr w14:paraId="7E7876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58" w:type="dxa"/>
            <w:gridSpan w:val="2"/>
          </w:tcPr>
          <w:p w14:paraId="2E425BC9">
            <w:pPr>
              <w:widowControl w:val="0"/>
              <w:spacing w:before="253" w:line="219" w:lineRule="auto"/>
              <w:ind w:left="1188"/>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数量</w:t>
            </w:r>
          </w:p>
        </w:tc>
        <w:tc>
          <w:tcPr>
            <w:tcW w:w="7051" w:type="dxa"/>
            <w:vAlign w:val="center"/>
          </w:tcPr>
          <w:p w14:paraId="6FF7011C">
            <w:pPr>
              <w:pStyle w:val="9"/>
              <w:widowControl w:val="0"/>
              <w:jc w:val="center"/>
              <w:rPr>
                <w:rFonts w:asciiTheme="minorEastAsia" w:hAnsiTheme="minorEastAsia" w:eastAsiaTheme="minorEastAsia"/>
                <w:color w:val="000000" w:themeColor="text1"/>
                <w:sz w:val="24"/>
                <w:szCs w:val="24"/>
                <w:lang w:eastAsia="zh-CN"/>
                <w14:textFill>
                  <w14:solidFill>
                    <w14:schemeClr w14:val="tx1"/>
                  </w14:solidFill>
                </w14:textFill>
              </w:rPr>
            </w:pPr>
            <w:r>
              <w:rPr>
                <w:rFonts w:hint="eastAsia" w:asciiTheme="minorEastAsia" w:hAnsiTheme="minorEastAsia" w:eastAsiaTheme="minorEastAsia"/>
                <w:color w:val="000000" w:themeColor="text1"/>
                <w:sz w:val="24"/>
                <w:szCs w:val="24"/>
                <w:lang w:eastAsia="zh-CN"/>
                <w14:textFill>
                  <w14:solidFill>
                    <w14:schemeClr w14:val="tx1"/>
                  </w14:solidFill>
                </w14:textFill>
              </w:rPr>
              <w:t>1（项）</w:t>
            </w:r>
          </w:p>
        </w:tc>
      </w:tr>
      <w:tr w14:paraId="3EA915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58" w:type="dxa"/>
            <w:gridSpan w:val="2"/>
            <w:vAlign w:val="top"/>
          </w:tcPr>
          <w:p w14:paraId="440DE2D7">
            <w:pPr>
              <w:pageBreakBefore w:val="0"/>
              <w:widowControl w:val="0"/>
              <w:kinsoku/>
              <w:wordWrap/>
              <w:overflowPunct/>
              <w:topLinePunct w:val="0"/>
              <w:bidi w:val="0"/>
              <w:spacing w:before="253" w:line="219" w:lineRule="auto"/>
              <w:ind w:left="1071" w:leftChars="0"/>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pacing w:val="-5"/>
                <w:sz w:val="24"/>
                <w:szCs w:val="24"/>
                <w:highlight w:val="none"/>
                <w14:textFill>
                  <w14:solidFill>
                    <w14:schemeClr w14:val="tx1"/>
                  </w14:solidFill>
                </w14:textFill>
              </w:rPr>
              <w:t>交货期</w:t>
            </w:r>
          </w:p>
        </w:tc>
        <w:tc>
          <w:tcPr>
            <w:tcW w:w="7051" w:type="dxa"/>
            <w:vAlign w:val="center"/>
          </w:tcPr>
          <w:p w14:paraId="47979F22">
            <w:pPr>
              <w:spacing w:after="120"/>
              <w:jc w:val="center"/>
              <w:rPr>
                <w:rFonts w:hint="default" w:asciiTheme="minorEastAsia" w:hAnsiTheme="minorEastAsia" w:eastAsiaTheme="minorEastAsia"/>
                <w:color w:val="000000" w:themeColor="text1"/>
                <w:sz w:val="24"/>
                <w:szCs w:val="24"/>
                <w:lang w:val="en-US" w:eastAsia="zh-CN"/>
                <w14:textFill>
                  <w14:solidFill>
                    <w14:schemeClr w14:val="tx1"/>
                  </w14:solidFill>
                </w14:textFill>
              </w:rPr>
            </w:pPr>
            <w:r>
              <w:rPr>
                <w:rFonts w:hint="eastAsia" w:cs="宋体" w:asciiTheme="minorEastAsia" w:hAnsiTheme="minorEastAsia" w:eastAsiaTheme="minorEastAsia"/>
                <w:color w:val="000000" w:themeColor="text1"/>
                <w:sz w:val="24"/>
                <w:szCs w:val="24"/>
                <w:lang w:val="en-US" w:eastAsia="zh-CN"/>
                <w14:textFill>
                  <w14:solidFill>
                    <w14:schemeClr w14:val="tx1"/>
                  </w14:solidFill>
                </w14:textFill>
              </w:rPr>
              <w:t xml:space="preserve"> 合同签订后15个自然日内完成</w:t>
            </w:r>
          </w:p>
        </w:tc>
      </w:tr>
      <w:tr w14:paraId="219FEF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58" w:type="dxa"/>
            <w:gridSpan w:val="2"/>
            <w:vAlign w:val="top"/>
          </w:tcPr>
          <w:p w14:paraId="50D5455A">
            <w:pPr>
              <w:pageBreakBefore w:val="0"/>
              <w:widowControl w:val="0"/>
              <w:kinsoku/>
              <w:wordWrap/>
              <w:overflowPunct/>
              <w:topLinePunct w:val="0"/>
              <w:bidi w:val="0"/>
              <w:spacing w:before="256" w:line="219" w:lineRule="auto"/>
              <w:ind w:left="951" w:leftChars="0"/>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pacing w:val="-4"/>
                <w:sz w:val="24"/>
                <w:szCs w:val="24"/>
                <w:highlight w:val="none"/>
                <w14:textFill>
                  <w14:solidFill>
                    <w14:schemeClr w14:val="tx1"/>
                  </w14:solidFill>
                </w14:textFill>
              </w:rPr>
              <w:t>交货地点</w:t>
            </w:r>
          </w:p>
        </w:tc>
        <w:tc>
          <w:tcPr>
            <w:tcW w:w="7051" w:type="dxa"/>
            <w:vAlign w:val="center"/>
          </w:tcPr>
          <w:p w14:paraId="015688C0">
            <w:pPr>
              <w:spacing w:after="120"/>
              <w:jc w:val="center"/>
              <w:rPr>
                <w:rFonts w:asciiTheme="minorEastAsia" w:hAnsiTheme="minorEastAsia" w:eastAsiaTheme="minorEastAsia"/>
                <w:color w:val="000000" w:themeColor="text1"/>
                <w:sz w:val="24"/>
                <w:szCs w:val="24"/>
                <w:lang w:eastAsia="zh-CN"/>
                <w14:textFill>
                  <w14:solidFill>
                    <w14:schemeClr w14:val="tx1"/>
                  </w14:solidFill>
                </w14:textFill>
              </w:rPr>
            </w:pPr>
            <w:r>
              <w:rPr>
                <w:rFonts w:hint="eastAsia" w:asciiTheme="minorEastAsia" w:hAnsiTheme="minorEastAsia" w:eastAsiaTheme="minorEastAsia"/>
                <w:color w:val="000000" w:themeColor="text1"/>
                <w:sz w:val="24"/>
                <w:szCs w:val="24"/>
                <w:lang w:val="en-US" w:eastAsia="zh-CN"/>
                <w14:textFill>
                  <w14:solidFill>
                    <w14:schemeClr w14:val="tx1"/>
                  </w14:solidFill>
                </w14:textFill>
              </w:rPr>
              <w:t>采购人指定地点。</w:t>
            </w:r>
          </w:p>
        </w:tc>
      </w:tr>
      <w:tr w14:paraId="58135A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jc w:val="center"/>
        </w:trPr>
        <w:tc>
          <w:tcPr>
            <w:tcW w:w="2858" w:type="dxa"/>
            <w:gridSpan w:val="2"/>
            <w:vAlign w:val="top"/>
          </w:tcPr>
          <w:p w14:paraId="6E7F2106">
            <w:pPr>
              <w:pageBreakBefore w:val="0"/>
              <w:widowControl w:val="0"/>
              <w:kinsoku/>
              <w:wordWrap/>
              <w:overflowPunct/>
              <w:topLinePunct w:val="0"/>
              <w:bidi w:val="0"/>
              <w:spacing w:before="257" w:line="220" w:lineRule="auto"/>
              <w:ind w:left="951" w:leftChars="0"/>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pacing w:val="-4"/>
                <w:sz w:val="24"/>
                <w:szCs w:val="24"/>
                <w:highlight w:val="none"/>
                <w14:textFill>
                  <w14:solidFill>
                    <w14:schemeClr w14:val="tx1"/>
                  </w14:solidFill>
                </w14:textFill>
              </w:rPr>
              <w:t>安装地点</w:t>
            </w:r>
          </w:p>
        </w:tc>
        <w:tc>
          <w:tcPr>
            <w:tcW w:w="7051" w:type="dxa"/>
            <w:vAlign w:val="center"/>
          </w:tcPr>
          <w:p w14:paraId="7B3A16BF">
            <w:pPr>
              <w:spacing w:after="120"/>
              <w:jc w:val="center"/>
              <w:rPr>
                <w:color w:val="000000" w:themeColor="text1"/>
                <w:lang w:eastAsia="zh-CN"/>
                <w14:textFill>
                  <w14:solidFill>
                    <w14:schemeClr w14:val="tx1"/>
                  </w14:solidFill>
                </w14:textFill>
              </w:rPr>
            </w:pPr>
            <w:r>
              <w:rPr>
                <w:rFonts w:hint="eastAsia" w:asciiTheme="minorEastAsia" w:hAnsiTheme="minorEastAsia" w:eastAsiaTheme="minorEastAsia"/>
                <w:color w:val="000000" w:themeColor="text1"/>
                <w:sz w:val="24"/>
                <w:szCs w:val="24"/>
                <w:lang w:val="en-US" w:eastAsia="zh-CN"/>
                <w14:textFill>
                  <w14:solidFill>
                    <w14:schemeClr w14:val="tx1"/>
                  </w14:solidFill>
                </w14:textFill>
              </w:rPr>
              <w:t>采购人指定地点。</w:t>
            </w:r>
          </w:p>
        </w:tc>
      </w:tr>
      <w:tr w14:paraId="7E1B91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jc w:val="center"/>
        </w:trPr>
        <w:tc>
          <w:tcPr>
            <w:tcW w:w="2858" w:type="dxa"/>
            <w:gridSpan w:val="2"/>
            <w:vAlign w:val="top"/>
          </w:tcPr>
          <w:p w14:paraId="59E5AF02">
            <w:pPr>
              <w:pageBreakBefore w:val="0"/>
              <w:widowControl w:val="0"/>
              <w:kinsoku/>
              <w:wordWrap/>
              <w:overflowPunct/>
              <w:topLinePunct w:val="0"/>
              <w:bidi w:val="0"/>
              <w:spacing w:before="256" w:line="221" w:lineRule="auto"/>
              <w:ind w:left="1189" w:leftChars="0"/>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pacing w:val="-7"/>
                <w:sz w:val="24"/>
                <w:szCs w:val="24"/>
                <w:highlight w:val="none"/>
                <w14:textFill>
                  <w14:solidFill>
                    <w14:schemeClr w14:val="tx1"/>
                  </w14:solidFill>
                </w14:textFill>
              </w:rPr>
              <w:t>备注</w:t>
            </w:r>
          </w:p>
        </w:tc>
        <w:tc>
          <w:tcPr>
            <w:tcW w:w="7051" w:type="dxa"/>
            <w:vAlign w:val="center"/>
          </w:tcPr>
          <w:p w14:paraId="59FDF418">
            <w:pPr>
              <w:spacing w:after="120"/>
              <w:jc w:val="center"/>
              <w:rPr>
                <w:color w:val="000000" w:themeColor="text1"/>
                <w:lang w:eastAsia="zh-CN"/>
                <w14:textFill>
                  <w14:solidFill>
                    <w14:schemeClr w14:val="tx1"/>
                  </w14:solidFill>
                </w14:textFill>
              </w:rPr>
            </w:pPr>
          </w:p>
        </w:tc>
      </w:tr>
    </w:tbl>
    <w:p w14:paraId="520F47D7">
      <w:pPr>
        <w:pStyle w:val="3"/>
        <w:rPr>
          <w:rFonts w:eastAsiaTheme="minorEastAsia"/>
          <w:color w:val="000000" w:themeColor="text1"/>
          <w:lang w:eastAsia="zh-CN"/>
          <w14:textFill>
            <w14:solidFill>
              <w14:schemeClr w14:val="tx1"/>
            </w14:solidFill>
          </w14:textFill>
        </w:rPr>
      </w:pPr>
    </w:p>
    <w:p w14:paraId="2966A68F">
      <w:pPr>
        <w:pStyle w:val="3"/>
        <w:rPr>
          <w:rFonts w:eastAsiaTheme="minorEastAsia"/>
          <w:color w:val="000000" w:themeColor="text1"/>
          <w:lang w:eastAsia="zh-CN"/>
          <w14:textFill>
            <w14:solidFill>
              <w14:schemeClr w14:val="tx1"/>
            </w14:solidFill>
          </w14:textFill>
        </w:rPr>
      </w:pPr>
    </w:p>
    <w:p w14:paraId="55D6480D">
      <w:pPr>
        <w:pStyle w:val="3"/>
        <w:rPr>
          <w:rFonts w:eastAsiaTheme="minorEastAsia"/>
          <w:color w:val="000000" w:themeColor="text1"/>
          <w:lang w:eastAsia="zh-CN"/>
          <w14:textFill>
            <w14:solidFill>
              <w14:schemeClr w14:val="tx1"/>
            </w14:solidFill>
          </w14:textFill>
        </w:rPr>
      </w:pPr>
    </w:p>
    <w:p w14:paraId="0C8E9214">
      <w:pPr>
        <w:pStyle w:val="3"/>
        <w:rPr>
          <w:rFonts w:eastAsiaTheme="minorEastAsia"/>
          <w:color w:val="000000" w:themeColor="text1"/>
          <w:lang w:eastAsia="zh-CN"/>
          <w14:textFill>
            <w14:solidFill>
              <w14:schemeClr w14:val="tx1"/>
            </w14:solidFill>
          </w14:textFill>
        </w:rPr>
      </w:pPr>
    </w:p>
    <w:p w14:paraId="2FFE2D6D">
      <w:pPr>
        <w:pStyle w:val="3"/>
        <w:rPr>
          <w:rFonts w:eastAsiaTheme="minorEastAsia"/>
          <w:color w:val="000000" w:themeColor="text1"/>
          <w:lang w:eastAsia="zh-CN"/>
          <w14:textFill>
            <w14:solidFill>
              <w14:schemeClr w14:val="tx1"/>
            </w14:solidFill>
          </w14:textFill>
        </w:rPr>
      </w:pPr>
    </w:p>
    <w:p w14:paraId="3FF7B7BC">
      <w:pPr>
        <w:pStyle w:val="3"/>
        <w:rPr>
          <w:rFonts w:eastAsiaTheme="minorEastAsia"/>
          <w:color w:val="000000" w:themeColor="text1"/>
          <w:lang w:eastAsia="zh-CN"/>
          <w14:textFill>
            <w14:solidFill>
              <w14:schemeClr w14:val="tx1"/>
            </w14:solidFill>
          </w14:textFill>
        </w:rPr>
      </w:pPr>
    </w:p>
    <w:p w14:paraId="70E5EB6A">
      <w:pPr>
        <w:widowControl w:val="0"/>
        <w:kinsoku/>
        <w:rPr>
          <w:color w:val="000000" w:themeColor="text1"/>
          <w14:textFill>
            <w14:solidFill>
              <w14:schemeClr w14:val="tx1"/>
            </w14:solidFill>
          </w14:textFill>
        </w:rPr>
        <w:sectPr>
          <w:footerReference r:id="rId3" w:type="default"/>
          <w:pgSz w:w="11906" w:h="16839"/>
          <w:pgMar w:top="1429" w:right="1786" w:bottom="1429" w:left="1786" w:header="0" w:footer="994" w:gutter="0"/>
          <w:cols w:space="720" w:num="1"/>
        </w:sectPr>
      </w:pPr>
    </w:p>
    <w:p w14:paraId="16E5CDD9">
      <w:pPr>
        <w:widowControl w:val="0"/>
        <w:kinsoku/>
        <w:spacing w:before="47" w:line="219" w:lineRule="auto"/>
        <w:jc w:val="center"/>
        <w:outlineLvl w:val="1"/>
        <w:rPr>
          <w:rFonts w:hint="eastAsia" w:ascii="宋体" w:hAnsi="宋体" w:eastAsia="宋体" w:cs="宋体"/>
          <w:b/>
          <w:color w:val="000000" w:themeColor="text1"/>
          <w:spacing w:val="-2"/>
          <w:sz w:val="28"/>
          <w:szCs w:val="24"/>
          <w:lang w:val="en-US" w:eastAsia="zh-CN"/>
          <w14:textFill>
            <w14:solidFill>
              <w14:schemeClr w14:val="tx1"/>
            </w14:solidFill>
          </w14:textFill>
        </w:rPr>
      </w:pPr>
      <w:bookmarkStart w:id="1" w:name="bookmark81"/>
      <w:bookmarkEnd w:id="1"/>
      <w:bookmarkStart w:id="2" w:name="_Toc19467"/>
      <w:r>
        <w:rPr>
          <w:rFonts w:ascii="宋体" w:hAnsi="宋体" w:eastAsia="宋体" w:cs="宋体"/>
          <w:b/>
          <w:color w:val="000000" w:themeColor="text1"/>
          <w:spacing w:val="-2"/>
          <w:sz w:val="28"/>
          <w:szCs w:val="24"/>
          <w:lang w:eastAsia="zh-CN"/>
          <w14:textFill>
            <w14:solidFill>
              <w14:schemeClr w14:val="tx1"/>
            </w14:solidFill>
          </w14:textFill>
        </w:rPr>
        <w:t>二、采购</w:t>
      </w:r>
      <w:bookmarkEnd w:id="2"/>
      <w:r>
        <w:rPr>
          <w:rFonts w:hint="eastAsia" w:ascii="宋体" w:hAnsi="宋体" w:eastAsia="宋体" w:cs="宋体"/>
          <w:b/>
          <w:color w:val="000000" w:themeColor="text1"/>
          <w:spacing w:val="-2"/>
          <w:sz w:val="28"/>
          <w:szCs w:val="24"/>
          <w:lang w:val="en-US" w:eastAsia="zh-CN"/>
          <w14:textFill>
            <w14:solidFill>
              <w14:schemeClr w14:val="tx1"/>
            </w14:solidFill>
          </w14:textFill>
        </w:rPr>
        <w:t>需求</w:t>
      </w:r>
    </w:p>
    <w:p w14:paraId="4D2FF1A4">
      <w:pPr>
        <w:pStyle w:val="2"/>
        <w:rPr>
          <w:color w:val="000000" w:themeColor="text1"/>
          <w:lang w:eastAsia="zh-CN"/>
          <w14:textFill>
            <w14:solidFill>
              <w14:schemeClr w14:val="tx1"/>
            </w14:solidFill>
          </w14:textFill>
        </w:rPr>
      </w:pPr>
    </w:p>
    <w:p w14:paraId="2DF6B8A4">
      <w:pPr>
        <w:keepNext w:val="0"/>
        <w:keepLines w:val="0"/>
        <w:pageBreakBefore w:val="0"/>
        <w:wordWrap/>
        <w:overflowPunct/>
        <w:topLinePunct w:val="0"/>
        <w:autoSpaceDE w:val="0"/>
        <w:autoSpaceDN w:val="0"/>
        <w:bidi w:val="0"/>
        <w:adjustRightInd w:val="0"/>
        <w:snapToGrid w:val="0"/>
        <w:spacing w:line="360" w:lineRule="auto"/>
        <w:ind w:left="-420" w:leftChars="-200" w:right="-420" w:rightChars="-200" w:firstLine="482" w:firstLineChars="200"/>
        <w:textAlignment w:val="baseline"/>
        <w:rPr>
          <w:rFonts w:hint="eastAsia" w:asciiTheme="minorEastAsia" w:hAnsiTheme="minorEastAsia" w:eastAsiaTheme="minorEastAsia" w:cstheme="minorEastAsia"/>
          <w:b/>
          <w:bCs/>
          <w:snapToGrid w:val="0"/>
          <w:color w:val="000000" w:themeColor="text1"/>
          <w:sz w:val="24"/>
          <w:szCs w:val="24"/>
          <w:lang w:val="en-US" w:eastAsia="zh-CN" w:bidi="ar-SA"/>
          <w14:textFill>
            <w14:solidFill>
              <w14:schemeClr w14:val="tx1"/>
            </w14:solidFill>
          </w14:textFill>
        </w:rPr>
      </w:pPr>
      <w:r>
        <w:rPr>
          <w:rFonts w:hint="eastAsia" w:asciiTheme="minorEastAsia" w:hAnsiTheme="minorEastAsia" w:eastAsiaTheme="minorEastAsia" w:cstheme="minorEastAsia"/>
          <w:b/>
          <w:bCs/>
          <w:snapToGrid w:val="0"/>
          <w:color w:val="000000" w:themeColor="text1"/>
          <w:sz w:val="24"/>
          <w:szCs w:val="24"/>
          <w:lang w:val="en-US" w:eastAsia="zh-CN" w:bidi="ar-SA"/>
          <w14:textFill>
            <w14:solidFill>
              <w14:schemeClr w14:val="tx1"/>
            </w14:solidFill>
          </w14:textFill>
        </w:rPr>
        <w:t>一、招标技术要求：</w:t>
      </w:r>
    </w:p>
    <w:p w14:paraId="3AD84ED8">
      <w:pPr>
        <w:keepNext w:val="0"/>
        <w:keepLines w:val="0"/>
        <w:pageBreakBefore w:val="0"/>
        <w:wordWrap/>
        <w:overflowPunct/>
        <w:topLinePunct w:val="0"/>
        <w:autoSpaceDE w:val="0"/>
        <w:autoSpaceDN w:val="0"/>
        <w:bidi w:val="0"/>
        <w:adjustRightInd w:val="0"/>
        <w:snapToGrid w:val="0"/>
        <w:spacing w:line="360" w:lineRule="auto"/>
        <w:ind w:left="-420" w:leftChars="-200" w:right="-420" w:rightChars="-200" w:firstLine="482" w:firstLineChars="200"/>
        <w:textAlignment w:val="baseline"/>
        <w:outlineLvl w:val="1"/>
        <w:rPr>
          <w:rFonts w:hint="eastAsia" w:asciiTheme="minorEastAsia" w:hAnsiTheme="minorEastAsia" w:eastAsiaTheme="minorEastAsia" w:cstheme="minorEastAsia"/>
          <w:b/>
          <w:bCs/>
          <w:snapToGrid w:val="0"/>
          <w:color w:val="000000" w:themeColor="text1"/>
          <w:sz w:val="24"/>
          <w:szCs w:val="24"/>
          <w:lang w:val="en-US" w:eastAsia="zh-CN" w:bidi="ar-SA"/>
          <w14:textFill>
            <w14:solidFill>
              <w14:schemeClr w14:val="tx1"/>
            </w14:solidFill>
          </w14:textFill>
        </w:rPr>
      </w:pPr>
      <w:r>
        <w:rPr>
          <w:rFonts w:hint="eastAsia" w:asciiTheme="minorEastAsia" w:hAnsiTheme="minorEastAsia" w:eastAsiaTheme="minorEastAsia" w:cstheme="minorEastAsia"/>
          <w:b/>
          <w:bCs/>
          <w:snapToGrid w:val="0"/>
          <w:color w:val="000000" w:themeColor="text1"/>
          <w:sz w:val="24"/>
          <w:szCs w:val="24"/>
          <w:lang w:val="en-US" w:eastAsia="zh-CN" w:bidi="ar-SA"/>
          <w14:textFill>
            <w14:solidFill>
              <w14:schemeClr w14:val="tx1"/>
            </w14:solidFill>
          </w14:textFill>
        </w:rPr>
        <w:t xml:space="preserve">1、技术内容 </w:t>
      </w:r>
    </w:p>
    <w:p w14:paraId="4CEFB14F">
      <w:pPr>
        <w:keepNext w:val="0"/>
        <w:keepLines w:val="0"/>
        <w:pageBreakBefore w:val="0"/>
        <w:widowControl w:val="0"/>
        <w:kinsoku/>
        <w:wordWrap/>
        <w:overflowPunct/>
        <w:topLinePunct w:val="0"/>
        <w:autoSpaceDE w:val="0"/>
        <w:autoSpaceDN w:val="0"/>
        <w:bidi w:val="0"/>
        <w:adjustRightInd w:val="0"/>
        <w:snapToGrid w:val="0"/>
        <w:spacing w:line="360" w:lineRule="auto"/>
        <w:ind w:left="-420" w:leftChars="-200" w:right="-420" w:rightChars="-200" w:firstLine="448" w:firstLineChars="200"/>
        <w:textAlignment w:val="baseline"/>
        <w:rPr>
          <w:rFonts w:hint="eastAsia"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（1）</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3号膜池</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 xml:space="preserve">旧膜拆除：需包含旧膜组件的安全拆卸、运输及合规处置要求。  </w:t>
      </w:r>
    </w:p>
    <w:p w14:paraId="249F36BD">
      <w:pPr>
        <w:keepNext w:val="0"/>
        <w:keepLines w:val="0"/>
        <w:pageBreakBefore w:val="0"/>
        <w:widowControl w:val="0"/>
        <w:kinsoku/>
        <w:wordWrap/>
        <w:overflowPunct/>
        <w:topLinePunct w:val="0"/>
        <w:autoSpaceDE w:val="0"/>
        <w:autoSpaceDN w:val="0"/>
        <w:bidi w:val="0"/>
        <w:adjustRightInd w:val="0"/>
        <w:snapToGrid w:val="0"/>
        <w:spacing w:line="360" w:lineRule="auto"/>
        <w:ind w:left="-420" w:leftChars="-200" w:right="-420" w:rightChars="-200" w:firstLine="448" w:firstLineChars="20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（2）</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3号膜池</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新膜采购与安装：更换3组MBR膜系统，更换后3组总共满足</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总产水量≥65</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m³/h，</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且质保期内不能低于此流量指标。</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总膜面积≥5400平方米/套，膜材质要求：PVDF（聚偏氟乙烯）或同等及以上性能材料，抗污染、耐化学腐蚀。膜机架材质要求：不锈钢304。</w:t>
      </w:r>
    </w:p>
    <w:p w14:paraId="4CE84FDD">
      <w:pPr>
        <w:keepNext w:val="0"/>
        <w:keepLines w:val="0"/>
        <w:pageBreakBefore w:val="0"/>
        <w:widowControl w:val="0"/>
        <w:kinsoku/>
        <w:wordWrap/>
        <w:overflowPunct/>
        <w:topLinePunct w:val="0"/>
        <w:autoSpaceDE w:val="0"/>
        <w:autoSpaceDN w:val="0"/>
        <w:bidi w:val="0"/>
        <w:adjustRightInd w:val="0"/>
        <w:snapToGrid w:val="0"/>
        <w:spacing w:line="360" w:lineRule="auto"/>
        <w:ind w:left="-420" w:leftChars="-200" w:right="-420" w:rightChars="-200" w:firstLine="448" w:firstLineChars="200"/>
        <w:textAlignment w:val="baseline"/>
        <w:rPr>
          <w:rFonts w:hint="eastAsia"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w:t>
      </w:r>
      <w:r>
        <w:rPr>
          <w:rFonts w:ascii="宋体" w:hAnsi="宋体" w:eastAsia="宋体" w:cs="宋体"/>
          <w:color w:val="000000" w:themeColor="text1"/>
          <w:spacing w:val="-8"/>
          <w:sz w:val="24"/>
          <w:szCs w:val="24"/>
          <w:highlight w:val="none"/>
          <w:lang w:eastAsia="zh-CN"/>
          <w14:textFill>
            <w14:solidFill>
              <w14:schemeClr w14:val="tx1"/>
            </w14:solidFill>
          </w14:textFill>
        </w:rPr>
        <w:t>3</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1号膜池</w:t>
      </w:r>
      <w:r>
        <w:rPr>
          <w:rFonts w:ascii="宋体" w:hAnsi="宋体" w:eastAsia="宋体" w:cs="宋体"/>
          <w:color w:val="000000" w:themeColor="text1"/>
          <w:spacing w:val="-8"/>
          <w:sz w:val="24"/>
          <w:szCs w:val="24"/>
          <w:highlight w:val="none"/>
          <w:lang w:eastAsia="zh-CN"/>
          <w14:textFill>
            <w14:solidFill>
              <w14:schemeClr w14:val="tx1"/>
            </w14:solidFill>
          </w14:textFill>
        </w:rPr>
        <w:t>MBR</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膜</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离线</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清洗：</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3组</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MBR膜组件离线化学清洗全部作业内容，包含膜机架吊装吊出作业、清洗所需全部化学药剂供货、现场人工实施整套清洗工序, MBR膜组件清洗完毕回装投运后，系统稳定</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总产水量≥50</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m³/h，产水浊度控制在1NTU以内。</w:t>
      </w:r>
    </w:p>
    <w:p w14:paraId="338DAD2D">
      <w:pPr>
        <w:keepNext w:val="0"/>
        <w:keepLines w:val="0"/>
        <w:pageBreakBefore w:val="0"/>
        <w:widowControl w:val="0"/>
        <w:kinsoku/>
        <w:wordWrap/>
        <w:overflowPunct/>
        <w:topLinePunct w:val="0"/>
        <w:autoSpaceDE w:val="0"/>
        <w:autoSpaceDN w:val="0"/>
        <w:bidi w:val="0"/>
        <w:adjustRightInd w:val="0"/>
        <w:snapToGrid w:val="0"/>
        <w:spacing w:line="360" w:lineRule="auto"/>
        <w:ind w:left="-420" w:leftChars="-200" w:right="-420" w:rightChars="-200" w:firstLine="448" w:firstLineChars="200"/>
        <w:textAlignment w:val="baseline"/>
        <w:rPr>
          <w:rFonts w:hint="eastAsia" w:ascii="宋体" w:hAnsi="宋体" w:eastAsia="宋体" w:cs="宋体"/>
          <w:b w:val="0"/>
          <w:bCs w:val="0"/>
          <w:snapToGrid w:val="0"/>
          <w:color w:val="000000" w:themeColor="text1"/>
          <w:spacing w:val="-8"/>
          <w:kern w:val="0"/>
          <w:sz w:val="24"/>
          <w:szCs w:val="24"/>
          <w:highlight w:val="none"/>
          <w:lang w:val="en-US" w:eastAsia="zh-CN" w:bidi="ar-SA"/>
          <w14:textFill>
            <w14:solidFill>
              <w14:schemeClr w14:val="tx1"/>
            </w14:solidFill>
          </w14:textFill>
        </w:rPr>
      </w:pPr>
      <w:r>
        <w:rPr>
          <w:rFonts w:hint="eastAsia" w:ascii="宋体" w:hAnsi="宋体" w:eastAsia="宋体" w:cs="宋体"/>
          <w:b w:val="0"/>
          <w:bCs w:val="0"/>
          <w:snapToGrid w:val="0"/>
          <w:color w:val="000000" w:themeColor="text1"/>
          <w:spacing w:val="-8"/>
          <w:kern w:val="0"/>
          <w:sz w:val="24"/>
          <w:szCs w:val="24"/>
          <w:highlight w:val="none"/>
          <w:lang w:val="en-US" w:eastAsia="zh-CN" w:bidi="ar-SA"/>
          <w14:textFill>
            <w14:solidFill>
              <w14:schemeClr w14:val="tx1"/>
            </w14:solidFill>
          </w14:textFill>
        </w:rPr>
        <w:t>3号膜池MBR膜运行一年后提供一次免费离线清洗：3组MBR膜组件离线化学清洗全部作业内容，包含膜机架吊装吊出作业、清洗所需全部化学药剂供货、现场人工实施整套清洗工序。</w:t>
      </w:r>
    </w:p>
    <w:p w14:paraId="73688ED3">
      <w:pPr>
        <w:keepNext w:val="0"/>
        <w:keepLines w:val="0"/>
        <w:pageBreakBefore w:val="0"/>
        <w:widowControl w:val="0"/>
        <w:kinsoku/>
        <w:wordWrap/>
        <w:overflowPunct/>
        <w:topLinePunct w:val="0"/>
        <w:autoSpaceDE w:val="0"/>
        <w:autoSpaceDN w:val="0"/>
        <w:bidi w:val="0"/>
        <w:adjustRightInd w:val="0"/>
        <w:snapToGrid w:val="0"/>
        <w:spacing w:line="360" w:lineRule="auto"/>
        <w:ind w:left="-420" w:leftChars="-200" w:right="-420" w:rightChars="-200" w:firstLine="448" w:firstLineChars="200"/>
        <w:textAlignment w:val="baseline"/>
        <w:rPr>
          <w:rFonts w:hint="eastAsia"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新</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MBR膜技术参数要求如下：</w:t>
      </w:r>
    </w:p>
    <w:tbl>
      <w:tblPr>
        <w:tblStyle w:val="6"/>
        <w:tblW w:w="9112"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3273"/>
        <w:gridCol w:w="5839"/>
      </w:tblGrid>
      <w:tr w14:paraId="229F5002">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43" w:hRule="atLeast"/>
          <w:jc w:val="center"/>
        </w:trPr>
        <w:tc>
          <w:tcPr>
            <w:tcW w:w="3273" w:type="dxa"/>
            <w:noWrap w:val="0"/>
            <w:vAlign w:val="center"/>
          </w:tcPr>
          <w:p w14:paraId="24587A8A">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外形</w:t>
            </w:r>
          </w:p>
        </w:tc>
        <w:tc>
          <w:tcPr>
            <w:tcW w:w="5839" w:type="dxa"/>
            <w:noWrap w:val="0"/>
            <w:vAlign w:val="center"/>
          </w:tcPr>
          <w:p w14:paraId="277C9B8D">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浸没式中空纤维膜</w:t>
            </w:r>
          </w:p>
        </w:tc>
      </w:tr>
      <w:tr w14:paraId="6A7C84F9">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73" w:hRule="atLeast"/>
          <w:jc w:val="center"/>
        </w:trPr>
        <w:tc>
          <w:tcPr>
            <w:tcW w:w="3273" w:type="dxa"/>
            <w:noWrap w:val="0"/>
            <w:vAlign w:val="center"/>
          </w:tcPr>
          <w:p w14:paraId="0D121633">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膜丝直径（内/外）</w:t>
            </w:r>
          </w:p>
        </w:tc>
        <w:tc>
          <w:tcPr>
            <w:tcW w:w="5839" w:type="dxa"/>
            <w:noWrap w:val="0"/>
            <w:vAlign w:val="center"/>
          </w:tcPr>
          <w:p w14:paraId="7CCE2B20">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1.0mm/2.0mm</w:t>
            </w:r>
          </w:p>
        </w:tc>
      </w:tr>
      <w:tr w14:paraId="28417A50">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73" w:hRule="atLeast"/>
          <w:jc w:val="center"/>
        </w:trPr>
        <w:tc>
          <w:tcPr>
            <w:tcW w:w="3273" w:type="dxa"/>
            <w:noWrap w:val="0"/>
            <w:vAlign w:val="center"/>
          </w:tcPr>
          <w:p w14:paraId="7577C280">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材质</w:t>
            </w:r>
          </w:p>
        </w:tc>
        <w:tc>
          <w:tcPr>
            <w:tcW w:w="5839" w:type="dxa"/>
            <w:noWrap w:val="0"/>
            <w:vAlign w:val="center"/>
          </w:tcPr>
          <w:p w14:paraId="0CC2765D">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PVDF或同等及以上性能材料</w:t>
            </w:r>
          </w:p>
        </w:tc>
      </w:tr>
      <w:tr w14:paraId="273A9097">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73" w:hRule="atLeast"/>
          <w:jc w:val="center"/>
        </w:trPr>
        <w:tc>
          <w:tcPr>
            <w:tcW w:w="3273" w:type="dxa"/>
            <w:noWrap w:val="0"/>
            <w:vAlign w:val="center"/>
          </w:tcPr>
          <w:p w14:paraId="36C43076">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平均</w:t>
            </w:r>
            <w:r>
              <w:rPr>
                <w:rFonts w:ascii="宋体" w:hAnsi="宋体" w:eastAsia="宋体" w:cs="宋体"/>
                <w:color w:val="000000" w:themeColor="text1"/>
                <w:spacing w:val="-8"/>
                <w:sz w:val="24"/>
                <w:szCs w:val="24"/>
                <w:highlight w:val="none"/>
                <w:lang w:eastAsia="zh-CN"/>
                <w14:textFill>
                  <w14:solidFill>
                    <w14:schemeClr w14:val="tx1"/>
                  </w14:solidFill>
                </w14:textFill>
              </w:rPr>
              <w:t>孔径</w:t>
            </w:r>
          </w:p>
        </w:tc>
        <w:tc>
          <w:tcPr>
            <w:tcW w:w="5839" w:type="dxa"/>
            <w:noWrap w:val="0"/>
            <w:vAlign w:val="center"/>
          </w:tcPr>
          <w:p w14:paraId="3D592052">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0.</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1</w:t>
            </w:r>
            <w:r>
              <w:rPr>
                <w:rFonts w:ascii="宋体" w:hAnsi="宋体" w:eastAsia="宋体" w:cs="宋体"/>
                <w:color w:val="000000" w:themeColor="text1"/>
                <w:spacing w:val="-8"/>
                <w:sz w:val="24"/>
                <w:szCs w:val="24"/>
                <w:highlight w:val="none"/>
                <w:lang w:eastAsia="zh-CN"/>
                <w14:textFill>
                  <w14:solidFill>
                    <w14:schemeClr w14:val="tx1"/>
                  </w14:solidFill>
                </w14:textFill>
              </w:rPr>
              <w:t>μm</w:t>
            </w:r>
          </w:p>
        </w:tc>
      </w:tr>
      <w:tr w14:paraId="63494C68">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73" w:hRule="atLeast"/>
          <w:jc w:val="center"/>
        </w:trPr>
        <w:tc>
          <w:tcPr>
            <w:tcW w:w="3273" w:type="dxa"/>
            <w:noWrap w:val="0"/>
            <w:vAlign w:val="center"/>
          </w:tcPr>
          <w:p w14:paraId="4BCF235E">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孔隙率</w:t>
            </w:r>
          </w:p>
        </w:tc>
        <w:tc>
          <w:tcPr>
            <w:tcW w:w="5839" w:type="dxa"/>
            <w:noWrap w:val="0"/>
            <w:vAlign w:val="center"/>
          </w:tcPr>
          <w:p w14:paraId="209C79B3">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50~70%</w:t>
            </w:r>
          </w:p>
        </w:tc>
      </w:tr>
      <w:tr w14:paraId="154CF5B8">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73" w:hRule="atLeast"/>
          <w:jc w:val="center"/>
        </w:trPr>
        <w:tc>
          <w:tcPr>
            <w:tcW w:w="3273" w:type="dxa"/>
            <w:noWrap w:val="0"/>
            <w:vAlign w:val="center"/>
          </w:tcPr>
          <w:p w14:paraId="6E87B978">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膜丝断裂强度</w:t>
            </w:r>
          </w:p>
        </w:tc>
        <w:tc>
          <w:tcPr>
            <w:tcW w:w="5839" w:type="dxa"/>
            <w:noWrap w:val="0"/>
            <w:vAlign w:val="center"/>
          </w:tcPr>
          <w:p w14:paraId="478CF215">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200</w:t>
            </w:r>
            <w:r>
              <w:rPr>
                <w:rFonts w:ascii="宋体" w:hAnsi="宋体" w:eastAsia="宋体" w:cs="宋体"/>
                <w:color w:val="000000" w:themeColor="text1"/>
                <w:spacing w:val="-8"/>
                <w:sz w:val="24"/>
                <w:szCs w:val="24"/>
                <w:highlight w:val="none"/>
                <w:lang w:eastAsia="zh-CN"/>
                <w14:textFill>
                  <w14:solidFill>
                    <w14:schemeClr w14:val="tx1"/>
                  </w14:solidFill>
                </w14:textFill>
              </w:rPr>
              <w:t xml:space="preserve"> </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N</w:t>
            </w:r>
          </w:p>
        </w:tc>
      </w:tr>
      <w:tr w14:paraId="63D357FA">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73" w:hRule="atLeast"/>
          <w:jc w:val="center"/>
        </w:trPr>
        <w:tc>
          <w:tcPr>
            <w:tcW w:w="3273" w:type="dxa"/>
            <w:noWrap w:val="0"/>
            <w:vAlign w:val="center"/>
          </w:tcPr>
          <w:p w14:paraId="4CAA6E3B">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工作压力</w:t>
            </w:r>
          </w:p>
        </w:tc>
        <w:tc>
          <w:tcPr>
            <w:tcW w:w="5839" w:type="dxa"/>
            <w:noWrap w:val="0"/>
            <w:vAlign w:val="center"/>
          </w:tcPr>
          <w:p w14:paraId="0B5E7C11">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-0.01～-0.05 MPa（负压抽吸）</w:t>
            </w:r>
          </w:p>
        </w:tc>
      </w:tr>
      <w:tr w14:paraId="042E597F">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01" w:hRule="atLeast"/>
          <w:jc w:val="center"/>
        </w:trPr>
        <w:tc>
          <w:tcPr>
            <w:tcW w:w="3273" w:type="dxa"/>
            <w:noWrap w:val="0"/>
            <w:vAlign w:val="center"/>
          </w:tcPr>
          <w:p w14:paraId="6A9D8ABA">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出水</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浊度</w:t>
            </w:r>
          </w:p>
        </w:tc>
        <w:tc>
          <w:tcPr>
            <w:tcW w:w="5839" w:type="dxa"/>
            <w:noWrap w:val="0"/>
            <w:vAlign w:val="center"/>
          </w:tcPr>
          <w:p w14:paraId="1E5A8921">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1NTU</w:t>
            </w:r>
          </w:p>
        </w:tc>
      </w:tr>
      <w:tr w14:paraId="63738F62">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60" w:hRule="atLeast"/>
          <w:jc w:val="center"/>
        </w:trPr>
        <w:tc>
          <w:tcPr>
            <w:tcW w:w="3273" w:type="dxa"/>
            <w:noWrap w:val="0"/>
            <w:vAlign w:val="center"/>
          </w:tcPr>
          <w:p w14:paraId="18DCAA87">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最大进水余氯耐受浓度</w:t>
            </w:r>
          </w:p>
        </w:tc>
        <w:tc>
          <w:tcPr>
            <w:tcW w:w="5839" w:type="dxa"/>
            <w:noWrap w:val="0"/>
            <w:vAlign w:val="center"/>
          </w:tcPr>
          <w:p w14:paraId="70DD0F27">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200ppm</w:t>
            </w:r>
          </w:p>
        </w:tc>
      </w:tr>
      <w:tr w14:paraId="143607BF">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73" w:hRule="atLeast"/>
          <w:jc w:val="center"/>
        </w:trPr>
        <w:tc>
          <w:tcPr>
            <w:tcW w:w="3273" w:type="dxa"/>
            <w:noWrap w:val="0"/>
            <w:vAlign w:val="center"/>
          </w:tcPr>
          <w:p w14:paraId="69D5DBB9">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最大清洗剂余氯耐受浓度</w:t>
            </w:r>
          </w:p>
        </w:tc>
        <w:tc>
          <w:tcPr>
            <w:tcW w:w="5839" w:type="dxa"/>
            <w:noWrap w:val="0"/>
            <w:vAlign w:val="center"/>
          </w:tcPr>
          <w:p w14:paraId="03F440F8">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5000ppm</w:t>
            </w:r>
          </w:p>
        </w:tc>
      </w:tr>
      <w:tr w14:paraId="0CE551E3">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73" w:hRule="atLeast"/>
          <w:jc w:val="center"/>
        </w:trPr>
        <w:tc>
          <w:tcPr>
            <w:tcW w:w="3273" w:type="dxa"/>
            <w:noWrap w:val="0"/>
            <w:vAlign w:val="center"/>
          </w:tcPr>
          <w:p w14:paraId="02CCFF3F">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耐受pH值</w:t>
            </w:r>
          </w:p>
        </w:tc>
        <w:tc>
          <w:tcPr>
            <w:tcW w:w="5839" w:type="dxa"/>
            <w:noWrap w:val="0"/>
            <w:vAlign w:val="center"/>
          </w:tcPr>
          <w:p w14:paraId="28E16464">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pH: 2～11（清洗时1~12）</w:t>
            </w:r>
          </w:p>
        </w:tc>
      </w:tr>
      <w:tr w14:paraId="0DBDD89A">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73" w:hRule="atLeast"/>
          <w:jc w:val="center"/>
        </w:trPr>
        <w:tc>
          <w:tcPr>
            <w:tcW w:w="3273" w:type="dxa"/>
            <w:noWrap w:val="0"/>
            <w:vAlign w:val="center"/>
          </w:tcPr>
          <w:p w14:paraId="667D8F0D">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使用温度</w:t>
            </w:r>
          </w:p>
        </w:tc>
        <w:tc>
          <w:tcPr>
            <w:tcW w:w="5839" w:type="dxa"/>
            <w:noWrap w:val="0"/>
            <w:vAlign w:val="center"/>
          </w:tcPr>
          <w:p w14:paraId="3FA3B930">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5℃～40℃</w:t>
            </w:r>
          </w:p>
        </w:tc>
      </w:tr>
      <w:tr w14:paraId="074926F9">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73" w:hRule="atLeast"/>
          <w:jc w:val="center"/>
        </w:trPr>
        <w:tc>
          <w:tcPr>
            <w:tcW w:w="3273" w:type="dxa"/>
            <w:noWrap w:val="0"/>
            <w:vAlign w:val="center"/>
          </w:tcPr>
          <w:p w14:paraId="245E4D78">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建议气水比</w:t>
            </w:r>
          </w:p>
        </w:tc>
        <w:tc>
          <w:tcPr>
            <w:tcW w:w="5839" w:type="dxa"/>
            <w:noWrap w:val="0"/>
            <w:vAlign w:val="center"/>
          </w:tcPr>
          <w:p w14:paraId="73792AE9">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1</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2</w:t>
            </w:r>
            <w:r>
              <w:rPr>
                <w:rFonts w:ascii="宋体" w:hAnsi="宋体" w:eastAsia="宋体" w:cs="宋体"/>
                <w:color w:val="000000" w:themeColor="text1"/>
                <w:spacing w:val="-8"/>
                <w:sz w:val="24"/>
                <w:szCs w:val="24"/>
                <w:highlight w:val="none"/>
                <w:lang w:eastAsia="zh-CN"/>
                <w14:textFill>
                  <w14:solidFill>
                    <w14:schemeClr w14:val="tx1"/>
                  </w14:solidFill>
                </w14:textFill>
              </w:rPr>
              <w:t>:1～20:1</w:t>
            </w:r>
          </w:p>
        </w:tc>
      </w:tr>
      <w:tr w14:paraId="782A3B5D">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73" w:hRule="atLeast"/>
          <w:jc w:val="center"/>
        </w:trPr>
        <w:tc>
          <w:tcPr>
            <w:tcW w:w="3273" w:type="dxa"/>
            <w:noWrap w:val="0"/>
            <w:vAlign w:val="center"/>
          </w:tcPr>
          <w:p w14:paraId="7F5564DB">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保存方法</w:t>
            </w:r>
          </w:p>
        </w:tc>
        <w:tc>
          <w:tcPr>
            <w:tcW w:w="5839" w:type="dxa"/>
            <w:noWrap w:val="0"/>
            <w:vAlign w:val="center"/>
          </w:tcPr>
          <w:p w14:paraId="0B66FA17">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干态保存</w:t>
            </w:r>
          </w:p>
        </w:tc>
      </w:tr>
      <w:tr w14:paraId="12EF8BD8">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60" w:hRule="atLeast"/>
          <w:jc w:val="center"/>
        </w:trPr>
        <w:tc>
          <w:tcPr>
            <w:tcW w:w="3273" w:type="dxa"/>
            <w:noWrap w:val="0"/>
            <w:vAlign w:val="center"/>
          </w:tcPr>
          <w:p w14:paraId="4E4B8B26">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ascii="宋体" w:hAnsi="宋体" w:eastAsia="宋体" w:cs="宋体"/>
                <w:color w:val="000000" w:themeColor="text1"/>
                <w:spacing w:val="-8"/>
                <w:sz w:val="24"/>
                <w:szCs w:val="24"/>
                <w:highlight w:val="none"/>
                <w:lang w:eastAsia="zh-CN"/>
                <w14:textFill>
                  <w14:solidFill>
                    <w14:schemeClr w14:val="tx1"/>
                  </w14:solidFill>
                </w14:textFill>
              </w:rPr>
              <w:t>化学清洗药品</w:t>
            </w:r>
          </w:p>
        </w:tc>
        <w:tc>
          <w:tcPr>
            <w:tcW w:w="5839" w:type="dxa"/>
            <w:noWrap w:val="0"/>
            <w:vAlign w:val="center"/>
          </w:tcPr>
          <w:p w14:paraId="527BD9C3">
            <w:pPr>
              <w:keepNext w:val="0"/>
              <w:keepLines w:val="0"/>
              <w:pageBreakBefore w:val="0"/>
              <w:widowControl w:val="0"/>
              <w:kinsoku/>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000000" w:themeColor="text1"/>
                <w:spacing w:val="-8"/>
                <w:sz w:val="24"/>
                <w:szCs w:val="24"/>
                <w:highlight w:val="none"/>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柠檬酸、</w:t>
            </w:r>
            <w:r>
              <w:rPr>
                <w:rFonts w:ascii="宋体" w:hAnsi="宋体" w:eastAsia="宋体" w:cs="宋体"/>
                <w:color w:val="000000" w:themeColor="text1"/>
                <w:spacing w:val="-8"/>
                <w:sz w:val="24"/>
                <w:szCs w:val="24"/>
                <w:highlight w:val="none"/>
                <w:lang w:eastAsia="zh-CN"/>
                <w14:textFill>
                  <w14:solidFill>
                    <w14:schemeClr w14:val="tx1"/>
                  </w14:solidFill>
                </w14:textFill>
              </w:rPr>
              <w:t>N</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a</w:t>
            </w:r>
            <w:r>
              <w:rPr>
                <w:rFonts w:ascii="宋体" w:hAnsi="宋体" w:eastAsia="宋体" w:cs="宋体"/>
                <w:color w:val="000000" w:themeColor="text1"/>
                <w:spacing w:val="-8"/>
                <w:sz w:val="24"/>
                <w:szCs w:val="24"/>
                <w:highlight w:val="none"/>
                <w:lang w:eastAsia="zh-CN"/>
                <w14:textFill>
                  <w14:solidFill>
                    <w14:schemeClr w14:val="tx1"/>
                  </w14:solidFill>
                </w14:textFill>
              </w:rPr>
              <w:t>C</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l</w:t>
            </w:r>
            <w:r>
              <w:rPr>
                <w:rFonts w:ascii="宋体" w:hAnsi="宋体" w:eastAsia="宋体" w:cs="宋体"/>
                <w:color w:val="000000" w:themeColor="text1"/>
                <w:spacing w:val="-8"/>
                <w:sz w:val="24"/>
                <w:szCs w:val="24"/>
                <w:highlight w:val="none"/>
                <w:lang w:eastAsia="zh-CN"/>
                <w14:textFill>
                  <w14:solidFill>
                    <w14:schemeClr w14:val="tx1"/>
                  </w14:solidFill>
                </w14:textFill>
              </w:rPr>
              <w:t>O</w:t>
            </w:r>
          </w:p>
        </w:tc>
      </w:tr>
    </w:tbl>
    <w:p w14:paraId="06437B4D">
      <w:pPr>
        <w:keepNext w:val="0"/>
        <w:keepLines w:val="0"/>
        <w:pageBreakBefore w:val="0"/>
        <w:widowControl w:val="0"/>
        <w:kinsoku/>
        <w:wordWrap/>
        <w:overflowPunct/>
        <w:topLinePunct w:val="0"/>
        <w:autoSpaceDE w:val="0"/>
        <w:autoSpaceDN w:val="0"/>
        <w:bidi w:val="0"/>
        <w:adjustRightInd w:val="0"/>
        <w:snapToGrid w:val="0"/>
        <w:spacing w:line="360" w:lineRule="auto"/>
        <w:ind w:left="-420" w:leftChars="-200" w:right="-420" w:rightChars="-200" w:firstLine="448" w:firstLineChars="200"/>
        <w:textAlignment w:val="baseline"/>
        <w:rPr>
          <w:color w:val="000000" w:themeColor="text1"/>
          <w:lang w:eastAsia="zh-CN"/>
          <w14:textFill>
            <w14:solidFill>
              <w14:schemeClr w14:val="tx1"/>
            </w14:solidFill>
          </w14:textFill>
        </w:rPr>
      </w:pPr>
      <w:r>
        <w:rPr>
          <w:rFonts w:hint="eastAsia" w:ascii="宋体" w:hAnsi="宋体" w:eastAsia="宋体" w:cs="宋体"/>
          <w:color w:val="000000" w:themeColor="text1"/>
          <w:spacing w:val="-8"/>
          <w:sz w:val="24"/>
          <w:szCs w:val="24"/>
          <w:highlight w:val="none"/>
          <w:lang w:eastAsia="zh-CN"/>
          <w14:textFill>
            <w14:solidFill>
              <w14:schemeClr w14:val="tx1"/>
            </w14:solidFill>
          </w14:textFill>
        </w:rPr>
        <w:t>（4）做好换膜期间的安全防护及文明施工措施。</w:t>
      </w:r>
    </w:p>
    <w:p w14:paraId="4EAA796D">
      <w:pPr>
        <w:pStyle w:val="4"/>
        <w:keepNext w:val="0"/>
        <w:keepLines w:val="0"/>
        <w:pageBreakBefore w:val="0"/>
        <w:widowControl/>
        <w:wordWrap/>
        <w:overflowPunct/>
        <w:topLinePunct w:val="0"/>
        <w:autoSpaceDE w:val="0"/>
        <w:autoSpaceDN w:val="0"/>
        <w:bidi w:val="0"/>
        <w:adjustRightInd w:val="0"/>
        <w:snapToGrid w:val="0"/>
        <w:spacing w:after="0" w:line="360" w:lineRule="auto"/>
        <w:ind w:left="-420" w:leftChars="-200" w:right="-420" w:rightChars="-200" w:firstLine="482" w:firstLineChars="200"/>
        <w:textAlignment w:val="baseline"/>
        <w:rPr>
          <w:rFonts w:hint="eastAsia" w:asciiTheme="minorEastAsia" w:hAnsiTheme="minorEastAsia" w:eastAsiaTheme="minorEastAsia" w:cstheme="minorEastAsia"/>
          <w:b/>
          <w:bCs/>
          <w:color w:val="000000" w:themeColor="text1"/>
          <w:sz w:val="24"/>
          <w:szCs w:val="24"/>
          <w:lang w:val="en-US" w:eastAsia="zh-CN"/>
          <w14:textFill>
            <w14:solidFill>
              <w14:schemeClr w14:val="tx1"/>
            </w14:solidFill>
          </w14:textFill>
        </w:rPr>
      </w:pPr>
    </w:p>
    <w:p w14:paraId="00E0AE23">
      <w:pPr>
        <w:pStyle w:val="4"/>
        <w:keepNext w:val="0"/>
        <w:keepLines w:val="0"/>
        <w:pageBreakBefore w:val="0"/>
        <w:widowControl/>
        <w:wordWrap/>
        <w:overflowPunct/>
        <w:topLinePunct w:val="0"/>
        <w:autoSpaceDE w:val="0"/>
        <w:autoSpaceDN w:val="0"/>
        <w:bidi w:val="0"/>
        <w:adjustRightInd w:val="0"/>
        <w:snapToGrid w:val="0"/>
        <w:spacing w:after="0" w:line="360" w:lineRule="auto"/>
        <w:ind w:left="-420" w:leftChars="-200" w:right="-420" w:rightChars="-200" w:firstLine="482" w:firstLineChars="200"/>
        <w:textAlignment w:val="baseline"/>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lang w:val="en-US" w:eastAsia="zh-CN"/>
          <w14:textFill>
            <w14:solidFill>
              <w14:schemeClr w14:val="tx1"/>
            </w14:solidFill>
          </w14:textFill>
        </w:rPr>
        <w:t>2.项目总体要求</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 xml:space="preserve">： </w:t>
      </w:r>
    </w:p>
    <w:p w14:paraId="6D7F61C3">
      <w:pPr>
        <w:pStyle w:val="4"/>
        <w:keepNext w:val="0"/>
        <w:keepLines w:val="0"/>
        <w:pageBreakBefore w:val="0"/>
        <w:widowControl/>
        <w:wordWrap/>
        <w:overflowPunct/>
        <w:topLinePunct w:val="0"/>
        <w:autoSpaceDE w:val="0"/>
        <w:autoSpaceDN w:val="0"/>
        <w:bidi w:val="0"/>
        <w:adjustRightInd w:val="0"/>
        <w:snapToGrid w:val="0"/>
        <w:spacing w:after="0" w:line="360" w:lineRule="auto"/>
        <w:ind w:left="-420" w:leftChars="-200" w:right="-420" w:rightChars="-200" w:firstLine="480" w:firstLineChars="200"/>
        <w:textAlignment w:val="baseline"/>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1）将3号膜池内一套（3组）膜组件拆除移至甲方指定地点，采购满足要求的全新的MBR膜组件一套（3组），将全新的3组MBR膜组件安装于3号膜池(包含安装所需的管道及其配件以及膜组件安装），总产水量≥65㎡/h，</w:t>
      </w:r>
      <w:r>
        <w:rPr>
          <w:rFonts w:hint="eastAsia" w:ascii="宋体" w:hAnsi="宋体" w:eastAsia="宋体" w:cs="宋体"/>
          <w:color w:val="000000" w:themeColor="text1"/>
          <w:spacing w:val="-8"/>
          <w:sz w:val="24"/>
          <w:szCs w:val="24"/>
          <w:highlight w:val="none"/>
          <w:lang w:val="en-US" w:eastAsia="zh-CN"/>
          <w14:textFill>
            <w14:solidFill>
              <w14:schemeClr w14:val="tx1"/>
            </w14:solidFill>
          </w14:textFill>
        </w:rPr>
        <w:t>且质保期内不能低于此流量指标；</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离线清洗1号膜池的一套（3组）膜组件，离线清洗后的膜组件安装回原膜池内，3号膜池内新膜组运行一年后提供一次免费离线清洗。</w:t>
      </w:r>
    </w:p>
    <w:p w14:paraId="2717011F">
      <w:pPr>
        <w:pStyle w:val="4"/>
        <w:keepNext w:val="0"/>
        <w:keepLines w:val="0"/>
        <w:pageBreakBefore w:val="0"/>
        <w:widowControl/>
        <w:wordWrap/>
        <w:overflowPunct/>
        <w:topLinePunct w:val="0"/>
        <w:autoSpaceDE w:val="0"/>
        <w:autoSpaceDN w:val="0"/>
        <w:bidi w:val="0"/>
        <w:adjustRightInd w:val="0"/>
        <w:snapToGrid w:val="0"/>
        <w:spacing w:after="0" w:line="360" w:lineRule="auto"/>
        <w:ind w:left="-420" w:leftChars="-200" w:right="-420" w:rightChars="-200" w:firstLine="480" w:firstLineChars="200"/>
        <w:textAlignment w:val="baseline"/>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2）投标人提供的MBR膜组件要与原有系统良好融合，不调整运行工艺，接口与原有系统接口良好对接，使用性能不低于原有MBR系统；投标人须具备成熟的现场安装方案制定、施工组织实施能力，可完成膜组件吊装、密封装配、管路连接、电气调试及与原有系统的兼容对接，确保系统安装后稳定达标运行。</w:t>
      </w:r>
    </w:p>
    <w:p w14:paraId="0E8F3E55">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2" w:firstLineChars="200"/>
        <w:jc w:val="left"/>
        <w:textAlignment w:val="baseline"/>
        <w:rPr>
          <w:color w:val="000000" w:themeColor="text1"/>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lang w:val="en-US" w:eastAsia="zh-CN"/>
          <w14:textFill>
            <w14:solidFill>
              <w14:schemeClr w14:val="tx1"/>
            </w14:solidFill>
          </w14:textFill>
        </w:rPr>
        <w:t>3.</w:t>
      </w:r>
      <w:r>
        <w:rPr>
          <w:rFonts w:hint="eastAsia" w:ascii="宋体" w:hAnsi="宋体" w:eastAsia="宋体" w:cs="宋体"/>
          <w:b/>
          <w:bCs/>
          <w:snapToGrid w:val="0"/>
          <w:color w:val="000000" w:themeColor="text1"/>
          <w:kern w:val="0"/>
          <w:sz w:val="24"/>
          <w:szCs w:val="24"/>
          <w:lang w:val="en-US" w:eastAsia="zh-CN" w:bidi="ar"/>
          <w14:textFill>
            <w14:solidFill>
              <w14:schemeClr w14:val="tx1"/>
            </w14:solidFill>
          </w14:textFill>
        </w:rPr>
        <w:t xml:space="preserve">供货要求： </w:t>
      </w:r>
    </w:p>
    <w:p w14:paraId="3FE99FB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1）中标人负责完整的MBR膜系统设备，包括但不限于MBR膜组件、膜框架及配套固定连接件、反洗泵、阀门、现场管材辅件、配电控制及控制电缆(配电控制至对应用电设备、现场按钮箱、现场控制箱、由现场按钮箱至对应用电设备的信号及控制电缆，含桥架、穿线管、支架、安装紧固件等安装辅材)配套提供设备安装紧固件、备品备件、安装附件等的供货、安装、调试；</w:t>
      </w:r>
    </w:p>
    <w:p w14:paraId="53D13F68">
      <w:pPr>
        <w:pStyle w:val="3"/>
        <w:keepNext w:val="0"/>
        <w:keepLines w:val="0"/>
        <w:pageBreakBefore w:val="0"/>
        <w:widowControl/>
        <w:kinsoku w:val="0"/>
        <w:wordWrap/>
        <w:overflowPunct/>
        <w:topLinePunct w:val="0"/>
        <w:autoSpaceDE w:val="0"/>
        <w:autoSpaceDN w:val="0"/>
        <w:bidi w:val="0"/>
        <w:adjustRightInd w:val="0"/>
        <w:snapToGrid w:val="0"/>
        <w:spacing w:after="0" w:line="360" w:lineRule="auto"/>
        <w:ind w:left="-420" w:leftChars="-200" w:right="-420" w:rightChars="-200" w:firstLine="420" w:firstLineChars="200"/>
        <w:textAlignment w:val="baseline"/>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pPr>
      <w:r>
        <w:rPr>
          <w:rFonts w:hint="eastAsia"/>
          <w:color w:val="000000" w:themeColor="text1"/>
          <w:lang w:val="en-US" w:eastAsia="zh-CN"/>
          <w14:textFill>
            <w14:solidFill>
              <w14:schemeClr w14:val="tx1"/>
            </w14:solidFill>
          </w14:textFill>
        </w:rPr>
        <w:t>（</w:t>
      </w: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2）更换MBR 膜组件至产水泵、产水泵出水管及其配套阀门、法兰、支架等由中标人供货及安装；反冲洗泵进水管，反冲洗泵至新增 MBR膜组件的反冲洗水管及其配套阀门、法兰、支架等由中标人供货及安装； </w:t>
      </w:r>
    </w:p>
    <w:p w14:paraId="60A01EBC">
      <w:pPr>
        <w:pStyle w:val="3"/>
        <w:keepNext w:val="0"/>
        <w:keepLines w:val="0"/>
        <w:pageBreakBefore w:val="0"/>
        <w:widowControl/>
        <w:kinsoku w:val="0"/>
        <w:wordWrap/>
        <w:overflowPunct/>
        <w:topLinePunct w:val="0"/>
        <w:autoSpaceDE w:val="0"/>
        <w:autoSpaceDN w:val="0"/>
        <w:bidi w:val="0"/>
        <w:adjustRightInd w:val="0"/>
        <w:snapToGrid w:val="0"/>
        <w:spacing w:after="0" w:line="360" w:lineRule="auto"/>
        <w:ind w:left="-420" w:leftChars="-200" w:right="-420" w:rightChars="-200" w:firstLine="480" w:firstLineChars="200"/>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（3）设备清单所列设备仅为主要设备，为确保成套设备正常运行，投标人应提供配套的设备、管线及配件、电控柜、安装所需的全部紧固件等的供货、安装及调试。</w:t>
      </w:r>
    </w:p>
    <w:p w14:paraId="2873261A">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2" w:firstLineChars="200"/>
        <w:jc w:val="left"/>
        <w:textAlignment w:val="baseline"/>
        <w:rPr>
          <w:color w:val="000000" w:themeColor="text1"/>
          <w14:textFill>
            <w14:solidFill>
              <w14:schemeClr w14:val="tx1"/>
            </w14:solidFill>
          </w14:textFill>
        </w:rPr>
      </w:pPr>
      <w:r>
        <w:rPr>
          <w:rFonts w:hint="eastAsia" w:ascii="宋体" w:hAnsi="宋体" w:eastAsia="宋体" w:cs="宋体"/>
          <w:b/>
          <w:bCs/>
          <w:snapToGrid w:val="0"/>
          <w:color w:val="000000" w:themeColor="text1"/>
          <w:kern w:val="0"/>
          <w:sz w:val="24"/>
          <w:szCs w:val="24"/>
          <w:lang w:val="en-US" w:eastAsia="zh-CN" w:bidi="ar"/>
          <w14:textFill>
            <w14:solidFill>
              <w14:schemeClr w14:val="tx1"/>
            </w14:solidFill>
          </w14:textFill>
        </w:rPr>
        <w:t xml:space="preserve">4、拆卸要求： </w:t>
      </w:r>
    </w:p>
    <w:p w14:paraId="06540EAF">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（1）安全前置：停机后切断膜系统电源、关闭进出水/曝气/抽吸管路阀门，泄压至常压；作业区通风换气，配备防酸碱手套、护目镜等防护装备，严禁明火。 </w:t>
      </w:r>
    </w:p>
    <w:p w14:paraId="2F915B64">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（2）预处理准备：排空膜池内污水至膜组件下方10~20cm，用清水冲洗膜组件表面浮泥，避免拆卸时污泥堵塞管路或污染环境。 </w:t>
      </w:r>
    </w:p>
    <w:p w14:paraId="1E40BA0E">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（3）规范拆卸流程：先拆除膜组件的抽吸管、曝气管、产水管等连接件（做好接口标识，避免混淆），再松开固定支架螺栓；多人协同搬运，禁止拖拽膜丝（防止断裂） </w:t>
      </w:r>
    </w:p>
    <w:p w14:paraId="5E5AB731">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，按膜池尺寸有序移出组件。 </w:t>
      </w:r>
    </w:p>
    <w:p w14:paraId="69A7CB01">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（4）组件保护：拆卸后的旧膜需密封包裹（防止膜丝受损、污染物泄漏），分类堆放于指定区域，避免挤压碰撞。 </w:t>
      </w:r>
    </w:p>
    <w:p w14:paraId="3B08D377">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rFonts w:hint="default" w:asciiTheme="minorEastAsia" w:hAnsiTheme="minorEastAsia" w:eastAsiaTheme="minorEastAsia" w:cstheme="minorEastAsia"/>
          <w:color w:val="000000" w:themeColor="text1"/>
          <w:sz w:val="24"/>
          <w:szCs w:val="24"/>
          <w:lang w:val="en-US" w:eastAsia="zh-CN"/>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（5）现场清理与环保：拆卸后冲洗膜池内壁、支架及管路残留污泥，污水回流至生化池；旧膜按危废管理要求，交由具备资质的单位合规处置，留存处置记录。</w:t>
      </w:r>
    </w:p>
    <w:p w14:paraId="779C1C1B">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2" w:firstLineChars="200"/>
        <w:jc w:val="left"/>
        <w:textAlignment w:val="baseline"/>
        <w:rPr>
          <w:color w:val="000000" w:themeColor="text1"/>
          <w14:textFill>
            <w14:solidFill>
              <w14:schemeClr w14:val="tx1"/>
            </w14:solidFill>
          </w14:textFill>
        </w:rPr>
      </w:pPr>
      <w:r>
        <w:rPr>
          <w:rFonts w:hint="eastAsia" w:ascii="宋体" w:hAnsi="宋体" w:eastAsia="宋体" w:cs="宋体"/>
          <w:b/>
          <w:bCs/>
          <w:snapToGrid w:val="0"/>
          <w:color w:val="000000" w:themeColor="text1"/>
          <w:kern w:val="0"/>
          <w:sz w:val="24"/>
          <w:szCs w:val="24"/>
          <w:lang w:val="en-US" w:eastAsia="zh-CN" w:bidi="ar"/>
          <w14:textFill>
            <w14:solidFill>
              <w14:schemeClr w14:val="tx1"/>
            </w14:solidFill>
          </w14:textFill>
        </w:rPr>
        <w:t xml:space="preserve">5、安装要求： </w:t>
      </w:r>
    </w:p>
    <w:p w14:paraId="0D5074F1">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（1）安装前置条件：膜池清理干净（无杂物、残留污泥），池体尺寸、支架标高与膜组件匹配；确认曝气系统、抽吸泵、管路接口完好，通电通水测试正常。 </w:t>
      </w:r>
    </w:p>
    <w:p w14:paraId="7CC82FF4">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（2）组件吊装与摆放：用软吊带平稳吊装（避免挤压膜丝），多人协同放入膜池，按原标识对位摆放，确保曝气均匀。 </w:t>
      </w:r>
    </w:p>
    <w:p w14:paraId="727D9C9B">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（3）管路连接规范：依次连接产水管、曝气管、抽吸管，接口缠绕密封带保证无渗漏；连接件与膜组件接口精准匹配，紧固力度适中（防止损坏接口）。 </w:t>
      </w:r>
    </w:p>
    <w:p w14:paraId="5880425F">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rFonts w:hint="eastAsia"/>
          <w:color w:val="000000" w:themeColor="text1"/>
          <w:lang w:val="en-US" w:eastAsia="zh-CN"/>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（4）新采购的膜组件位置应与原组件位置一致，确保后期起吊运维工作正常开展。</w:t>
      </w:r>
    </w:p>
    <w:p w14:paraId="34E3AA5D">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2" w:firstLineChars="200"/>
        <w:jc w:val="left"/>
        <w:textAlignment w:val="baseline"/>
        <w:rPr>
          <w:color w:val="000000" w:themeColor="text1"/>
          <w14:textFill>
            <w14:solidFill>
              <w14:schemeClr w14:val="tx1"/>
            </w14:solidFill>
          </w14:textFill>
        </w:rPr>
      </w:pPr>
      <w:r>
        <w:rPr>
          <w:rFonts w:hint="eastAsia" w:ascii="宋体" w:hAnsi="宋体" w:eastAsia="宋体" w:cs="宋体"/>
          <w:b/>
          <w:bCs/>
          <w:snapToGrid w:val="0"/>
          <w:color w:val="000000" w:themeColor="text1"/>
          <w:kern w:val="0"/>
          <w:sz w:val="24"/>
          <w:szCs w:val="24"/>
          <w:lang w:val="en-US" w:eastAsia="zh-CN" w:bidi="ar"/>
          <w14:textFill>
            <w14:solidFill>
              <w14:schemeClr w14:val="tx1"/>
            </w14:solidFill>
          </w14:textFill>
        </w:rPr>
        <w:t xml:space="preserve">6、人员要求： </w:t>
      </w:r>
    </w:p>
    <w:p w14:paraId="570F1320">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rFonts w:hint="eastAsia"/>
          <w:color w:val="000000" w:themeColor="text1"/>
          <w:lang w:val="en-US" w:eastAsia="zh-CN"/>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投标人须按本项目要求配备人员名单不少于6人，其中项目负责人1人、技术负责人1人、安装专业人员4人，保证项目进度及质量按采购人要求完成。</w:t>
      </w:r>
    </w:p>
    <w:p w14:paraId="02E2CF55">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2" w:firstLineChars="200"/>
        <w:jc w:val="left"/>
        <w:textAlignment w:val="baseline"/>
        <w:rPr>
          <w:color w:val="000000" w:themeColor="text1"/>
          <w14:textFill>
            <w14:solidFill>
              <w14:schemeClr w14:val="tx1"/>
            </w14:solidFill>
          </w14:textFill>
        </w:rPr>
      </w:pPr>
      <w:r>
        <w:rPr>
          <w:rFonts w:hint="eastAsia" w:ascii="宋体" w:hAnsi="宋体" w:eastAsia="宋体" w:cs="宋体"/>
          <w:b/>
          <w:bCs/>
          <w:snapToGrid w:val="0"/>
          <w:color w:val="000000" w:themeColor="text1"/>
          <w:kern w:val="0"/>
          <w:sz w:val="24"/>
          <w:szCs w:val="24"/>
          <w:lang w:val="en-US" w:eastAsia="zh-CN" w:bidi="ar"/>
          <w14:textFill>
            <w14:solidFill>
              <w14:schemeClr w14:val="tx1"/>
            </w14:solidFill>
          </w14:textFill>
        </w:rPr>
        <w:t xml:space="preserve">7、服务要求： </w:t>
      </w:r>
    </w:p>
    <w:p w14:paraId="3A72E1A7">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（1）中标人负责提供更换MBR膜组器的改造方案、技术方案，膜组器的设计、供货、包装、运输至现场、安装、调试、技术服务等，中标人应制定不影响工艺运行的安装调试方案。 </w:t>
      </w:r>
    </w:p>
    <w:p w14:paraId="7CC3C40D">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（2）中标人应考虑现场实际的安装条件，如吊装措施等，并制定合理的不影响工艺运行的安装调试方案。投标人提供的膜组器在保证性能的情况下能够与现有膜系统良好融合。 </w:t>
      </w:r>
    </w:p>
    <w:p w14:paraId="2C4C3818">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（3）中标人中标后应根据现场实际情况提出 MBR 膜的清洗维护方案。 </w:t>
      </w:r>
    </w:p>
    <w:p w14:paraId="785D9098">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rFonts w:hint="eastAsia"/>
          <w:color w:val="000000" w:themeColor="text1"/>
          <w:lang w:val="en-US" w:eastAsia="zh-CN"/>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（4）中标人须提供质量保证和现场指导服务。</w:t>
      </w:r>
    </w:p>
    <w:p w14:paraId="4B5EBFB5">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2" w:firstLineChars="200"/>
        <w:jc w:val="left"/>
        <w:textAlignment w:val="baseline"/>
        <w:rPr>
          <w:color w:val="000000" w:themeColor="text1"/>
          <w14:textFill>
            <w14:solidFill>
              <w14:schemeClr w14:val="tx1"/>
            </w14:solidFill>
          </w14:textFill>
        </w:rPr>
      </w:pPr>
      <w:r>
        <w:rPr>
          <w:rFonts w:hint="eastAsia" w:ascii="宋体" w:hAnsi="宋体" w:eastAsia="宋体" w:cs="宋体"/>
          <w:b/>
          <w:bCs/>
          <w:snapToGrid w:val="0"/>
          <w:color w:val="000000" w:themeColor="text1"/>
          <w:kern w:val="0"/>
          <w:sz w:val="24"/>
          <w:szCs w:val="24"/>
          <w:lang w:val="en-US" w:eastAsia="zh-CN" w:bidi="ar"/>
          <w14:textFill>
            <w14:solidFill>
              <w14:schemeClr w14:val="tx1"/>
            </w14:solidFill>
          </w14:textFill>
        </w:rPr>
        <w:t xml:space="preserve">8、安全要求： </w:t>
      </w:r>
    </w:p>
    <w:p w14:paraId="00EE524B">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（1）作业人员必须佩戴防滑安全鞋、防酸碱手套、护目镜/面罩，池内作业需额外穿戴救生衣，高处吊装作业系好安全带（高挂低用）。 </w:t>
      </w:r>
    </w:p>
    <w:p w14:paraId="773B428F">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（2）吊装与搬运安全：使用额定载荷匹配的软吊带（禁止用钢丝绳直接接触膜组件），吊装指挥信号统一，下方禁止站人；多人协同搬运膜组件，避免拖拽、挤压导致膜丝断裂或人员磕碰。 </w:t>
      </w:r>
    </w:p>
    <w:p w14:paraId="2F031EE8">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（3）用电与设备安全：现场临时用电需符合“三级配电、两级保护”，设备接地良好；曝气、抽吸泵等调试时，先空载试运行，检查无异常再联动，严禁违规操作电气设备。 </w:t>
      </w:r>
    </w:p>
    <w:p w14:paraId="22CC68EC">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w:t>
      </w:r>
      <w:r>
        <w:rPr>
          <w:rFonts w:hint="default" w:ascii="Times New Roman" w:hAnsi="Times New Roman" w:eastAsia="宋体" w:cs="Times New Roman"/>
          <w:snapToGrid w:val="0"/>
          <w:color w:val="000000" w:themeColor="text1"/>
          <w:kern w:val="0"/>
          <w:sz w:val="24"/>
          <w:szCs w:val="24"/>
          <w:lang w:val="en-US" w:eastAsia="zh-CN" w:bidi="ar"/>
          <w14:textFill>
            <w14:solidFill>
              <w14:schemeClr w14:val="tx1"/>
            </w14:solidFill>
          </w14:textFill>
        </w:rPr>
        <w:t>4</w:t>
      </w: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 xml:space="preserve">）现场环境与应急：膜池周边设置安全警示标识、防护栏杆，禁止无关人员进入；配备应急救援物资（救生绳、急救箱、通风设备），明确应急联系人及救援流程，避免溺水、中毒、坠落事故。 </w:t>
      </w:r>
    </w:p>
    <w:p w14:paraId="4D686C72">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w:t>
      </w:r>
      <w:r>
        <w:rPr>
          <w:rFonts w:hint="default" w:ascii="Times New Roman" w:hAnsi="Times New Roman" w:eastAsia="宋体" w:cs="Times New Roman"/>
          <w:snapToGrid w:val="0"/>
          <w:color w:val="000000" w:themeColor="text1"/>
          <w:kern w:val="0"/>
          <w:sz w:val="24"/>
          <w:szCs w:val="24"/>
          <w:lang w:val="en-US" w:eastAsia="zh-CN" w:bidi="ar"/>
          <w14:textFill>
            <w14:solidFill>
              <w14:schemeClr w14:val="tx1"/>
            </w14:solidFill>
          </w14:textFill>
        </w:rPr>
        <w:t>5</w:t>
      </w: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）中标单位在本项目实施期间应加强安全教育，所有与本项目有关的安全责任均由中标单位承担。</w:t>
      </w:r>
    </w:p>
    <w:p w14:paraId="1D50F66D">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2" w:firstLineChars="200"/>
        <w:jc w:val="left"/>
        <w:textAlignment w:val="baseline"/>
        <w:rPr>
          <w:color w:val="000000" w:themeColor="text1"/>
          <w14:textFill>
            <w14:solidFill>
              <w14:schemeClr w14:val="tx1"/>
            </w14:solidFill>
          </w14:textFill>
        </w:rPr>
      </w:pPr>
      <w:r>
        <w:rPr>
          <w:rFonts w:hint="eastAsia" w:ascii="宋体" w:hAnsi="宋体" w:eastAsia="宋体" w:cs="宋体"/>
          <w:b/>
          <w:bCs/>
          <w:snapToGrid w:val="0"/>
          <w:color w:val="000000" w:themeColor="text1"/>
          <w:kern w:val="0"/>
          <w:sz w:val="24"/>
          <w:szCs w:val="24"/>
          <w:lang w:val="en-US" w:eastAsia="zh-CN" w:bidi="ar"/>
          <w14:textFill>
            <w14:solidFill>
              <w14:schemeClr w14:val="tx1"/>
            </w14:solidFill>
          </w14:textFill>
        </w:rPr>
        <w:t xml:space="preserve">9、服务要求： </w:t>
      </w:r>
    </w:p>
    <w:p w14:paraId="136196DF">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（1）响应时效：24小时在线技术咨询，接到故障通知后4小时内给出解决方案，6小时内技术人员到场处置。</w:t>
      </w:r>
    </w:p>
    <w:p w14:paraId="2B1B89CE">
      <w:pPr>
        <w:keepNext w:val="0"/>
        <w:keepLines w:val="0"/>
        <w:pageBreakBefore w:val="0"/>
        <w:widowControl/>
        <w:suppressLineNumbers w:val="0"/>
        <w:wordWrap/>
        <w:overflowPunct/>
        <w:topLinePunct w:val="0"/>
        <w:autoSpaceDE w:val="0"/>
        <w:autoSpaceDN w:val="0"/>
        <w:bidi w:val="0"/>
        <w:adjustRightInd w:val="0"/>
        <w:snapToGrid w:val="0"/>
        <w:spacing w:line="360" w:lineRule="auto"/>
        <w:ind w:left="-420" w:leftChars="-200" w:right="-420" w:rightChars="-200" w:firstLine="480" w:firstLineChars="200"/>
        <w:jc w:val="left"/>
        <w:textAlignment w:val="baseline"/>
        <w:rPr>
          <w:color w:val="000000" w:themeColor="text1"/>
          <w14:textFill>
            <w14:solidFill>
              <w14:schemeClr w14:val="tx1"/>
            </w14:solidFill>
          </w14:textFill>
        </w:rPr>
      </w:pPr>
      <w:r>
        <w:rPr>
          <w:rFonts w:hint="eastAsia" w:ascii="宋体" w:hAnsi="宋体" w:eastAsia="宋体" w:cs="宋体"/>
          <w:snapToGrid w:val="0"/>
          <w:color w:val="000000" w:themeColor="text1"/>
          <w:kern w:val="0"/>
          <w:sz w:val="24"/>
          <w:szCs w:val="24"/>
          <w:lang w:val="en-US" w:eastAsia="zh-CN" w:bidi="ar"/>
          <w14:textFill>
            <w14:solidFill>
              <w14:schemeClr w14:val="tx1"/>
            </w14:solidFill>
          </w14:textFill>
        </w:rPr>
        <w:t>（2）技术保障：提供完整的运维手册，免费开展1-2次现场运维培训（覆盖操作、故障排查、日常保养）。</w:t>
      </w:r>
    </w:p>
    <w:p w14:paraId="1FAFB830">
      <w:pPr>
        <w:pStyle w:val="3"/>
        <w:keepNext w:val="0"/>
        <w:keepLines w:val="0"/>
        <w:pageBreakBefore w:val="0"/>
        <w:widowControl/>
        <w:wordWrap/>
        <w:overflowPunct/>
        <w:topLinePunct w:val="0"/>
        <w:bidi w:val="0"/>
        <w:spacing w:after="0" w:line="300" w:lineRule="exact"/>
        <w:ind w:left="-420" w:leftChars="-200" w:right="-420" w:rightChars="-200" w:firstLine="420" w:firstLineChars="200"/>
        <w:rPr>
          <w:color w:val="000000" w:themeColor="text1"/>
          <w14:textFill>
            <w14:solidFill>
              <w14:schemeClr w14:val="tx1"/>
            </w14:solidFill>
          </w14:textFill>
        </w:rPr>
      </w:pPr>
    </w:p>
    <w:p w14:paraId="62344E18">
      <w:pPr>
        <w:pStyle w:val="3"/>
        <w:keepNext w:val="0"/>
        <w:keepLines w:val="0"/>
        <w:pageBreakBefore w:val="0"/>
        <w:widowControl/>
        <w:wordWrap/>
        <w:overflowPunct/>
        <w:topLinePunct w:val="0"/>
        <w:bidi w:val="0"/>
        <w:spacing w:after="0" w:line="300" w:lineRule="exact"/>
        <w:ind w:left="-420" w:leftChars="-200" w:right="-420" w:rightChars="-200" w:firstLine="420" w:firstLineChars="200"/>
        <w:rPr>
          <w:rFonts w:hint="default"/>
          <w:color w:val="000000" w:themeColor="text1"/>
          <w:lang w:val="en-US"/>
          <w14:textFill>
            <w14:solidFill>
              <w14:schemeClr w14:val="tx1"/>
            </w14:solidFill>
          </w14:textFill>
        </w:rPr>
      </w:pPr>
    </w:p>
    <w:p w14:paraId="178469B0">
      <w:pPr>
        <w:pStyle w:val="3"/>
        <w:keepNext w:val="0"/>
        <w:keepLines w:val="0"/>
        <w:pageBreakBefore w:val="0"/>
        <w:widowControl/>
        <w:wordWrap/>
        <w:overflowPunct/>
        <w:topLinePunct w:val="0"/>
        <w:bidi w:val="0"/>
        <w:spacing w:after="0" w:line="300" w:lineRule="exact"/>
        <w:ind w:left="-420" w:leftChars="-200" w:right="-420" w:rightChars="-200" w:firstLine="420" w:firstLineChars="200"/>
        <w:rPr>
          <w:color w:val="000000" w:themeColor="text1"/>
          <w14:textFill>
            <w14:solidFill>
              <w14:schemeClr w14:val="tx1"/>
            </w14:solidFill>
          </w14:textFill>
        </w:rPr>
      </w:pPr>
    </w:p>
    <w:p w14:paraId="4537FA97">
      <w:pPr>
        <w:pStyle w:val="3"/>
        <w:keepNext w:val="0"/>
        <w:keepLines w:val="0"/>
        <w:pageBreakBefore w:val="0"/>
        <w:widowControl/>
        <w:wordWrap/>
        <w:overflowPunct/>
        <w:topLinePunct w:val="0"/>
        <w:bidi w:val="0"/>
        <w:spacing w:after="0" w:line="300" w:lineRule="exact"/>
        <w:ind w:left="-420" w:leftChars="-200" w:right="-420" w:rightChars="-200" w:firstLine="420" w:firstLineChars="200"/>
        <w:rPr>
          <w:rFonts w:hint="default"/>
          <w:color w:val="000000" w:themeColor="text1"/>
          <w:lang w:val="en-US"/>
          <w14:textFill>
            <w14:solidFill>
              <w14:schemeClr w14:val="tx1"/>
            </w14:solidFill>
          </w14:textFill>
        </w:rPr>
      </w:pPr>
    </w:p>
    <w:p w14:paraId="739E6994">
      <w:pPr>
        <w:pStyle w:val="4"/>
        <w:keepNext w:val="0"/>
        <w:keepLines w:val="0"/>
        <w:pageBreakBefore w:val="0"/>
        <w:widowControl/>
        <w:wordWrap/>
        <w:overflowPunct/>
        <w:topLinePunct w:val="0"/>
        <w:bidi w:val="0"/>
        <w:spacing w:after="0" w:line="300" w:lineRule="exact"/>
        <w:ind w:left="-420" w:leftChars="-200" w:right="-420" w:rightChars="-200" w:firstLine="480" w:firstLineChars="200"/>
        <w:rPr>
          <w:rFonts w:hint="default" w:asciiTheme="minorEastAsia" w:hAnsiTheme="minorEastAsia" w:eastAsiaTheme="minorEastAsia" w:cstheme="minorEastAsia"/>
          <w:color w:val="000000" w:themeColor="text1"/>
          <w:sz w:val="24"/>
          <w:szCs w:val="24"/>
          <w:lang w:val="en-US" w:eastAsia="zh-CN"/>
          <w14:textFill>
            <w14:solidFill>
              <w14:schemeClr w14:val="tx1"/>
            </w14:solidFill>
          </w14:textFill>
        </w:rPr>
      </w:pPr>
    </w:p>
    <w:p w14:paraId="2E17A6CA">
      <w:pPr>
        <w:pStyle w:val="4"/>
        <w:keepNext w:val="0"/>
        <w:keepLines w:val="0"/>
        <w:pageBreakBefore w:val="0"/>
        <w:widowControl/>
        <w:wordWrap/>
        <w:overflowPunct/>
        <w:topLinePunct w:val="0"/>
        <w:bidi w:val="0"/>
        <w:spacing w:after="0" w:line="300" w:lineRule="exact"/>
        <w:ind w:left="-420" w:leftChars="-200" w:right="-420" w:rightChars="-200" w:firstLine="600" w:firstLineChars="200"/>
        <w:rPr>
          <w:color w:val="000000" w:themeColor="text1"/>
          <w14:textFill>
            <w14:solidFill>
              <w14:schemeClr w14:val="tx1"/>
            </w14:solidFill>
          </w14:textFill>
        </w:rPr>
      </w:pPr>
    </w:p>
    <w:p w14:paraId="0A26C81D">
      <w:pPr>
        <w:rPr>
          <w:rFonts w:cs="宋体" w:asciiTheme="minorEastAsia" w:hAnsiTheme="minorEastAsia" w:eastAsiaTheme="minorEastAsia"/>
          <w:b/>
          <w:color w:val="000000" w:themeColor="text1"/>
          <w:sz w:val="24"/>
          <w14:textFill>
            <w14:solidFill>
              <w14:schemeClr w14:val="tx1"/>
            </w14:solidFill>
          </w14:textFill>
        </w:rPr>
      </w:pPr>
      <w:r>
        <w:rPr>
          <w:rFonts w:cs="宋体" w:asciiTheme="minorEastAsia" w:hAnsiTheme="minorEastAsia" w:eastAsiaTheme="minorEastAsia"/>
          <w:b/>
          <w:color w:val="000000" w:themeColor="text1"/>
          <w:sz w:val="24"/>
          <w14:textFill>
            <w14:solidFill>
              <w14:schemeClr w14:val="tx1"/>
            </w14:solidFill>
          </w14:textFill>
        </w:rPr>
        <w:br w:type="page"/>
      </w:r>
    </w:p>
    <w:p w14:paraId="205917E3">
      <w:pPr>
        <w:keepNext w:val="0"/>
        <w:keepLines w:val="0"/>
        <w:pageBreakBefore w:val="0"/>
        <w:widowControl/>
        <w:kinsoku/>
        <w:wordWrap/>
        <w:overflowPunct/>
        <w:topLinePunct w:val="0"/>
        <w:autoSpaceDE/>
        <w:autoSpaceDN/>
        <w:bidi w:val="0"/>
        <w:adjustRightInd/>
        <w:snapToGrid/>
        <w:spacing w:line="300" w:lineRule="exact"/>
        <w:ind w:left="-420" w:leftChars="-200" w:right="-420" w:rightChars="-200" w:firstLine="482" w:firstLineChars="200"/>
        <w:jc w:val="center"/>
        <w:textAlignment w:val="auto"/>
        <w:rPr>
          <w:rFonts w:hint="eastAsia" w:cs="宋体" w:asciiTheme="minorEastAsia" w:hAnsiTheme="minorEastAsia" w:eastAsiaTheme="minorEastAsia"/>
          <w:b/>
          <w:color w:val="000000" w:themeColor="text1"/>
          <w:sz w:val="24"/>
          <w14:textFill>
            <w14:solidFill>
              <w14:schemeClr w14:val="tx1"/>
            </w14:solidFill>
          </w14:textFill>
        </w:rPr>
      </w:pPr>
      <w:r>
        <w:rPr>
          <w:rFonts w:cs="宋体" w:asciiTheme="minorEastAsia" w:hAnsiTheme="minorEastAsia" w:eastAsiaTheme="minorEastAsia"/>
          <w:b/>
          <w:color w:val="000000" w:themeColor="text1"/>
          <w:sz w:val="24"/>
          <w14:textFill>
            <w14:solidFill>
              <w14:schemeClr w14:val="tx1"/>
            </w14:solidFill>
          </w14:textFill>
        </w:rPr>
        <w:t>(</w:t>
      </w:r>
      <w:r>
        <w:rPr>
          <w:rFonts w:hint="eastAsia" w:cs="宋体" w:asciiTheme="minorEastAsia" w:hAnsiTheme="minorEastAsia" w:eastAsiaTheme="minorEastAsia"/>
          <w:b/>
          <w:color w:val="000000" w:themeColor="text1"/>
          <w:sz w:val="24"/>
          <w14:textFill>
            <w14:solidFill>
              <w14:schemeClr w14:val="tx1"/>
            </w14:solidFill>
          </w14:textFill>
        </w:rPr>
        <w:t>二</w:t>
      </w:r>
      <w:r>
        <w:rPr>
          <w:rFonts w:cs="宋体" w:asciiTheme="minorEastAsia" w:hAnsiTheme="minorEastAsia" w:eastAsiaTheme="minorEastAsia"/>
          <w:b/>
          <w:color w:val="000000" w:themeColor="text1"/>
          <w:sz w:val="24"/>
          <w14:textFill>
            <w14:solidFill>
              <w14:schemeClr w14:val="tx1"/>
            </w14:solidFill>
          </w14:textFill>
        </w:rPr>
        <w:t>)</w:t>
      </w:r>
      <w:r>
        <w:rPr>
          <w:rFonts w:hint="eastAsia" w:cs="宋体" w:asciiTheme="minorEastAsia" w:hAnsiTheme="minorEastAsia" w:eastAsiaTheme="minorEastAsia"/>
          <w:b/>
          <w:color w:val="000000" w:themeColor="text1"/>
          <w:sz w:val="24"/>
          <w14:textFill>
            <w14:solidFill>
              <w14:schemeClr w14:val="tx1"/>
            </w14:solidFill>
          </w14:textFill>
        </w:rPr>
        <w:t>商务条件</w:t>
      </w:r>
    </w:p>
    <w:p w14:paraId="488F27AD">
      <w:pPr>
        <w:pStyle w:val="3"/>
        <w:keepNext w:val="0"/>
        <w:keepLines w:val="0"/>
        <w:pageBreakBefore w:val="0"/>
        <w:widowControl/>
        <w:wordWrap/>
        <w:overflowPunct/>
        <w:topLinePunct w:val="0"/>
        <w:bidi w:val="0"/>
        <w:spacing w:after="0" w:line="300" w:lineRule="exact"/>
        <w:ind w:left="-420" w:leftChars="-200" w:right="-420" w:rightChars="-200" w:firstLine="420" w:firstLineChars="200"/>
        <w:rPr>
          <w:color w:val="000000" w:themeColor="text1"/>
          <w:lang w:eastAsia="zh-CN"/>
          <w14:textFill>
            <w14:solidFill>
              <w14:schemeClr w14:val="tx1"/>
            </w14:solidFill>
          </w14:textFill>
        </w:rPr>
      </w:pPr>
    </w:p>
    <w:p w14:paraId="234A23E7">
      <w:pPr>
        <w:keepNext w:val="0"/>
        <w:keepLines w:val="0"/>
        <w:pageBreakBefore w:val="0"/>
        <w:widowControl/>
        <w:kinsoku/>
        <w:wordWrap/>
        <w:overflowPunct/>
        <w:topLinePunct w:val="0"/>
        <w:autoSpaceDE/>
        <w:autoSpaceDN/>
        <w:bidi w:val="0"/>
        <w:adjustRightInd/>
        <w:snapToGrid/>
        <w:spacing w:line="360" w:lineRule="auto"/>
        <w:ind w:left="-420" w:leftChars="-200" w:right="-420" w:rightChars="-200" w:firstLine="482" w:firstLineChars="200"/>
        <w:textAlignment w:val="auto"/>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pPr>
      <w:r>
        <w:rPr>
          <w:rFonts w:hint="eastAsia" w:cs="宋体" w:asciiTheme="minorEastAsia" w:hAnsiTheme="minorEastAsia" w:eastAsiaTheme="minorEastAsia"/>
          <w:b/>
          <w:bCs/>
          <w:color w:val="000000" w:themeColor="text1"/>
          <w:sz w:val="24"/>
          <w:lang w:val="en-US" w:eastAsia="zh-CN"/>
          <w14:textFill>
            <w14:solidFill>
              <w14:schemeClr w14:val="tx1"/>
            </w14:solidFill>
          </w14:textFill>
        </w:rPr>
        <w:t>1、交货时间:</w:t>
      </w: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 xml:space="preserve"> 合同签订后15个自然日内完成3号池膜组件系统所需物料的供货、安装、膜系统调试运行。安装调试完成后由第三方完成出水水质检测（检测费由中标人承担），保证出水达标。</w:t>
      </w:r>
    </w:p>
    <w:p w14:paraId="0BFFC4D8">
      <w:pPr>
        <w:keepNext w:val="0"/>
        <w:keepLines w:val="0"/>
        <w:pageBreakBefore w:val="0"/>
        <w:widowControl/>
        <w:kinsoku/>
        <w:wordWrap/>
        <w:overflowPunct/>
        <w:topLinePunct w:val="0"/>
        <w:autoSpaceDE/>
        <w:autoSpaceDN/>
        <w:bidi w:val="0"/>
        <w:adjustRightInd/>
        <w:snapToGrid/>
        <w:spacing w:line="360" w:lineRule="auto"/>
        <w:ind w:left="-420" w:leftChars="-200" w:right="-420" w:rightChars="-200" w:firstLine="482" w:firstLineChars="200"/>
        <w:textAlignment w:val="auto"/>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pPr>
      <w:r>
        <w:rPr>
          <w:rFonts w:hint="eastAsia" w:cs="宋体" w:asciiTheme="minorEastAsia" w:hAnsiTheme="minorEastAsia" w:eastAsiaTheme="minorEastAsia"/>
          <w:b/>
          <w:bCs/>
          <w:color w:val="000000" w:themeColor="text1"/>
          <w:sz w:val="24"/>
          <w:lang w:val="en-US" w:eastAsia="zh-CN"/>
          <w14:textFill>
            <w14:solidFill>
              <w14:schemeClr w14:val="tx1"/>
            </w14:solidFill>
          </w14:textFill>
        </w:rPr>
        <w:t>2、交货地点：</w:t>
      </w: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采购人指定地点。</w:t>
      </w:r>
    </w:p>
    <w:p w14:paraId="2CBDF6DF">
      <w:pPr>
        <w:keepNext w:val="0"/>
        <w:keepLines w:val="0"/>
        <w:pageBreakBefore w:val="0"/>
        <w:widowControl/>
        <w:kinsoku/>
        <w:wordWrap/>
        <w:overflowPunct/>
        <w:topLinePunct w:val="0"/>
        <w:autoSpaceDE/>
        <w:autoSpaceDN/>
        <w:bidi w:val="0"/>
        <w:adjustRightInd/>
        <w:snapToGrid/>
        <w:spacing w:line="360" w:lineRule="auto"/>
        <w:ind w:left="-420" w:leftChars="-200" w:right="-420" w:rightChars="-200" w:firstLine="482" w:firstLineChars="200"/>
        <w:textAlignment w:val="auto"/>
        <w:rPr>
          <w:rFonts w:hint="default" w:cs="宋体" w:asciiTheme="minorEastAsia" w:hAnsiTheme="minorEastAsia" w:eastAsiaTheme="minorEastAsia"/>
          <w:b w:val="0"/>
          <w:bCs w:val="0"/>
          <w:color w:val="000000" w:themeColor="text1"/>
          <w:sz w:val="24"/>
          <w:lang w:val="en-US" w:eastAsia="zh-CN"/>
          <w14:textFill>
            <w14:solidFill>
              <w14:schemeClr w14:val="tx1"/>
            </w14:solidFill>
          </w14:textFill>
        </w:rPr>
      </w:pPr>
      <w:r>
        <w:rPr>
          <w:rFonts w:hint="eastAsia" w:cs="宋体" w:asciiTheme="minorEastAsia" w:hAnsiTheme="minorEastAsia" w:eastAsiaTheme="minorEastAsia"/>
          <w:b/>
          <w:bCs/>
          <w:color w:val="000000" w:themeColor="text1"/>
          <w:sz w:val="24"/>
          <w:lang w:val="en-US" w:eastAsia="zh-CN"/>
          <w14:textFill>
            <w14:solidFill>
              <w14:schemeClr w14:val="tx1"/>
            </w14:solidFill>
          </w14:textFill>
        </w:rPr>
        <w:t>3、付款方式:</w:t>
      </w: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合同生效5日内支付合同总金额的35%作为预付款，在安装调试合格、出水水质检测合格、1号膜池离线清洗后支付合同总金额的60%作为验收款，质保期满5日内支付质保金即合同总金额的5%。</w:t>
      </w:r>
    </w:p>
    <w:p w14:paraId="4B59A655">
      <w:pPr>
        <w:keepNext w:val="0"/>
        <w:keepLines w:val="0"/>
        <w:pageBreakBefore w:val="0"/>
        <w:widowControl/>
        <w:kinsoku/>
        <w:wordWrap/>
        <w:overflowPunct/>
        <w:topLinePunct w:val="0"/>
        <w:autoSpaceDE/>
        <w:autoSpaceDN/>
        <w:bidi w:val="0"/>
        <w:adjustRightInd/>
        <w:snapToGrid/>
        <w:spacing w:line="360" w:lineRule="auto"/>
        <w:ind w:left="-420" w:leftChars="-200" w:right="-420" w:rightChars="-200" w:firstLine="482" w:firstLineChars="200"/>
        <w:textAlignment w:val="auto"/>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pPr>
      <w:r>
        <w:rPr>
          <w:rFonts w:hint="eastAsia" w:cs="宋体" w:asciiTheme="minorEastAsia" w:hAnsiTheme="minorEastAsia" w:eastAsiaTheme="minorEastAsia"/>
          <w:b/>
          <w:bCs/>
          <w:color w:val="000000" w:themeColor="text1"/>
          <w:sz w:val="24"/>
          <w:lang w:val="en-US" w:eastAsia="zh-CN"/>
          <w14:textFill>
            <w14:solidFill>
              <w14:schemeClr w14:val="tx1"/>
            </w14:solidFill>
          </w14:textFill>
        </w:rPr>
        <w:t>4、验收标准</w:t>
      </w: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 xml:space="preserve"> </w:t>
      </w:r>
    </w:p>
    <w:p w14:paraId="250580CA">
      <w:pPr>
        <w:keepNext w:val="0"/>
        <w:keepLines w:val="0"/>
        <w:pageBreakBefore w:val="0"/>
        <w:widowControl/>
        <w:kinsoku/>
        <w:wordWrap/>
        <w:overflowPunct/>
        <w:topLinePunct w:val="0"/>
        <w:autoSpaceDE/>
        <w:autoSpaceDN/>
        <w:bidi w:val="0"/>
        <w:adjustRightInd/>
        <w:snapToGrid/>
        <w:spacing w:line="360" w:lineRule="auto"/>
        <w:ind w:left="-420" w:leftChars="-200" w:right="-420" w:rightChars="-200" w:firstLine="480" w:firstLineChars="200"/>
        <w:textAlignment w:val="auto"/>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pP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（1）分阶段验收：3号膜池内新膜组安装调试合格、出水水质检测合格；</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1号膜池的膜组件</w:t>
      </w: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3组MBR膜清洗后，</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总产水量达到≥</w:t>
      </w: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50m³/h，</w:t>
      </w:r>
      <w:r>
        <w:rPr>
          <w:rFonts w:hint="eastAsia" w:ascii="宋体" w:hAnsi="宋体" w:eastAsia="宋体" w:cs="宋体"/>
          <w:color w:val="000000" w:themeColor="text1"/>
          <w:spacing w:val="-8"/>
          <w:sz w:val="24"/>
          <w:szCs w:val="24"/>
          <w:highlight w:val="none"/>
          <w:lang w:eastAsia="zh-CN"/>
          <w14:textFill>
            <w14:solidFill>
              <w14:schemeClr w14:val="tx1"/>
            </w14:solidFill>
          </w14:textFill>
        </w:rPr>
        <w:t>产水浊度控制在1NTU以内，</w:t>
      </w: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运行能耗符合设计值。</w:t>
      </w:r>
    </w:p>
    <w:p w14:paraId="5579BBC6">
      <w:pPr>
        <w:keepNext w:val="0"/>
        <w:keepLines w:val="0"/>
        <w:pageBreakBefore w:val="0"/>
        <w:widowControl/>
        <w:kinsoku/>
        <w:wordWrap/>
        <w:overflowPunct/>
        <w:topLinePunct w:val="0"/>
        <w:autoSpaceDE/>
        <w:autoSpaceDN/>
        <w:bidi w:val="0"/>
        <w:adjustRightInd/>
        <w:snapToGrid/>
        <w:spacing w:line="360" w:lineRule="auto"/>
        <w:ind w:left="-420" w:leftChars="-200" w:right="-420" w:rightChars="-200" w:firstLine="480" w:firstLineChars="200"/>
        <w:textAlignment w:val="auto"/>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pP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 xml:space="preserve">（2）3号膜池内新膜组出水水质：符合项目污水处理站的排放标准（出水浊度≤1NTU，SS≤5mg/L）。 </w:t>
      </w:r>
    </w:p>
    <w:p w14:paraId="210C8825">
      <w:pPr>
        <w:keepNext w:val="0"/>
        <w:keepLines w:val="0"/>
        <w:pageBreakBefore w:val="0"/>
        <w:widowControl/>
        <w:kinsoku/>
        <w:wordWrap/>
        <w:overflowPunct/>
        <w:topLinePunct w:val="0"/>
        <w:autoSpaceDE/>
        <w:autoSpaceDN/>
        <w:bidi w:val="0"/>
        <w:adjustRightInd/>
        <w:snapToGrid/>
        <w:spacing w:line="360" w:lineRule="auto"/>
        <w:ind w:left="-420" w:leftChars="-200" w:right="-420" w:rightChars="-200" w:firstLine="480" w:firstLineChars="200"/>
        <w:textAlignment w:val="auto"/>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pP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（3）需提供膜组件出厂检测报告、合格证、操作维护手册，提交调试报告。</w:t>
      </w:r>
    </w:p>
    <w:p w14:paraId="1F9AA144">
      <w:pPr>
        <w:keepNext w:val="0"/>
        <w:keepLines w:val="0"/>
        <w:pageBreakBefore w:val="0"/>
        <w:widowControl/>
        <w:kinsoku/>
        <w:wordWrap/>
        <w:overflowPunct/>
        <w:topLinePunct w:val="0"/>
        <w:autoSpaceDE/>
        <w:autoSpaceDN/>
        <w:bidi w:val="0"/>
        <w:adjustRightInd/>
        <w:snapToGrid/>
        <w:spacing w:line="360" w:lineRule="auto"/>
        <w:ind w:left="-420" w:leftChars="-200" w:right="-420" w:rightChars="-200" w:firstLine="480" w:firstLineChars="200"/>
        <w:textAlignment w:val="auto"/>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pP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（4）膜性能：适用原水工业污水水质，使用寿命不低于2年，提供材质证明及质保承诺。</w:t>
      </w:r>
    </w:p>
    <w:p w14:paraId="5586E918">
      <w:pPr>
        <w:keepNext w:val="0"/>
        <w:keepLines w:val="0"/>
        <w:pageBreakBefore w:val="0"/>
        <w:widowControl/>
        <w:kinsoku/>
        <w:wordWrap/>
        <w:overflowPunct/>
        <w:topLinePunct w:val="0"/>
        <w:autoSpaceDE/>
        <w:autoSpaceDN/>
        <w:bidi w:val="0"/>
        <w:adjustRightInd/>
        <w:snapToGrid/>
        <w:spacing w:line="360" w:lineRule="auto"/>
        <w:ind w:left="-420" w:leftChars="-200" w:right="-420" w:rightChars="-200" w:firstLine="482" w:firstLineChars="200"/>
        <w:textAlignment w:val="auto"/>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pPr>
      <w:r>
        <w:rPr>
          <w:rFonts w:hint="eastAsia" w:cs="宋体" w:asciiTheme="minorEastAsia" w:hAnsiTheme="minorEastAsia" w:eastAsiaTheme="minorEastAsia"/>
          <w:b/>
          <w:bCs/>
          <w:color w:val="000000" w:themeColor="text1"/>
          <w:sz w:val="24"/>
          <w:lang w:val="en-US" w:eastAsia="zh-CN"/>
          <w14:textFill>
            <w14:solidFill>
              <w14:schemeClr w14:val="tx1"/>
            </w14:solidFill>
          </w14:textFill>
        </w:rPr>
        <w:t>5、报价要求：</w:t>
      </w:r>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投标报价包括但不限于本项目所需的人工费 、材料费（含燃料动力费等）差旅费、测试化验加工费、设备费（含设备折旧、租赁、使用费等）、设计、安装费、运输费、调试费、知识产权费、会议费、咨询费、出版印刷、档案收集与整理、管理费、利润、税费及合同包括的所有风险、义务和责任等全部费用。</w:t>
      </w:r>
    </w:p>
    <w:p w14:paraId="5580DB5F">
      <w:pPr>
        <w:keepNext w:val="0"/>
        <w:keepLines w:val="0"/>
        <w:pageBreakBefore w:val="0"/>
        <w:widowControl/>
        <w:kinsoku/>
        <w:wordWrap/>
        <w:overflowPunct/>
        <w:topLinePunct w:val="0"/>
        <w:autoSpaceDE/>
        <w:autoSpaceDN/>
        <w:bidi w:val="0"/>
        <w:adjustRightInd/>
        <w:snapToGrid/>
        <w:spacing w:line="360" w:lineRule="auto"/>
        <w:ind w:left="-420" w:leftChars="-200" w:right="-420" w:rightChars="-200" w:firstLine="482" w:firstLineChars="200"/>
        <w:textAlignment w:val="auto"/>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pPr>
      <w:bookmarkStart w:id="3" w:name="_GoBack"/>
      <w:r>
        <w:rPr>
          <w:rFonts w:hint="eastAsia" w:cs="宋体" w:asciiTheme="minorEastAsia" w:hAnsiTheme="minorEastAsia" w:eastAsiaTheme="minorEastAsia"/>
          <w:b/>
          <w:bCs/>
          <w:color w:val="000000" w:themeColor="text1"/>
          <w:sz w:val="24"/>
          <w:lang w:val="en-US" w:eastAsia="zh-CN"/>
          <w14:textFill>
            <w14:solidFill>
              <w14:schemeClr w14:val="tx1"/>
            </w14:solidFill>
          </w14:textFill>
        </w:rPr>
        <w:t>6、质保要求：</w:t>
      </w:r>
      <w:bookmarkEnd w:id="3"/>
      <w:r>
        <w:rPr>
          <w:rFonts w:hint="eastAsia" w:cs="宋体" w:asciiTheme="minorEastAsia" w:hAnsiTheme="minorEastAsia" w:eastAsiaTheme="minorEastAsia"/>
          <w:b w:val="0"/>
          <w:bCs w:val="0"/>
          <w:color w:val="000000" w:themeColor="text1"/>
          <w:sz w:val="24"/>
          <w:lang w:val="en-US" w:eastAsia="zh-CN"/>
          <w14:textFill>
            <w14:solidFill>
              <w14:schemeClr w14:val="tx1"/>
            </w14:solidFill>
          </w14:textFill>
        </w:rPr>
        <w:t>设备质量保证期将从签发完工验收证书之日起开始计算，本项目免费质量保证期为2年。质保期满后模组处理能力应不低于原能力的70%。</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C9B27">
    <w:pPr>
      <w:pStyle w:val="5"/>
      <w:rPr>
        <w:lang w:eastAsia="zh-CN"/>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59FF918">
                          <w:pPr>
                            <w:pStyle w:val="5"/>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DIehZUOgIAAHEEAAAOAAAAAAAAAAEAIAAAAB8BAABkcnMvZTJvRG9j&#10;LnhtbFBLBQYAAAAABgAGAFkBAADLBQAAAAA=&#10;">
              <v:fill on="f" focussize="0,0"/>
              <v:stroke on="f" weight="0.5pt"/>
              <v:imagedata o:title=""/>
              <o:lock v:ext="edit" aspectratio="f"/>
              <v:textbox inset="0mm,0mm,0mm,0mm" style="mso-fit-shape-to-text:t;">
                <w:txbxContent>
                  <w:p w14:paraId="459FF918">
                    <w:pPr>
                      <w:pStyle w:val="5"/>
                    </w:pPr>
                    <w:r>
                      <w:fldChar w:fldCharType="begin"/>
                    </w:r>
                    <w:r>
                      <w:instrText xml:space="preserve"> PAGE  \* MERGEFORMAT </w:instrText>
                    </w:r>
                    <w:r>
                      <w:fldChar w:fldCharType="separate"/>
                    </w:r>
                    <w:r>
                      <w:t>43</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E9545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Title"/>
    <w:basedOn w:val="1"/>
    <w:next w:val="1"/>
    <w:qFormat/>
    <w:uiPriority w:val="0"/>
    <w:pPr>
      <w:spacing w:beforeLines="0" w:after="60"/>
      <w:jc w:val="center"/>
      <w:outlineLvl w:val="0"/>
    </w:pPr>
    <w:rPr>
      <w:rFonts w:ascii="Arial" w:hAnsi="Arial"/>
      <w:b/>
      <w:bCs/>
      <w:kern w:val="0"/>
      <w:sz w:val="32"/>
      <w:szCs w:val="32"/>
    </w:rPr>
  </w:style>
  <w:style w:type="paragraph" w:styleId="3">
    <w:name w:val="Body Text"/>
    <w:basedOn w:val="1"/>
    <w:next w:val="4"/>
    <w:unhideWhenUsed/>
    <w:qFormat/>
    <w:uiPriority w:val="0"/>
    <w:pPr>
      <w:spacing w:after="120"/>
    </w:pPr>
  </w:style>
  <w:style w:type="paragraph" w:styleId="4">
    <w:name w:val="Body Text First Indent"/>
    <w:basedOn w:val="3"/>
    <w:qFormat/>
    <w:uiPriority w:val="0"/>
    <w:pPr>
      <w:spacing w:after="0"/>
      <w:ind w:firstLine="420" w:firstLineChars="100"/>
    </w:pPr>
    <w:rPr>
      <w:rFonts w:ascii="仿宋" w:hAnsi="仿宋" w:eastAsia="仿宋" w:cs="仿宋"/>
      <w:sz w:val="30"/>
      <w:szCs w:val="30"/>
    </w:rPr>
  </w:style>
  <w:style w:type="paragraph" w:styleId="5">
    <w:name w:val="footer"/>
    <w:basedOn w:val="1"/>
    <w:qFormat/>
    <w:uiPriority w:val="0"/>
    <w:pPr>
      <w:tabs>
        <w:tab w:val="center" w:pos="4153"/>
        <w:tab w:val="right" w:pos="8306"/>
      </w:tabs>
    </w:pPr>
    <w:rPr>
      <w:sz w:val="18"/>
    </w:rPr>
  </w:style>
  <w:style w:type="table" w:customStyle="1" w:styleId="8">
    <w:name w:val="Table Normal"/>
    <w:semiHidden/>
    <w:unhideWhenUsed/>
    <w:qFormat/>
    <w:uiPriority w:val="0"/>
    <w:rPr>
      <w:rFonts w:ascii="Times New Roman" w:hAnsi="Times New Roman" w:eastAsia="宋体" w:cs="Times New Roman"/>
    </w:rPr>
    <w:tblPr>
      <w:tblCellMar>
        <w:top w:w="0" w:type="dxa"/>
        <w:left w:w="0" w:type="dxa"/>
        <w:bottom w:w="0" w:type="dxa"/>
        <w:right w:w="0" w:type="dxa"/>
      </w:tblCellMar>
    </w:tblPr>
  </w:style>
  <w:style w:type="paragraph" w:customStyle="1" w:styleId="9">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2026-06-03T07:23:25Z</dcterms:created>
  <dc:creator>Administrator</dc:creator>
  <cp:lastModifiedBy>Administrator</cp:lastModifiedBy>
  <dcterms:modified xsi:type="dcterms:W3CDTF">2026-06-03T07:23:41Z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eyJoZGlkIjoiMGMyMzNlODM4Mzk5NGNiMzZmNGVhNjUzNTZhZGY1OGMiLCJ1c2VySWQiOiI0ODQyODYwNzEifQ==</vt:lpwstr>
  </property>
  <property fmtid="{D5CDD505-2E9C-101B-9397-08002B2CF9AE}" pid="4" name="ICV">
    <vt:lpwstr>13114FFC8FDC4B6C8479936DD8D107B8_12</vt:lpwstr>
  </property>
</Properties>
</file>