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41B1D9">
      <w:pPr>
        <w:widowControl w:val="0"/>
        <w:kinsoku/>
        <w:spacing w:before="63" w:line="224" w:lineRule="auto"/>
        <w:jc w:val="center"/>
        <w:outlineLvl w:val="0"/>
        <w:rPr>
          <w:rFonts w:ascii="宋体" w:hAnsi="宋体" w:eastAsia="宋体" w:cs="宋体"/>
          <w:b/>
          <w:color w:val="000000" w:themeColor="text1"/>
          <w:sz w:val="32"/>
          <w:szCs w:val="32"/>
          <w:lang w:eastAsia="zh-CN"/>
          <w14:textFill>
            <w14:solidFill>
              <w14:schemeClr w14:val="tx1"/>
            </w14:solidFill>
          </w14:textFill>
        </w:rPr>
      </w:pPr>
      <w:r>
        <w:rPr>
          <w:rFonts w:ascii="宋体" w:hAnsi="宋体" w:eastAsia="宋体" w:cs="宋体"/>
          <w:b/>
          <w:color w:val="000000" w:themeColor="text1"/>
          <w:spacing w:val="9"/>
          <w:sz w:val="32"/>
          <w:szCs w:val="32"/>
          <w:lang w:eastAsia="zh-CN"/>
          <w14:textFill>
            <w14:solidFill>
              <w14:schemeClr w14:val="tx1"/>
            </w14:solidFill>
          </w14:textFill>
        </w:rPr>
        <w:t>采购需求</w:t>
      </w:r>
    </w:p>
    <w:p w14:paraId="5836D29C">
      <w:pPr>
        <w:widowControl w:val="0"/>
        <w:kinsoku/>
        <w:spacing w:line="309" w:lineRule="auto"/>
        <w:jc w:val="center"/>
        <w:rPr>
          <w:color w:val="000000" w:themeColor="text1"/>
          <w:lang w:eastAsia="zh-CN"/>
          <w14:textFill>
            <w14:solidFill>
              <w14:schemeClr w14:val="tx1"/>
            </w14:solidFill>
          </w14:textFill>
        </w:rPr>
      </w:pPr>
    </w:p>
    <w:p w14:paraId="296E39C8">
      <w:pPr>
        <w:widowControl w:val="0"/>
        <w:kinsoku/>
        <w:spacing w:before="78" w:line="220" w:lineRule="auto"/>
        <w:jc w:val="both"/>
        <w:outlineLvl w:val="1"/>
        <w:rPr>
          <w:rFonts w:ascii="宋体" w:hAnsi="宋体" w:eastAsia="宋体" w:cs="宋体"/>
          <w:b/>
          <w:color w:val="000000" w:themeColor="text1"/>
          <w:spacing w:val="-2"/>
          <w:sz w:val="28"/>
          <w:szCs w:val="24"/>
          <w:lang w:eastAsia="zh-CN"/>
          <w14:textFill>
            <w14:solidFill>
              <w14:schemeClr w14:val="tx1"/>
            </w14:solidFill>
          </w14:textFill>
        </w:rPr>
      </w:pPr>
      <w:bookmarkStart w:id="0" w:name="_Toc7426"/>
      <w:r>
        <w:rPr>
          <w:rFonts w:ascii="宋体" w:hAnsi="宋体" w:eastAsia="宋体" w:cs="宋体"/>
          <w:b/>
          <w:color w:val="000000" w:themeColor="text1"/>
          <w:spacing w:val="-2"/>
          <w:sz w:val="28"/>
          <w:szCs w:val="24"/>
          <w:lang w:eastAsia="zh-CN"/>
          <w14:textFill>
            <w14:solidFill>
              <w14:schemeClr w14:val="tx1"/>
            </w14:solidFill>
          </w14:textFill>
        </w:rPr>
        <w:t>一、</w:t>
      </w:r>
      <w:r>
        <w:rPr>
          <w:rFonts w:hint="eastAsia" w:ascii="宋体" w:hAnsi="宋体" w:eastAsia="宋体" w:cs="宋体"/>
          <w:b/>
          <w:color w:val="000000" w:themeColor="text1"/>
          <w:spacing w:val="-2"/>
          <w:sz w:val="28"/>
          <w:szCs w:val="24"/>
          <w:lang w:eastAsia="zh-CN"/>
          <w14:textFill>
            <w14:solidFill>
              <w14:schemeClr w14:val="tx1"/>
            </w14:solidFill>
          </w14:textFill>
        </w:rPr>
        <w:t>采购</w:t>
      </w:r>
      <w:r>
        <w:rPr>
          <w:rFonts w:ascii="宋体" w:hAnsi="宋体" w:eastAsia="宋体" w:cs="宋体"/>
          <w:b/>
          <w:color w:val="000000" w:themeColor="text1"/>
          <w:spacing w:val="-2"/>
          <w:sz w:val="28"/>
          <w:szCs w:val="24"/>
          <w:lang w:eastAsia="zh-CN"/>
          <w14:textFill>
            <w14:solidFill>
              <w14:schemeClr w14:val="tx1"/>
            </w14:solidFill>
          </w14:textFill>
        </w:rPr>
        <w:t>需求表</w:t>
      </w:r>
      <w:bookmarkEnd w:id="0"/>
    </w:p>
    <w:p w14:paraId="3CDA87A4">
      <w:pPr>
        <w:widowControl w:val="0"/>
        <w:spacing w:before="78" w:line="360" w:lineRule="auto"/>
        <w:jc w:val="center"/>
        <w:outlineLvl w:val="1"/>
        <w:rPr>
          <w:rFonts w:ascii="宋体" w:hAnsi="宋体" w:eastAsia="宋体" w:cs="宋体"/>
          <w:b/>
          <w:color w:val="000000" w:themeColor="text1"/>
          <w:sz w:val="28"/>
          <w:szCs w:val="24"/>
          <w:lang w:eastAsia="zh-CN"/>
          <w14:textFill>
            <w14:solidFill>
              <w14:schemeClr w14:val="tx1"/>
            </w14:solidFill>
          </w14:textFill>
        </w:rPr>
      </w:pPr>
      <w:r>
        <w:rPr>
          <w:rFonts w:ascii="宋体" w:hAnsi="宋体" w:eastAsia="宋体" w:cs="宋体"/>
          <w:b/>
          <w:color w:val="000000" w:themeColor="text1"/>
          <w:sz w:val="28"/>
          <w:szCs w:val="24"/>
          <w:lang w:eastAsia="zh-CN"/>
          <w14:textFill>
            <w14:solidFill>
              <w14:schemeClr w14:val="tx1"/>
            </w14:solidFill>
          </w14:textFill>
        </w:rPr>
        <w:t>一、</w:t>
      </w:r>
      <w:r>
        <w:rPr>
          <w:rFonts w:hint="eastAsia" w:ascii="宋体" w:hAnsi="宋体" w:eastAsia="宋体" w:cs="宋体"/>
          <w:b/>
          <w:color w:val="000000" w:themeColor="text1"/>
          <w:sz w:val="28"/>
          <w:szCs w:val="24"/>
          <w:lang w:eastAsia="zh-CN"/>
          <w14:textFill>
            <w14:solidFill>
              <w14:schemeClr w14:val="tx1"/>
            </w14:solidFill>
          </w14:textFill>
        </w:rPr>
        <w:t>采购</w:t>
      </w:r>
      <w:r>
        <w:rPr>
          <w:rFonts w:ascii="宋体" w:hAnsi="宋体" w:eastAsia="宋体" w:cs="宋体"/>
          <w:b/>
          <w:color w:val="000000" w:themeColor="text1"/>
          <w:sz w:val="28"/>
          <w:szCs w:val="24"/>
          <w:lang w:eastAsia="zh-CN"/>
          <w14:textFill>
            <w14:solidFill>
              <w14:schemeClr w14:val="tx1"/>
            </w14:solidFill>
          </w14:textFill>
        </w:rPr>
        <w:t>需求表</w:t>
      </w:r>
    </w:p>
    <w:tbl>
      <w:tblPr>
        <w:tblStyle w:val="8"/>
        <w:tblW w:w="9909"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288"/>
        <w:gridCol w:w="570"/>
        <w:gridCol w:w="7051"/>
      </w:tblGrid>
      <w:tr w14:paraId="781FF7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jc w:val="center"/>
        </w:trPr>
        <w:tc>
          <w:tcPr>
            <w:tcW w:w="2288" w:type="dxa"/>
            <w:tcBorders>
              <w:right w:val="nil"/>
            </w:tcBorders>
          </w:tcPr>
          <w:p w14:paraId="43E284C2">
            <w:pPr>
              <w:widowControl w:val="0"/>
              <w:spacing w:before="183" w:line="223" w:lineRule="auto"/>
              <w:ind w:left="1091"/>
              <w:rPr>
                <w:rFonts w:ascii="宋体" w:hAnsi="宋体" w:eastAsia="宋体" w:cs="宋体"/>
                <w:color w:val="000000" w:themeColor="text1"/>
                <w:sz w:val="24"/>
                <w:szCs w:val="24"/>
                <w14:textFill>
                  <w14:solidFill>
                    <w14:schemeClr w14:val="tx1"/>
                  </w14:solidFill>
                </w14:textFill>
              </w:rPr>
            </w:pPr>
            <w:r>
              <w:rPr>
                <w:color w:val="000000" w:themeColor="text1"/>
                <w:lang w:eastAsia="zh-CN"/>
                <w14:textFill>
                  <w14:solidFill>
                    <w14:schemeClr w14:val="tx1"/>
                  </w14:solidFill>
                </w14:textFill>
              </w:rPr>
              <w:drawing>
                <wp:anchor distT="0" distB="0" distL="0" distR="0" simplePos="0" relativeHeight="251659264" behindDoc="1" locked="0" layoutInCell="1" allowOverlap="1">
                  <wp:simplePos x="0" y="0"/>
                  <wp:positionH relativeFrom="column">
                    <wp:posOffset>6985</wp:posOffset>
                  </wp:positionH>
                  <wp:positionV relativeFrom="paragraph">
                    <wp:posOffset>0</wp:posOffset>
                  </wp:positionV>
                  <wp:extent cx="1805305" cy="1485265"/>
                  <wp:effectExtent l="0" t="0" r="4445" b="635"/>
                  <wp:wrapNone/>
                  <wp:docPr id="1" name="IM 6"/>
                  <wp:cNvGraphicFramePr/>
                  <a:graphic xmlns:a="http://schemas.openxmlformats.org/drawingml/2006/main">
                    <a:graphicData uri="http://schemas.openxmlformats.org/drawingml/2006/picture">
                      <pic:pic xmlns:pic="http://schemas.openxmlformats.org/drawingml/2006/picture">
                        <pic:nvPicPr>
                          <pic:cNvPr id="1" name="IM 6"/>
                          <pic:cNvPicPr/>
                        </pic:nvPicPr>
                        <pic:blipFill>
                          <a:blip r:embed="rId6" cstate="print"/>
                          <a:stretch>
                            <a:fillRect/>
                          </a:stretch>
                        </pic:blipFill>
                        <pic:spPr>
                          <a:xfrm>
                            <a:off x="0" y="0"/>
                            <a:ext cx="1805051" cy="1485442"/>
                          </a:xfrm>
                          <a:prstGeom prst="rect">
                            <a:avLst/>
                          </a:prstGeom>
                        </pic:spPr>
                      </pic:pic>
                    </a:graphicData>
                  </a:graphic>
                </wp:anchor>
              </w:drawing>
            </w:r>
            <w:r>
              <w:rPr>
                <w:rFonts w:ascii="宋体" w:hAnsi="宋体" w:eastAsia="宋体" w:cs="宋体"/>
                <w:color w:val="000000" w:themeColor="text1"/>
                <w:sz w:val="24"/>
                <w:szCs w:val="24"/>
                <w14:textFill>
                  <w14:solidFill>
                    <w14:schemeClr w14:val="tx1"/>
                  </w14:solidFill>
                </w14:textFill>
              </w:rPr>
              <w:t>名</w:t>
            </w:r>
          </w:p>
          <w:p w14:paraId="18419813">
            <w:pPr>
              <w:pStyle w:val="9"/>
              <w:widowControl w:val="0"/>
              <w:spacing w:line="245" w:lineRule="auto"/>
              <w:rPr>
                <w:color w:val="000000" w:themeColor="text1"/>
                <w14:textFill>
                  <w14:solidFill>
                    <w14:schemeClr w14:val="tx1"/>
                  </w14:solidFill>
                </w14:textFill>
              </w:rPr>
            </w:pPr>
          </w:p>
          <w:p w14:paraId="26A6359A">
            <w:pPr>
              <w:pStyle w:val="9"/>
              <w:widowControl w:val="0"/>
              <w:spacing w:line="246" w:lineRule="auto"/>
              <w:rPr>
                <w:color w:val="000000" w:themeColor="text1"/>
                <w14:textFill>
                  <w14:solidFill>
                    <w14:schemeClr w14:val="tx1"/>
                  </w14:solidFill>
                </w14:textFill>
              </w:rPr>
            </w:pPr>
          </w:p>
          <w:p w14:paraId="7733A3F5">
            <w:pPr>
              <w:widowControl w:val="0"/>
              <w:spacing w:before="78" w:line="219" w:lineRule="auto"/>
              <w:ind w:left="481"/>
              <w:rPr>
                <w:rFonts w:ascii="宋体" w:hAnsi="宋体" w:eastAsia="宋体" w:cs="宋体"/>
                <w:color w:val="000000" w:themeColor="text1"/>
                <w:sz w:val="24"/>
                <w:szCs w:val="24"/>
                <w14:textFill>
                  <w14:solidFill>
                    <w14:schemeClr w14:val="tx1"/>
                  </w14:solidFill>
                </w14:textFill>
              </w:rPr>
            </w:pPr>
            <w:r>
              <w:rPr>
                <w:rFonts w:ascii="宋体" w:hAnsi="宋体" w:eastAsia="宋体" w:cs="宋体"/>
                <w:color w:val="000000" w:themeColor="text1"/>
                <w:sz w:val="24"/>
                <w:szCs w:val="24"/>
                <w14:textFill>
                  <w14:solidFill>
                    <w14:schemeClr w14:val="tx1"/>
                  </w14:solidFill>
                </w14:textFill>
              </w:rPr>
              <w:t>内</w:t>
            </w:r>
          </w:p>
          <w:p w14:paraId="150A7EF2">
            <w:pPr>
              <w:pStyle w:val="9"/>
              <w:widowControl w:val="0"/>
              <w:spacing w:line="338" w:lineRule="auto"/>
              <w:rPr>
                <w:color w:val="000000" w:themeColor="text1"/>
                <w14:textFill>
                  <w14:solidFill>
                    <w14:schemeClr w14:val="tx1"/>
                  </w14:solidFill>
                </w14:textFill>
              </w:rPr>
            </w:pPr>
          </w:p>
          <w:p w14:paraId="531AAB41">
            <w:pPr>
              <w:widowControl w:val="0"/>
              <w:spacing w:before="78" w:line="220" w:lineRule="auto"/>
              <w:ind w:left="1311"/>
              <w:rPr>
                <w:rFonts w:ascii="宋体" w:hAnsi="宋体" w:eastAsia="宋体" w:cs="宋体"/>
                <w:color w:val="000000" w:themeColor="text1"/>
                <w:sz w:val="24"/>
                <w:szCs w:val="24"/>
                <w14:textFill>
                  <w14:solidFill>
                    <w14:schemeClr w14:val="tx1"/>
                  </w14:solidFill>
                </w14:textFill>
              </w:rPr>
            </w:pPr>
            <w:r>
              <w:rPr>
                <w:rFonts w:ascii="宋体" w:hAnsi="宋体" w:eastAsia="宋体" w:cs="宋体"/>
                <w:color w:val="000000" w:themeColor="text1"/>
                <w:sz w:val="24"/>
                <w:szCs w:val="24"/>
                <w14:textFill>
                  <w14:solidFill>
                    <w14:schemeClr w14:val="tx1"/>
                  </w14:solidFill>
                </w14:textFill>
              </w:rPr>
              <w:t>容</w:t>
            </w:r>
          </w:p>
        </w:tc>
        <w:tc>
          <w:tcPr>
            <w:tcW w:w="570" w:type="dxa"/>
            <w:tcBorders>
              <w:left w:val="nil"/>
            </w:tcBorders>
          </w:tcPr>
          <w:p w14:paraId="3A205F7A">
            <w:pPr>
              <w:pStyle w:val="9"/>
              <w:widowControl w:val="0"/>
              <w:spacing w:line="263" w:lineRule="auto"/>
              <w:rPr>
                <w:color w:val="000000" w:themeColor="text1"/>
                <w14:textFill>
                  <w14:solidFill>
                    <w14:schemeClr w14:val="tx1"/>
                  </w14:solidFill>
                </w14:textFill>
              </w:rPr>
            </w:pPr>
          </w:p>
          <w:p w14:paraId="784D9FA0">
            <w:pPr>
              <w:pStyle w:val="9"/>
              <w:widowControl w:val="0"/>
              <w:spacing w:line="263" w:lineRule="auto"/>
              <w:rPr>
                <w:color w:val="000000" w:themeColor="text1"/>
                <w14:textFill>
                  <w14:solidFill>
                    <w14:schemeClr w14:val="tx1"/>
                  </w14:solidFill>
                </w14:textFill>
              </w:rPr>
            </w:pPr>
          </w:p>
          <w:p w14:paraId="59DDB23A">
            <w:pPr>
              <w:pStyle w:val="9"/>
              <w:widowControl w:val="0"/>
              <w:spacing w:line="264" w:lineRule="auto"/>
              <w:rPr>
                <w:color w:val="000000" w:themeColor="text1"/>
                <w14:textFill>
                  <w14:solidFill>
                    <w14:schemeClr w14:val="tx1"/>
                  </w14:solidFill>
                </w14:textFill>
              </w:rPr>
            </w:pPr>
          </w:p>
          <w:p w14:paraId="2FCC34AD">
            <w:pPr>
              <w:widowControl w:val="0"/>
              <w:spacing w:before="78" w:line="221" w:lineRule="auto"/>
              <w:ind w:left="192"/>
              <w:rPr>
                <w:rFonts w:ascii="宋体" w:hAnsi="宋体" w:eastAsia="宋体" w:cs="宋体"/>
                <w:color w:val="000000" w:themeColor="text1"/>
                <w:sz w:val="24"/>
                <w:szCs w:val="24"/>
                <w14:textFill>
                  <w14:solidFill>
                    <w14:schemeClr w14:val="tx1"/>
                  </w14:solidFill>
                </w14:textFill>
              </w:rPr>
            </w:pPr>
            <w:r>
              <w:rPr>
                <w:rFonts w:ascii="宋体" w:hAnsi="宋体" w:eastAsia="宋体" w:cs="宋体"/>
                <w:color w:val="000000" w:themeColor="text1"/>
                <w:sz w:val="24"/>
                <w:szCs w:val="24"/>
                <w14:textFill>
                  <w14:solidFill>
                    <w14:schemeClr w14:val="tx1"/>
                  </w14:solidFill>
                </w14:textFill>
              </w:rPr>
              <w:t>称</w:t>
            </w:r>
          </w:p>
        </w:tc>
        <w:tc>
          <w:tcPr>
            <w:tcW w:w="7051" w:type="dxa"/>
            <w:vAlign w:val="center"/>
          </w:tcPr>
          <w:p w14:paraId="7E4A49C7">
            <w:pPr>
              <w:pStyle w:val="9"/>
              <w:widowControl w:val="0"/>
              <w:jc w:val="center"/>
              <w:rPr>
                <w:rFonts w:asciiTheme="minorEastAsia" w:hAnsiTheme="minorEastAsia" w:eastAsiaTheme="minorEastAsia"/>
                <w:color w:val="000000" w:themeColor="text1"/>
                <w:sz w:val="24"/>
                <w:szCs w:val="24"/>
                <w:lang w:eastAsia="zh-CN"/>
                <w14:textFill>
                  <w14:solidFill>
                    <w14:schemeClr w14:val="tx1"/>
                  </w14:solidFill>
                </w14:textFill>
              </w:rPr>
            </w:pPr>
            <w:r>
              <w:rPr>
                <w:rFonts w:hint="eastAsia" w:cs="宋体" w:asciiTheme="minorEastAsia" w:hAnsiTheme="minorEastAsia" w:eastAsiaTheme="minorEastAsia"/>
                <w:color w:val="000000" w:themeColor="text1"/>
                <w:spacing w:val="3"/>
                <w:sz w:val="28"/>
                <w:szCs w:val="32"/>
                <w:lang w:eastAsia="zh-CN"/>
                <w14:textFill>
                  <w14:solidFill>
                    <w14:schemeClr w14:val="tx1"/>
                  </w14:solidFill>
                </w14:textFill>
              </w:rPr>
              <w:t>湘东工业园聘请第三方环保管家服务项目</w:t>
            </w:r>
          </w:p>
        </w:tc>
      </w:tr>
      <w:tr w14:paraId="7E78766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jc w:val="center"/>
        </w:trPr>
        <w:tc>
          <w:tcPr>
            <w:tcW w:w="2858" w:type="dxa"/>
            <w:gridSpan w:val="2"/>
          </w:tcPr>
          <w:p w14:paraId="2E425BC9">
            <w:pPr>
              <w:widowControl w:val="0"/>
              <w:spacing w:before="253" w:line="219" w:lineRule="auto"/>
              <w:ind w:left="1188"/>
              <w:rPr>
                <w:rFonts w:ascii="宋体" w:hAnsi="宋体" w:eastAsia="宋体" w:cs="宋体"/>
                <w:color w:val="000000" w:themeColor="text1"/>
                <w:sz w:val="24"/>
                <w:szCs w:val="24"/>
                <w14:textFill>
                  <w14:solidFill>
                    <w14:schemeClr w14:val="tx1"/>
                  </w14:solidFill>
                </w14:textFill>
              </w:rPr>
            </w:pPr>
            <w:r>
              <w:rPr>
                <w:rFonts w:ascii="宋体" w:hAnsi="宋体" w:eastAsia="宋体" w:cs="宋体"/>
                <w:color w:val="000000" w:themeColor="text1"/>
                <w:sz w:val="24"/>
                <w:szCs w:val="24"/>
                <w14:textFill>
                  <w14:solidFill>
                    <w14:schemeClr w14:val="tx1"/>
                  </w14:solidFill>
                </w14:textFill>
              </w:rPr>
              <w:t>数量</w:t>
            </w:r>
          </w:p>
        </w:tc>
        <w:tc>
          <w:tcPr>
            <w:tcW w:w="7051" w:type="dxa"/>
            <w:vAlign w:val="center"/>
          </w:tcPr>
          <w:p w14:paraId="6FF7011C">
            <w:pPr>
              <w:pStyle w:val="9"/>
              <w:widowControl w:val="0"/>
              <w:jc w:val="center"/>
              <w:rPr>
                <w:rFonts w:asciiTheme="minorEastAsia" w:hAnsiTheme="minorEastAsia" w:eastAsiaTheme="minorEastAsia"/>
                <w:color w:val="000000" w:themeColor="text1"/>
                <w:sz w:val="24"/>
                <w:szCs w:val="24"/>
                <w:lang w:eastAsia="zh-CN"/>
                <w14:textFill>
                  <w14:solidFill>
                    <w14:schemeClr w14:val="tx1"/>
                  </w14:solidFill>
                </w14:textFill>
              </w:rPr>
            </w:pPr>
            <w:r>
              <w:rPr>
                <w:rFonts w:hint="eastAsia" w:asciiTheme="minorEastAsia" w:hAnsiTheme="minorEastAsia" w:eastAsiaTheme="minorEastAsia"/>
                <w:color w:val="000000" w:themeColor="text1"/>
                <w:sz w:val="24"/>
                <w:szCs w:val="24"/>
                <w:lang w:eastAsia="zh-CN"/>
                <w14:textFill>
                  <w14:solidFill>
                    <w14:schemeClr w14:val="tx1"/>
                  </w14:solidFill>
                </w14:textFill>
              </w:rPr>
              <w:t>1（项）</w:t>
            </w:r>
          </w:p>
        </w:tc>
      </w:tr>
      <w:tr w14:paraId="3EA915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jc w:val="center"/>
        </w:trPr>
        <w:tc>
          <w:tcPr>
            <w:tcW w:w="2858" w:type="dxa"/>
            <w:gridSpan w:val="2"/>
          </w:tcPr>
          <w:p w14:paraId="440DE2D7">
            <w:pPr>
              <w:widowControl w:val="0"/>
              <w:spacing w:before="253" w:line="219" w:lineRule="auto"/>
              <w:ind w:left="1071"/>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服务</w:t>
            </w:r>
            <w:r>
              <w:rPr>
                <w:rFonts w:ascii="宋体" w:hAnsi="宋体" w:eastAsia="宋体" w:cs="宋体"/>
                <w:color w:val="000000" w:themeColor="text1"/>
                <w:sz w:val="24"/>
                <w:szCs w:val="24"/>
                <w14:textFill>
                  <w14:solidFill>
                    <w14:schemeClr w14:val="tx1"/>
                  </w14:solidFill>
                </w14:textFill>
              </w:rPr>
              <w:t>期</w:t>
            </w:r>
          </w:p>
        </w:tc>
        <w:tc>
          <w:tcPr>
            <w:tcW w:w="7051" w:type="dxa"/>
            <w:vAlign w:val="center"/>
          </w:tcPr>
          <w:p w14:paraId="47979F22">
            <w:pPr>
              <w:spacing w:after="120"/>
              <w:jc w:val="center"/>
              <w:rPr>
                <w:rFonts w:asciiTheme="minorEastAsia" w:hAnsiTheme="minorEastAsia" w:eastAsiaTheme="minorEastAsia"/>
                <w:color w:val="000000" w:themeColor="text1"/>
                <w:sz w:val="24"/>
                <w:szCs w:val="24"/>
                <w:lang w:eastAsia="zh-CN"/>
                <w14:textFill>
                  <w14:solidFill>
                    <w14:schemeClr w14:val="tx1"/>
                  </w14:solidFill>
                </w14:textFill>
              </w:rPr>
            </w:pPr>
            <w:r>
              <w:rPr>
                <w:rFonts w:hint="eastAsia" w:asciiTheme="minorEastAsia" w:hAnsiTheme="minorEastAsia" w:eastAsiaTheme="minorEastAsia"/>
                <w:color w:val="000000" w:themeColor="text1"/>
                <w:sz w:val="24"/>
                <w:szCs w:val="24"/>
                <w:lang w:eastAsia="zh-CN"/>
                <w14:textFill>
                  <w14:solidFill>
                    <w14:schemeClr w14:val="tx1"/>
                  </w14:solidFill>
                </w14:textFill>
              </w:rPr>
              <w:t>合同签订后一年。</w:t>
            </w:r>
          </w:p>
        </w:tc>
      </w:tr>
      <w:tr w14:paraId="219FEF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jc w:val="center"/>
        </w:trPr>
        <w:tc>
          <w:tcPr>
            <w:tcW w:w="2858" w:type="dxa"/>
            <w:gridSpan w:val="2"/>
          </w:tcPr>
          <w:p w14:paraId="50D5455A">
            <w:pPr>
              <w:widowControl w:val="0"/>
              <w:spacing w:before="256" w:line="219" w:lineRule="auto"/>
              <w:ind w:left="951"/>
              <w:rPr>
                <w:rFonts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eastAsia="zh-CN"/>
                <w14:textFill>
                  <w14:solidFill>
                    <w14:schemeClr w14:val="tx1"/>
                  </w14:solidFill>
                </w14:textFill>
              </w:rPr>
              <w:t>服务</w:t>
            </w:r>
            <w:r>
              <w:rPr>
                <w:rFonts w:ascii="宋体" w:hAnsi="宋体" w:eastAsia="宋体" w:cs="宋体"/>
                <w:color w:val="000000" w:themeColor="text1"/>
                <w:sz w:val="24"/>
                <w:szCs w:val="24"/>
                <w14:textFill>
                  <w14:solidFill>
                    <w14:schemeClr w14:val="tx1"/>
                  </w14:solidFill>
                </w14:textFill>
              </w:rPr>
              <w:t>地点</w:t>
            </w:r>
          </w:p>
        </w:tc>
        <w:tc>
          <w:tcPr>
            <w:tcW w:w="7051" w:type="dxa"/>
            <w:vAlign w:val="center"/>
          </w:tcPr>
          <w:p w14:paraId="015688C0">
            <w:pPr>
              <w:spacing w:after="120"/>
              <w:jc w:val="center"/>
              <w:rPr>
                <w:rFonts w:hint="default" w:asciiTheme="minorEastAsia" w:hAnsiTheme="minorEastAsia" w:eastAsiaTheme="minorEastAsia"/>
                <w:color w:val="000000" w:themeColor="text1"/>
                <w:sz w:val="24"/>
                <w:szCs w:val="24"/>
                <w:lang w:val="en-US" w:eastAsia="zh-CN"/>
                <w14:textFill>
                  <w14:solidFill>
                    <w14:schemeClr w14:val="tx1"/>
                  </w14:solidFill>
                </w14:textFill>
              </w:rPr>
            </w:pPr>
            <w:r>
              <w:rPr>
                <w:rFonts w:hint="eastAsia" w:asciiTheme="minorEastAsia" w:hAnsiTheme="minorEastAsia" w:eastAsiaTheme="minorEastAsia"/>
                <w:color w:val="000000" w:themeColor="text1"/>
                <w:sz w:val="24"/>
                <w:szCs w:val="24"/>
                <w:lang w:val="en-US" w:eastAsia="zh-CN"/>
                <w14:textFill>
                  <w14:solidFill>
                    <w14:schemeClr w14:val="tx1"/>
                  </w14:solidFill>
                </w14:textFill>
              </w:rPr>
              <w:t>采购人指定地点</w:t>
            </w:r>
          </w:p>
        </w:tc>
      </w:tr>
      <w:tr w14:paraId="58135A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jc w:val="center"/>
        </w:trPr>
        <w:tc>
          <w:tcPr>
            <w:tcW w:w="2858" w:type="dxa"/>
            <w:gridSpan w:val="2"/>
          </w:tcPr>
          <w:p w14:paraId="6E7F2106">
            <w:pPr>
              <w:widowControl w:val="0"/>
              <w:spacing w:before="256" w:line="221" w:lineRule="auto"/>
              <w:ind w:left="1189"/>
              <w:rPr>
                <w:rFonts w:ascii="宋体" w:hAnsi="宋体" w:eastAsia="宋体" w:cs="宋体"/>
                <w:color w:val="000000" w:themeColor="text1"/>
                <w:sz w:val="24"/>
                <w:szCs w:val="24"/>
                <w14:textFill>
                  <w14:solidFill>
                    <w14:schemeClr w14:val="tx1"/>
                  </w14:solidFill>
                </w14:textFill>
              </w:rPr>
            </w:pPr>
            <w:r>
              <w:rPr>
                <w:rFonts w:ascii="宋体" w:hAnsi="宋体" w:eastAsia="宋体" w:cs="宋体"/>
                <w:color w:val="000000" w:themeColor="text1"/>
                <w:sz w:val="24"/>
                <w:szCs w:val="24"/>
                <w14:textFill>
                  <w14:solidFill>
                    <w14:schemeClr w14:val="tx1"/>
                  </w14:solidFill>
                </w14:textFill>
              </w:rPr>
              <w:t>备注</w:t>
            </w:r>
          </w:p>
        </w:tc>
        <w:tc>
          <w:tcPr>
            <w:tcW w:w="7051" w:type="dxa"/>
            <w:vAlign w:val="center"/>
          </w:tcPr>
          <w:p w14:paraId="7B3A16BF">
            <w:pPr>
              <w:spacing w:after="120"/>
              <w:jc w:val="center"/>
              <w:rPr>
                <w:color w:val="000000" w:themeColor="text1"/>
                <w:lang w:eastAsia="zh-CN"/>
                <w14:textFill>
                  <w14:solidFill>
                    <w14:schemeClr w14:val="tx1"/>
                  </w14:solidFill>
                </w14:textFill>
              </w:rPr>
            </w:pPr>
          </w:p>
        </w:tc>
      </w:tr>
    </w:tbl>
    <w:p w14:paraId="78E114F2">
      <w:pPr>
        <w:pStyle w:val="3"/>
        <w:rPr>
          <w:rFonts w:eastAsiaTheme="minorEastAsia"/>
          <w:color w:val="000000" w:themeColor="text1"/>
          <w:lang w:eastAsia="zh-CN"/>
          <w14:textFill>
            <w14:solidFill>
              <w14:schemeClr w14:val="tx1"/>
            </w14:solidFill>
          </w14:textFill>
        </w:rPr>
      </w:pPr>
    </w:p>
    <w:p w14:paraId="2966A68F">
      <w:pPr>
        <w:pStyle w:val="3"/>
        <w:rPr>
          <w:rFonts w:eastAsiaTheme="minorEastAsia"/>
          <w:color w:val="000000" w:themeColor="text1"/>
          <w:lang w:eastAsia="zh-CN"/>
          <w14:textFill>
            <w14:solidFill>
              <w14:schemeClr w14:val="tx1"/>
            </w14:solidFill>
          </w14:textFill>
        </w:rPr>
      </w:pPr>
    </w:p>
    <w:p w14:paraId="55D6480D">
      <w:pPr>
        <w:pStyle w:val="3"/>
        <w:rPr>
          <w:rFonts w:eastAsiaTheme="minorEastAsia"/>
          <w:color w:val="000000" w:themeColor="text1"/>
          <w:lang w:eastAsia="zh-CN"/>
          <w14:textFill>
            <w14:solidFill>
              <w14:schemeClr w14:val="tx1"/>
            </w14:solidFill>
          </w14:textFill>
        </w:rPr>
      </w:pPr>
    </w:p>
    <w:p w14:paraId="0C8E9214">
      <w:pPr>
        <w:pStyle w:val="3"/>
        <w:rPr>
          <w:rFonts w:eastAsiaTheme="minorEastAsia"/>
          <w:color w:val="000000" w:themeColor="text1"/>
          <w:lang w:eastAsia="zh-CN"/>
          <w14:textFill>
            <w14:solidFill>
              <w14:schemeClr w14:val="tx1"/>
            </w14:solidFill>
          </w14:textFill>
        </w:rPr>
      </w:pPr>
    </w:p>
    <w:p w14:paraId="2FFE2D6D">
      <w:pPr>
        <w:pStyle w:val="3"/>
        <w:rPr>
          <w:rFonts w:eastAsiaTheme="minorEastAsia"/>
          <w:color w:val="000000" w:themeColor="text1"/>
          <w:lang w:eastAsia="zh-CN"/>
          <w14:textFill>
            <w14:solidFill>
              <w14:schemeClr w14:val="tx1"/>
            </w14:solidFill>
          </w14:textFill>
        </w:rPr>
      </w:pPr>
    </w:p>
    <w:p w14:paraId="3FF7B7BC">
      <w:pPr>
        <w:pStyle w:val="3"/>
        <w:rPr>
          <w:rFonts w:eastAsiaTheme="minorEastAsia"/>
          <w:color w:val="000000" w:themeColor="text1"/>
          <w:lang w:eastAsia="zh-CN"/>
          <w14:textFill>
            <w14:solidFill>
              <w14:schemeClr w14:val="tx1"/>
            </w14:solidFill>
          </w14:textFill>
        </w:rPr>
      </w:pPr>
    </w:p>
    <w:p w14:paraId="70E5EB6A">
      <w:pPr>
        <w:widowControl w:val="0"/>
        <w:kinsoku/>
        <w:rPr>
          <w:color w:val="000000" w:themeColor="text1"/>
          <w14:textFill>
            <w14:solidFill>
              <w14:schemeClr w14:val="tx1"/>
            </w14:solidFill>
          </w14:textFill>
        </w:rPr>
        <w:sectPr>
          <w:footerReference r:id="rId3" w:type="default"/>
          <w:pgSz w:w="11906" w:h="16839"/>
          <w:pgMar w:top="1429" w:right="1786" w:bottom="1429" w:left="1786" w:header="0" w:footer="994" w:gutter="0"/>
          <w:cols w:space="720" w:num="1"/>
        </w:sectPr>
      </w:pPr>
    </w:p>
    <w:p w14:paraId="16E5CDD9">
      <w:pPr>
        <w:widowControl w:val="0"/>
        <w:kinsoku/>
        <w:spacing w:before="47" w:line="219" w:lineRule="auto"/>
        <w:jc w:val="center"/>
        <w:outlineLvl w:val="1"/>
        <w:rPr>
          <w:rFonts w:ascii="宋体" w:hAnsi="宋体" w:eastAsia="宋体" w:cs="宋体"/>
          <w:b/>
          <w:color w:val="000000" w:themeColor="text1"/>
          <w:spacing w:val="-2"/>
          <w:sz w:val="28"/>
          <w:szCs w:val="24"/>
          <w:lang w:eastAsia="zh-CN"/>
          <w14:textFill>
            <w14:solidFill>
              <w14:schemeClr w14:val="tx1"/>
            </w14:solidFill>
          </w14:textFill>
        </w:rPr>
      </w:pPr>
      <w:bookmarkStart w:id="1" w:name="bookmark81"/>
      <w:bookmarkEnd w:id="1"/>
      <w:bookmarkStart w:id="2" w:name="_Toc19467"/>
      <w:r>
        <w:rPr>
          <w:rFonts w:ascii="宋体" w:hAnsi="宋体" w:eastAsia="宋体" w:cs="宋体"/>
          <w:b/>
          <w:color w:val="000000" w:themeColor="text1"/>
          <w:spacing w:val="-2"/>
          <w:sz w:val="28"/>
          <w:szCs w:val="24"/>
          <w:lang w:eastAsia="zh-CN"/>
          <w14:textFill>
            <w14:solidFill>
              <w14:schemeClr w14:val="tx1"/>
            </w14:solidFill>
          </w14:textFill>
        </w:rPr>
        <w:t>二、采购</w:t>
      </w:r>
      <w:r>
        <w:rPr>
          <w:rFonts w:hint="eastAsia" w:ascii="宋体" w:hAnsi="宋体" w:eastAsia="宋体" w:cs="宋体"/>
          <w:b/>
          <w:color w:val="000000" w:themeColor="text1"/>
          <w:spacing w:val="-2"/>
          <w:sz w:val="28"/>
          <w:szCs w:val="24"/>
          <w:lang w:eastAsia="zh-CN"/>
          <w14:textFill>
            <w14:solidFill>
              <w14:schemeClr w14:val="tx1"/>
            </w14:solidFill>
          </w14:textFill>
        </w:rPr>
        <w:t>要</w:t>
      </w:r>
      <w:r>
        <w:rPr>
          <w:rFonts w:ascii="宋体" w:hAnsi="宋体" w:eastAsia="宋体" w:cs="宋体"/>
          <w:b/>
          <w:color w:val="000000" w:themeColor="text1"/>
          <w:spacing w:val="-2"/>
          <w:sz w:val="28"/>
          <w:szCs w:val="24"/>
          <w:lang w:eastAsia="zh-CN"/>
          <w14:textFill>
            <w14:solidFill>
              <w14:schemeClr w14:val="tx1"/>
            </w14:solidFill>
          </w14:textFill>
        </w:rPr>
        <w:t>求</w:t>
      </w:r>
      <w:bookmarkEnd w:id="2"/>
    </w:p>
    <w:p w14:paraId="008042C5">
      <w:pPr>
        <w:widowControl w:val="0"/>
        <w:kinsoku/>
        <w:spacing w:before="47" w:line="219" w:lineRule="auto"/>
        <w:jc w:val="center"/>
        <w:outlineLvl w:val="1"/>
        <w:rPr>
          <w:rFonts w:ascii="宋体" w:hAnsi="宋体" w:eastAsia="宋体" w:cs="宋体"/>
          <w:b/>
          <w:color w:val="000000" w:themeColor="text1"/>
          <w:spacing w:val="-2"/>
          <w:sz w:val="28"/>
          <w:szCs w:val="24"/>
          <w:lang w:eastAsia="zh-CN"/>
          <w14:textFill>
            <w14:solidFill>
              <w14:schemeClr w14:val="tx1"/>
            </w14:solidFill>
          </w14:textFill>
        </w:rPr>
      </w:pPr>
    </w:p>
    <w:p w14:paraId="436A7BA2">
      <w:pPr>
        <w:keepNext w:val="0"/>
        <w:keepLines w:val="0"/>
        <w:pageBreakBefore w:val="0"/>
        <w:widowControl/>
        <w:kinsoku w:val="0"/>
        <w:wordWrap/>
        <w:overflowPunct/>
        <w:topLinePunct w:val="0"/>
        <w:autoSpaceDE w:val="0"/>
        <w:autoSpaceDN w:val="0"/>
        <w:bidi w:val="0"/>
        <w:adjustRightInd w:val="0"/>
        <w:snapToGrid w:val="0"/>
        <w:spacing w:line="360" w:lineRule="auto"/>
        <w:ind w:left="-420" w:leftChars="-200" w:right="-420" w:rightChars="-200" w:firstLine="480" w:firstLineChars="200"/>
        <w:textAlignment w:val="baseline"/>
        <w:rPr>
          <w:rFonts w:hint="eastAsia" w:asciiTheme="minorEastAsia" w:hAnsiTheme="minorEastAsia" w:eastAsiaTheme="minorEastAsia" w:cstheme="minorEastAsia"/>
          <w:color w:val="000000" w:themeColor="text1"/>
          <w:sz w:val="24"/>
          <w:szCs w:val="24"/>
          <w14:textFill>
            <w14:solidFill>
              <w14:schemeClr w14:val="tx1"/>
            </w14:solidFill>
          </w14:textFill>
        </w:rPr>
      </w:pPr>
      <w:bookmarkStart w:id="3" w:name="_Toc505955294"/>
      <w:bookmarkStart w:id="4" w:name="_Toc6480"/>
      <w:r>
        <w:rPr>
          <w:rFonts w:hint="eastAsia" w:asciiTheme="minorEastAsia" w:hAnsiTheme="minorEastAsia" w:eastAsiaTheme="minorEastAsia" w:cstheme="minorEastAsia"/>
          <w:color w:val="000000" w:themeColor="text1"/>
          <w:sz w:val="24"/>
          <w:szCs w:val="24"/>
          <w14:textFill>
            <w14:solidFill>
              <w14:schemeClr w14:val="tx1"/>
            </w14:solidFill>
          </w14:textFill>
        </w:rPr>
        <w:t>（一）</w:t>
      </w:r>
      <w:r>
        <w:rPr>
          <w:rFonts w:hint="eastAsia" w:asciiTheme="minorEastAsia" w:hAnsiTheme="minorEastAsia" w:eastAsiaTheme="minorEastAsia" w:cstheme="minorEastAsia"/>
          <w:color w:val="000000" w:themeColor="text1"/>
          <w:sz w:val="24"/>
          <w:szCs w:val="24"/>
          <w:lang w:eastAsia="zh-CN"/>
          <w14:textFill>
            <w14:solidFill>
              <w14:schemeClr w14:val="tx1"/>
            </w14:solidFill>
          </w14:textFill>
        </w:rPr>
        <w:t>服务</w:t>
      </w:r>
      <w:r>
        <w:rPr>
          <w:rFonts w:hint="eastAsia" w:asciiTheme="minorEastAsia" w:hAnsiTheme="minorEastAsia" w:eastAsiaTheme="minorEastAsia" w:cstheme="minorEastAsia"/>
          <w:color w:val="000000" w:themeColor="text1"/>
          <w:sz w:val="24"/>
          <w:szCs w:val="24"/>
          <w14:textFill>
            <w14:solidFill>
              <w14:schemeClr w14:val="tx1"/>
            </w14:solidFill>
          </w14:textFill>
        </w:rPr>
        <w:t>需求</w:t>
      </w:r>
    </w:p>
    <w:p w14:paraId="1EFB8206">
      <w:pPr>
        <w:keepNext w:val="0"/>
        <w:keepLines w:val="0"/>
        <w:pageBreakBefore w:val="0"/>
        <w:widowControl/>
        <w:kinsoku/>
        <w:wordWrap/>
        <w:overflowPunct/>
        <w:topLinePunct w:val="0"/>
        <w:autoSpaceDE/>
        <w:autoSpaceDN/>
        <w:bidi w:val="0"/>
        <w:adjustRightInd/>
        <w:snapToGrid w:val="0"/>
        <w:spacing w:line="360" w:lineRule="auto"/>
        <w:ind w:firstLine="0" w:firstLineChars="0"/>
        <w:jc w:val="left"/>
        <w:textAlignment w:val="center"/>
        <w:outlineLvl w:val="1"/>
        <w:rPr>
          <w:rFonts w:hint="eastAsia" w:ascii="宋体" w:hAnsi="宋体" w:eastAsia="宋体" w:cs="宋体"/>
          <w:color w:val="000000" w:themeColor="text1"/>
          <w:sz w:val="24"/>
          <w:szCs w:val="24"/>
          <w:lang w:val="en-US" w:eastAsia="zh-CN"/>
          <w14:textFill>
            <w14:solidFill>
              <w14:schemeClr w14:val="tx1"/>
            </w14:solidFill>
          </w14:textFill>
        </w:rPr>
      </w:pPr>
      <w:bookmarkStart w:id="5" w:name="_Toc22446"/>
      <w:bookmarkStart w:id="6" w:name="_Toc23521"/>
      <w:r>
        <w:rPr>
          <w:rFonts w:hint="eastAsia" w:ascii="宋体" w:hAnsi="宋体" w:eastAsia="宋体" w:cs="宋体"/>
          <w:b/>
          <w:bCs/>
          <w:color w:val="000000" w:themeColor="text1"/>
          <w:kern w:val="2"/>
          <w:sz w:val="24"/>
          <w:szCs w:val="24"/>
          <w:lang w:val="en-US" w:eastAsia="zh-CN" w:bidi="ar-SA"/>
          <w14:textFill>
            <w14:solidFill>
              <w14:schemeClr w14:val="tx1"/>
            </w14:solidFill>
          </w14:textFill>
        </w:rPr>
        <w:t>1.人员配备</w:t>
      </w:r>
      <w:bookmarkEnd w:id="5"/>
      <w:bookmarkEnd w:id="6"/>
    </w:p>
    <w:p w14:paraId="43CBCFD8">
      <w:pPr>
        <w:keepNext w:val="0"/>
        <w:keepLines w:val="0"/>
        <w:pageBreakBefore w:val="0"/>
        <w:widowControl/>
        <w:kinsoku/>
        <w:wordWrap/>
        <w:overflowPunct/>
        <w:topLinePunct w:val="0"/>
        <w:autoSpaceDE/>
        <w:autoSpaceDN/>
        <w:bidi w:val="0"/>
        <w:adjustRightInd/>
        <w:snapToGrid w:val="0"/>
        <w:spacing w:line="360" w:lineRule="auto"/>
        <w:ind w:firstLine="0" w:firstLineChars="0"/>
        <w:jc w:val="left"/>
        <w:textAlignment w:val="center"/>
        <w:outlineLvl w:val="9"/>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项目配备2名人员驻点园区，其中包含1名项目负责人，1名技术人员，1辆工作车常驻园区。负责对园区企业环保工作进行日常巡查、监管和指导;对园区境内公共区域建筑垃圾、工业固废等乱倒乱放情况进行巡查和监管;起草涉环保问题的相关文字材料;为园区提供涉环保方面的技术指导和专业咨询。</w:t>
      </w:r>
    </w:p>
    <w:p w14:paraId="3C1C961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1"/>
        <w:rPr>
          <w:rFonts w:hint="eastAsia" w:ascii="宋体" w:hAnsi="宋体" w:eastAsia="宋体" w:cs="宋体"/>
          <w:i w:val="0"/>
          <w:color w:val="000000" w:themeColor="text1"/>
          <w:kern w:val="0"/>
          <w:sz w:val="24"/>
          <w:szCs w:val="24"/>
          <w:u w:val="none"/>
          <w:lang w:val="en-US" w:eastAsia="zh-CN" w:bidi="ar"/>
          <w14:textFill>
            <w14:solidFill>
              <w14:schemeClr w14:val="tx1"/>
            </w14:solidFill>
          </w14:textFill>
        </w:rPr>
      </w:pPr>
      <w:bookmarkStart w:id="7" w:name="_Toc6938"/>
      <w:bookmarkStart w:id="8" w:name="_Toc973"/>
      <w:r>
        <w:rPr>
          <w:rFonts w:hint="eastAsia" w:ascii="宋体" w:hAnsi="宋体" w:eastAsia="宋体" w:cs="宋体"/>
          <w:b/>
          <w:bCs/>
          <w:color w:val="000000" w:themeColor="text1"/>
          <w:kern w:val="2"/>
          <w:sz w:val="24"/>
          <w:szCs w:val="24"/>
          <w:lang w:val="en-US" w:eastAsia="zh-CN" w:bidi="ar-SA"/>
          <w14:textFill>
            <w14:solidFill>
              <w14:schemeClr w14:val="tx1"/>
            </w14:solidFill>
          </w14:textFill>
        </w:rPr>
        <w:t>2.企业环境风险隐患排查与评估</w:t>
      </w:r>
      <w:bookmarkEnd w:id="7"/>
      <w:bookmarkEnd w:id="8"/>
    </w:p>
    <w:p w14:paraId="6E55A69F">
      <w:pPr>
        <w:keepNext w:val="0"/>
        <w:keepLines w:val="0"/>
        <w:pageBreakBefore w:val="0"/>
        <w:widowControl/>
        <w:kinsoku/>
        <w:wordWrap/>
        <w:overflowPunct/>
        <w:topLinePunct w:val="0"/>
        <w:autoSpaceDE/>
        <w:autoSpaceDN/>
        <w:bidi w:val="0"/>
        <w:adjustRightInd/>
        <w:snapToGrid w:val="0"/>
        <w:spacing w:line="360" w:lineRule="auto"/>
        <w:ind w:firstLine="0" w:firstLineChars="0"/>
        <w:jc w:val="left"/>
        <w:textAlignment w:val="center"/>
        <w:outlineLvl w:val="9"/>
        <w:rPr>
          <w:rFonts w:hint="eastAsia" w:ascii="宋体" w:hAnsi="宋体" w:eastAsia="宋体" w:cs="宋体"/>
          <w:bCs/>
          <w:color w:val="000000" w:themeColor="text1"/>
          <w:sz w:val="24"/>
          <w:szCs w:val="24"/>
          <w:lang w:val="en-US" w:eastAsia="zh-CN"/>
          <w14:textFill>
            <w14:solidFill>
              <w14:schemeClr w14:val="tx1"/>
            </w14:solidFill>
          </w14:textFill>
        </w:rPr>
      </w:pPr>
      <w:r>
        <w:rPr>
          <w:rFonts w:hint="eastAsia" w:ascii="宋体" w:hAnsi="宋体" w:eastAsia="宋体" w:cs="宋体"/>
          <w:bCs/>
          <w:color w:val="000000" w:themeColor="text1"/>
          <w:sz w:val="24"/>
          <w:szCs w:val="24"/>
          <w:lang w:val="en-US" w:eastAsia="zh-CN"/>
          <w14:textFill>
            <w14:solidFill>
              <w14:schemeClr w14:val="tx1"/>
            </w14:solidFill>
          </w14:textFill>
        </w:rPr>
        <w:t>第一轮全面排查完成后，对园区企业进行分级，建立在产企业花名册。对排查情况进行统计分析，编制排查报告并提出整改措施。隐患排查重点针对以下方面：</w:t>
      </w:r>
    </w:p>
    <w:p w14:paraId="285BB4F3">
      <w:pPr>
        <w:keepNext w:val="0"/>
        <w:keepLines w:val="0"/>
        <w:pageBreakBefore w:val="0"/>
        <w:widowControl/>
        <w:kinsoku/>
        <w:wordWrap/>
        <w:overflowPunct/>
        <w:topLinePunct w:val="0"/>
        <w:autoSpaceDE/>
        <w:autoSpaceDN/>
        <w:bidi w:val="0"/>
        <w:adjustRightInd/>
        <w:snapToGrid w:val="0"/>
        <w:spacing w:line="360" w:lineRule="auto"/>
        <w:ind w:firstLine="0" w:firstLineChars="0"/>
        <w:jc w:val="left"/>
        <w:textAlignment w:val="center"/>
        <w:outlineLvl w:val="9"/>
        <w:rPr>
          <w:rFonts w:hint="eastAsia" w:ascii="宋体" w:hAnsi="宋体" w:eastAsia="宋体" w:cs="宋体"/>
          <w:bCs/>
          <w:color w:val="000000" w:themeColor="text1"/>
          <w:sz w:val="24"/>
          <w:szCs w:val="24"/>
          <w:lang w:val="en-US" w:eastAsia="zh-CN"/>
          <w14:textFill>
            <w14:solidFill>
              <w14:schemeClr w14:val="tx1"/>
            </w14:solidFill>
          </w14:textFill>
        </w:rPr>
      </w:pPr>
      <w:r>
        <w:rPr>
          <w:rFonts w:hint="eastAsia" w:ascii="宋体" w:hAnsi="宋体" w:eastAsia="宋体" w:cs="宋体"/>
          <w:bCs/>
          <w:color w:val="000000" w:themeColor="text1"/>
          <w:sz w:val="24"/>
          <w:szCs w:val="24"/>
          <w:lang w:val="en-US" w:eastAsia="zh-CN"/>
          <w14:textFill>
            <w14:solidFill>
              <w14:schemeClr w14:val="tx1"/>
            </w14:solidFill>
          </w14:textFill>
        </w:rPr>
        <w:t>（1）环保手续排查：环评、验收、排污许可等情况进行检查；</w:t>
      </w:r>
    </w:p>
    <w:p w14:paraId="5F2A6A43">
      <w:pPr>
        <w:keepNext w:val="0"/>
        <w:keepLines w:val="0"/>
        <w:pageBreakBefore w:val="0"/>
        <w:widowControl/>
        <w:kinsoku/>
        <w:wordWrap/>
        <w:overflowPunct/>
        <w:topLinePunct w:val="0"/>
        <w:autoSpaceDE/>
        <w:autoSpaceDN/>
        <w:bidi w:val="0"/>
        <w:adjustRightInd/>
        <w:snapToGrid w:val="0"/>
        <w:spacing w:line="360" w:lineRule="auto"/>
        <w:ind w:firstLine="0" w:firstLineChars="0"/>
        <w:jc w:val="left"/>
        <w:textAlignment w:val="center"/>
        <w:outlineLvl w:val="9"/>
        <w:rPr>
          <w:rFonts w:hint="eastAsia" w:ascii="宋体" w:hAnsi="宋体" w:eastAsia="宋体" w:cs="宋体"/>
          <w:bCs/>
          <w:color w:val="000000" w:themeColor="text1"/>
          <w:sz w:val="24"/>
          <w:szCs w:val="24"/>
          <w:lang w:val="en-US" w:eastAsia="zh-CN"/>
          <w14:textFill>
            <w14:solidFill>
              <w14:schemeClr w14:val="tx1"/>
            </w14:solidFill>
          </w14:textFill>
        </w:rPr>
      </w:pPr>
      <w:r>
        <w:rPr>
          <w:rFonts w:hint="eastAsia" w:ascii="宋体" w:hAnsi="宋体" w:eastAsia="宋体" w:cs="宋体"/>
          <w:bCs/>
          <w:color w:val="000000" w:themeColor="text1"/>
          <w:sz w:val="24"/>
          <w:szCs w:val="24"/>
          <w:lang w:val="en-US" w:eastAsia="zh-CN"/>
          <w14:textFill>
            <w14:solidFill>
              <w14:schemeClr w14:val="tx1"/>
            </w14:solidFill>
          </w14:textFill>
        </w:rPr>
        <w:t>（2）治理设施排查：废水、废气等污染物产生情况及是否建立废水、废气治理设施运行情况，包括治理设施的处理能力，运行台账，药剂易耗品更换记录等；</w:t>
      </w:r>
    </w:p>
    <w:p w14:paraId="11E64AD6">
      <w:pPr>
        <w:keepNext w:val="0"/>
        <w:keepLines w:val="0"/>
        <w:pageBreakBefore w:val="0"/>
        <w:widowControl/>
        <w:kinsoku/>
        <w:wordWrap/>
        <w:overflowPunct/>
        <w:topLinePunct w:val="0"/>
        <w:autoSpaceDE/>
        <w:autoSpaceDN/>
        <w:bidi w:val="0"/>
        <w:adjustRightInd/>
        <w:snapToGrid w:val="0"/>
        <w:spacing w:line="360" w:lineRule="auto"/>
        <w:ind w:firstLine="0" w:firstLineChars="0"/>
        <w:jc w:val="left"/>
        <w:textAlignment w:val="center"/>
        <w:outlineLvl w:val="9"/>
        <w:rPr>
          <w:rFonts w:hint="eastAsia" w:ascii="宋体" w:hAnsi="宋体" w:eastAsia="宋体" w:cs="宋体"/>
          <w:bCs/>
          <w:color w:val="000000" w:themeColor="text1"/>
          <w:sz w:val="24"/>
          <w:szCs w:val="24"/>
          <w:lang w:val="en-US" w:eastAsia="zh-CN"/>
          <w14:textFill>
            <w14:solidFill>
              <w14:schemeClr w14:val="tx1"/>
            </w14:solidFill>
          </w14:textFill>
        </w:rPr>
      </w:pPr>
      <w:r>
        <w:rPr>
          <w:rFonts w:hint="eastAsia" w:ascii="宋体" w:hAnsi="宋体" w:eastAsia="宋体" w:cs="宋体"/>
          <w:bCs/>
          <w:color w:val="000000" w:themeColor="text1"/>
          <w:sz w:val="24"/>
          <w:szCs w:val="24"/>
          <w:lang w:val="en-US" w:eastAsia="zh-CN"/>
          <w14:textFill>
            <w14:solidFill>
              <w14:schemeClr w14:val="tx1"/>
            </w14:solidFill>
          </w14:textFill>
        </w:rPr>
        <w:t>（3）危废、一般固废排查：检查危废、一般固废的种类、数量、产生方式，贮存场所是否符合要求，产生、收集、贮存、转移环节是否合规；</w:t>
      </w:r>
    </w:p>
    <w:p w14:paraId="05D262DB">
      <w:pPr>
        <w:keepNext w:val="0"/>
        <w:keepLines w:val="0"/>
        <w:pageBreakBefore w:val="0"/>
        <w:widowControl/>
        <w:kinsoku/>
        <w:wordWrap/>
        <w:overflowPunct/>
        <w:topLinePunct w:val="0"/>
        <w:autoSpaceDE/>
        <w:autoSpaceDN/>
        <w:bidi w:val="0"/>
        <w:adjustRightInd/>
        <w:snapToGrid w:val="0"/>
        <w:spacing w:line="360" w:lineRule="auto"/>
        <w:ind w:firstLine="0" w:firstLineChars="0"/>
        <w:jc w:val="left"/>
        <w:textAlignment w:val="center"/>
        <w:outlineLvl w:val="9"/>
        <w:rPr>
          <w:rFonts w:hint="eastAsia" w:ascii="宋体" w:hAnsi="宋体" w:eastAsia="宋体" w:cs="宋体"/>
          <w:bCs/>
          <w:color w:val="000000" w:themeColor="text1"/>
          <w:sz w:val="24"/>
          <w:szCs w:val="24"/>
          <w:lang w:val="en-US" w:eastAsia="zh-CN"/>
          <w14:textFill>
            <w14:solidFill>
              <w14:schemeClr w14:val="tx1"/>
            </w14:solidFill>
          </w14:textFill>
        </w:rPr>
      </w:pPr>
      <w:r>
        <w:rPr>
          <w:rFonts w:hint="eastAsia" w:ascii="宋体" w:hAnsi="宋体" w:eastAsia="宋体" w:cs="宋体"/>
          <w:bCs/>
          <w:color w:val="000000" w:themeColor="text1"/>
          <w:sz w:val="24"/>
          <w:szCs w:val="24"/>
          <w:lang w:val="en-US" w:eastAsia="zh-CN"/>
          <w14:textFill>
            <w14:solidFill>
              <w14:schemeClr w14:val="tx1"/>
            </w14:solidFill>
          </w14:textFill>
        </w:rPr>
        <w:t>（4）污染源排口检查：检查废水、废气排放口的设置是否合规、排放口数量是否合规、是否按要求设置环保标识牌、企业环保信息及排污情况是否公示；</w:t>
      </w:r>
    </w:p>
    <w:p w14:paraId="142B687D">
      <w:pPr>
        <w:keepNext w:val="0"/>
        <w:keepLines w:val="0"/>
        <w:pageBreakBefore w:val="0"/>
        <w:widowControl/>
        <w:kinsoku/>
        <w:wordWrap/>
        <w:overflowPunct/>
        <w:topLinePunct w:val="0"/>
        <w:autoSpaceDE/>
        <w:autoSpaceDN/>
        <w:bidi w:val="0"/>
        <w:adjustRightInd/>
        <w:snapToGrid w:val="0"/>
        <w:spacing w:line="360" w:lineRule="auto"/>
        <w:ind w:firstLine="0" w:firstLineChars="0"/>
        <w:jc w:val="left"/>
        <w:textAlignment w:val="center"/>
        <w:outlineLvl w:val="9"/>
        <w:rPr>
          <w:rFonts w:hint="eastAsia" w:ascii="宋体" w:hAnsi="宋体" w:eastAsia="宋体" w:cs="宋体"/>
          <w:bCs/>
          <w:color w:val="000000" w:themeColor="text1"/>
          <w:sz w:val="24"/>
          <w:szCs w:val="24"/>
          <w:lang w:val="en-US" w:eastAsia="zh-CN"/>
          <w14:textFill>
            <w14:solidFill>
              <w14:schemeClr w14:val="tx1"/>
            </w14:solidFill>
          </w14:textFill>
        </w:rPr>
      </w:pPr>
      <w:r>
        <w:rPr>
          <w:rFonts w:hint="eastAsia" w:ascii="宋体" w:hAnsi="宋体" w:eastAsia="宋体" w:cs="宋体"/>
          <w:bCs/>
          <w:color w:val="000000" w:themeColor="text1"/>
          <w:sz w:val="24"/>
          <w:szCs w:val="24"/>
          <w:lang w:val="en-US" w:eastAsia="zh-CN"/>
          <w14:textFill>
            <w14:solidFill>
              <w14:schemeClr w14:val="tx1"/>
            </w14:solidFill>
          </w14:textFill>
        </w:rPr>
        <w:t>（5）环境风险及应急预案检查：排查园区企业环境风险物质使用及贮存、处置等过程，结合企业的环境风险评估、风险应急预案，梳理企业存在的环境风险，检查企业环境风险控制及防范措施是否落实；</w:t>
      </w:r>
    </w:p>
    <w:p w14:paraId="246D68F9">
      <w:pPr>
        <w:keepNext w:val="0"/>
        <w:keepLines w:val="0"/>
        <w:pageBreakBefore w:val="0"/>
        <w:widowControl/>
        <w:kinsoku/>
        <w:wordWrap/>
        <w:overflowPunct/>
        <w:topLinePunct w:val="0"/>
        <w:autoSpaceDE/>
        <w:autoSpaceDN/>
        <w:bidi w:val="0"/>
        <w:adjustRightInd/>
        <w:snapToGrid w:val="0"/>
        <w:spacing w:line="360" w:lineRule="auto"/>
        <w:ind w:firstLine="0" w:firstLineChars="0"/>
        <w:jc w:val="left"/>
        <w:textAlignment w:val="center"/>
        <w:outlineLvl w:val="9"/>
        <w:rPr>
          <w:rFonts w:hint="eastAsia" w:ascii="宋体" w:hAnsi="宋体" w:eastAsia="宋体" w:cs="宋体"/>
          <w:bCs/>
          <w:color w:val="000000" w:themeColor="text1"/>
          <w:sz w:val="24"/>
          <w:szCs w:val="24"/>
          <w:lang w:val="en-US" w:eastAsia="zh-CN"/>
          <w14:textFill>
            <w14:solidFill>
              <w14:schemeClr w14:val="tx1"/>
            </w14:solidFill>
          </w14:textFill>
        </w:rPr>
      </w:pPr>
      <w:r>
        <w:rPr>
          <w:rFonts w:hint="eastAsia" w:ascii="宋体" w:hAnsi="宋体" w:eastAsia="宋体" w:cs="宋体"/>
          <w:bCs/>
          <w:color w:val="000000" w:themeColor="text1"/>
          <w:sz w:val="24"/>
          <w:szCs w:val="24"/>
          <w:lang w:val="en-US" w:eastAsia="zh-CN"/>
          <w14:textFill>
            <w14:solidFill>
              <w14:schemeClr w14:val="tx1"/>
            </w14:solidFill>
          </w14:textFill>
        </w:rPr>
        <w:t>（6）编制环境隐患排查报告，提供相应整改建议，跟踪企业整改落实进度，对整改反馈情况进行复核。</w:t>
      </w:r>
    </w:p>
    <w:p w14:paraId="571D5D21">
      <w:pPr>
        <w:keepNext w:val="0"/>
        <w:keepLines w:val="0"/>
        <w:pageBreakBefore w:val="0"/>
        <w:widowControl/>
        <w:kinsoku/>
        <w:wordWrap/>
        <w:overflowPunct/>
        <w:topLinePunct w:val="0"/>
        <w:autoSpaceDE/>
        <w:autoSpaceDN/>
        <w:bidi w:val="0"/>
        <w:adjustRightInd/>
        <w:snapToGrid w:val="0"/>
        <w:spacing w:line="360" w:lineRule="auto"/>
        <w:ind w:firstLine="0" w:firstLineChars="0"/>
        <w:jc w:val="left"/>
        <w:textAlignment w:val="center"/>
        <w:outlineLvl w:val="1"/>
        <w:rPr>
          <w:rFonts w:hint="eastAsia" w:ascii="宋体" w:hAnsi="宋体" w:eastAsia="宋体" w:cs="宋体"/>
          <w:color w:val="000000" w:themeColor="text1"/>
          <w:sz w:val="28"/>
          <w:szCs w:val="28"/>
          <w:lang w:val="en-US" w:eastAsia="zh-CN"/>
          <w14:textFill>
            <w14:solidFill>
              <w14:schemeClr w14:val="tx1"/>
            </w14:solidFill>
          </w14:textFill>
        </w:rPr>
      </w:pPr>
      <w:bookmarkStart w:id="9" w:name="_Toc5778"/>
      <w:bookmarkStart w:id="10" w:name="_Toc549"/>
      <w:bookmarkStart w:id="11" w:name="_Toc16399"/>
      <w:r>
        <w:rPr>
          <w:rFonts w:hint="eastAsia" w:ascii="宋体" w:hAnsi="宋体" w:eastAsia="宋体" w:cs="宋体"/>
          <w:b/>
          <w:bCs/>
          <w:color w:val="000000" w:themeColor="text1"/>
          <w:kern w:val="2"/>
          <w:sz w:val="24"/>
          <w:szCs w:val="24"/>
          <w:lang w:val="en-US" w:eastAsia="zh-CN" w:bidi="ar-SA"/>
          <w14:textFill>
            <w14:solidFill>
              <w14:schemeClr w14:val="tx1"/>
            </w14:solidFill>
          </w14:textFill>
        </w:rPr>
        <w:t>3.</w:t>
      </w:r>
      <w:bookmarkEnd w:id="9"/>
      <w:bookmarkEnd w:id="10"/>
      <w:r>
        <w:rPr>
          <w:rFonts w:hint="eastAsia" w:ascii="宋体" w:hAnsi="宋体" w:eastAsia="宋体" w:cs="宋体"/>
          <w:b/>
          <w:bCs/>
          <w:color w:val="000000" w:themeColor="text1"/>
          <w:kern w:val="2"/>
          <w:sz w:val="24"/>
          <w:szCs w:val="24"/>
          <w:lang w:val="en-US" w:eastAsia="zh-CN" w:bidi="ar-SA"/>
          <w14:textFill>
            <w14:solidFill>
              <w14:schemeClr w14:val="tx1"/>
            </w14:solidFill>
          </w14:textFill>
        </w:rPr>
        <w:t>园区外环境日常管理</w:t>
      </w:r>
      <w:bookmarkEnd w:id="11"/>
    </w:p>
    <w:p w14:paraId="44D68932">
      <w:pPr>
        <w:keepNext w:val="0"/>
        <w:keepLines w:val="0"/>
        <w:pageBreakBefore w:val="0"/>
        <w:widowControl/>
        <w:kinsoku/>
        <w:wordWrap/>
        <w:overflowPunct/>
        <w:topLinePunct w:val="0"/>
        <w:autoSpaceDE/>
        <w:autoSpaceDN/>
        <w:bidi w:val="0"/>
        <w:adjustRightInd/>
        <w:snapToGrid w:val="0"/>
        <w:spacing w:line="360" w:lineRule="auto"/>
        <w:ind w:firstLine="0" w:firstLineChars="0"/>
        <w:jc w:val="left"/>
        <w:textAlignment w:val="center"/>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定期利用无人机</w:t>
      </w:r>
      <w:r>
        <w:rPr>
          <w:rFonts w:hint="eastAsia" w:ascii="宋体" w:hAnsi="宋体" w:eastAsia="宋体" w:cs="宋体"/>
          <w:b w:val="0"/>
          <w:bCs w:val="0"/>
          <w:color w:val="000000" w:themeColor="text1"/>
          <w:sz w:val="24"/>
          <w:szCs w:val="24"/>
          <w:lang w:val="en-US" w:eastAsia="zh-CN"/>
          <w14:textFill>
            <w14:solidFill>
              <w14:schemeClr w14:val="tx1"/>
            </w14:solidFill>
          </w14:textFill>
        </w:rPr>
        <w:t>沿园区主、辅道路对园区企业开展日常巡查，借助无人机等高科技技术，巡查企业是否存在无组织排放、固体废物露天堆放、焚烧等情况</w:t>
      </w:r>
      <w:r>
        <w:rPr>
          <w:rFonts w:hint="eastAsia" w:ascii="宋体" w:hAnsi="宋体" w:eastAsia="宋体" w:cs="宋体"/>
          <w:bCs/>
          <w:color w:val="000000" w:themeColor="text1"/>
          <w:sz w:val="24"/>
          <w:szCs w:val="24"/>
          <w:lang w:val="en-US" w:eastAsia="zh-CN"/>
          <w14:textFill>
            <w14:solidFill>
              <w14:schemeClr w14:val="tx1"/>
            </w14:solidFill>
          </w14:textFill>
        </w:rPr>
        <w:t>，实现对环境监管的全方位、立体式、无缝隙的巡查</w:t>
      </w:r>
      <w:r>
        <w:rPr>
          <w:rFonts w:hint="eastAsia" w:ascii="宋体" w:hAnsi="宋体" w:eastAsia="宋体" w:cs="宋体"/>
          <w:b w:val="0"/>
          <w:bCs w:val="0"/>
          <w:color w:val="000000" w:themeColor="text1"/>
          <w:sz w:val="24"/>
          <w:szCs w:val="24"/>
          <w:lang w:val="en-US" w:eastAsia="zh-CN"/>
          <w14:textFill>
            <w14:solidFill>
              <w14:schemeClr w14:val="tx1"/>
            </w14:solidFill>
          </w14:textFill>
        </w:rPr>
        <w:t>。</w:t>
      </w:r>
    </w:p>
    <w:p w14:paraId="4C44A2BA">
      <w:pPr>
        <w:keepNext w:val="0"/>
        <w:keepLines w:val="0"/>
        <w:pageBreakBefore w:val="0"/>
        <w:widowControl/>
        <w:kinsoku/>
        <w:wordWrap/>
        <w:overflowPunct/>
        <w:topLinePunct w:val="0"/>
        <w:autoSpaceDE/>
        <w:autoSpaceDN/>
        <w:bidi w:val="0"/>
        <w:adjustRightInd/>
        <w:snapToGrid w:val="0"/>
        <w:spacing w:line="360" w:lineRule="auto"/>
        <w:ind w:firstLine="0" w:firstLineChars="0"/>
        <w:jc w:val="left"/>
        <w:textAlignment w:val="center"/>
        <w:outlineLvl w:val="1"/>
        <w:rPr>
          <w:rFonts w:hint="eastAsia" w:ascii="宋体" w:hAnsi="宋体" w:eastAsia="宋体" w:cs="宋体"/>
          <w:color w:val="000000" w:themeColor="text1"/>
          <w:sz w:val="28"/>
          <w:szCs w:val="28"/>
          <w:lang w:val="en-US" w:eastAsia="zh-CN"/>
          <w14:textFill>
            <w14:solidFill>
              <w14:schemeClr w14:val="tx1"/>
            </w14:solidFill>
          </w14:textFill>
        </w:rPr>
      </w:pPr>
      <w:bookmarkStart w:id="12" w:name="_Toc2742"/>
      <w:r>
        <w:rPr>
          <w:rFonts w:hint="eastAsia" w:ascii="宋体" w:hAnsi="宋体" w:eastAsia="宋体" w:cs="宋体"/>
          <w:b/>
          <w:bCs/>
          <w:color w:val="000000" w:themeColor="text1"/>
          <w:kern w:val="2"/>
          <w:sz w:val="24"/>
          <w:szCs w:val="24"/>
          <w:lang w:val="en-US" w:eastAsia="zh-CN" w:bidi="ar-SA"/>
          <w14:textFill>
            <w14:solidFill>
              <w14:schemeClr w14:val="tx1"/>
            </w14:solidFill>
          </w14:textFill>
        </w:rPr>
        <w:t>4.入园项目审查</w:t>
      </w:r>
      <w:bookmarkEnd w:id="12"/>
    </w:p>
    <w:p w14:paraId="5940CC3F">
      <w:pPr>
        <w:keepNext w:val="0"/>
        <w:keepLines w:val="0"/>
        <w:pageBreakBefore w:val="0"/>
        <w:widowControl/>
        <w:kinsoku/>
        <w:wordWrap/>
        <w:overflowPunct/>
        <w:topLinePunct w:val="0"/>
        <w:autoSpaceDE/>
        <w:autoSpaceDN/>
        <w:bidi w:val="0"/>
        <w:adjustRightInd/>
        <w:snapToGrid w:val="0"/>
        <w:spacing w:line="360" w:lineRule="auto"/>
        <w:ind w:firstLine="0" w:firstLineChars="0"/>
        <w:jc w:val="left"/>
        <w:textAlignment w:val="center"/>
        <w:rPr>
          <w:rFonts w:hint="eastAsia" w:ascii="宋体" w:hAnsi="宋体" w:eastAsia="宋体" w:cs="宋体"/>
          <w:color w:val="000000" w:themeColor="text1"/>
          <w:sz w:val="24"/>
          <w:szCs w:val="24"/>
          <w:lang w:val="en-US" w:eastAsia="zh-CN"/>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根据园区需求对入驻企业政策相符性、规划相符性进行审核，协助园区做好项目入园审查，同时对园区拟入驻企业在环保方面提出合理化建议。</w:t>
      </w:r>
    </w:p>
    <w:p w14:paraId="61C3F9AD">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1"/>
        <w:rPr>
          <w:rFonts w:hint="eastAsia" w:ascii="宋体" w:hAnsi="宋体" w:eastAsia="宋体" w:cs="宋体"/>
          <w:b/>
          <w:bCs/>
          <w:color w:val="000000" w:themeColor="text1"/>
          <w:kern w:val="2"/>
          <w:sz w:val="24"/>
          <w:szCs w:val="24"/>
          <w:lang w:val="en-US" w:eastAsia="zh-CN" w:bidi="ar-SA"/>
          <w14:textFill>
            <w14:solidFill>
              <w14:schemeClr w14:val="tx1"/>
            </w14:solidFill>
          </w14:textFill>
        </w:rPr>
      </w:pPr>
      <w:bookmarkStart w:id="13" w:name="_Toc20093"/>
      <w:bookmarkStart w:id="14" w:name="_Toc7723"/>
      <w:bookmarkStart w:id="15" w:name="_Toc10394"/>
      <w:r>
        <w:rPr>
          <w:rFonts w:hint="eastAsia" w:ascii="宋体" w:hAnsi="宋体" w:eastAsia="宋体" w:cs="宋体"/>
          <w:b/>
          <w:bCs/>
          <w:color w:val="000000" w:themeColor="text1"/>
          <w:kern w:val="2"/>
          <w:sz w:val="24"/>
          <w:szCs w:val="24"/>
          <w:lang w:val="en-US" w:eastAsia="zh-CN" w:bidi="ar-SA"/>
          <w14:textFill>
            <w14:solidFill>
              <w14:schemeClr w14:val="tx1"/>
            </w14:solidFill>
          </w14:textFill>
        </w:rPr>
        <w:t>5.水质应急溯源</w:t>
      </w:r>
      <w:bookmarkEnd w:id="13"/>
      <w:bookmarkEnd w:id="14"/>
      <w:bookmarkEnd w:id="15"/>
    </w:p>
    <w:p w14:paraId="678F6CB7">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9"/>
        <w:rPr>
          <w:rFonts w:hint="eastAsia" w:ascii="宋体" w:hAnsi="宋体" w:eastAsia="宋体" w:cs="宋体"/>
          <w:b w:val="0"/>
          <w:bCs w:val="0"/>
          <w:color w:val="000000" w:themeColor="text1"/>
          <w:kern w:val="2"/>
          <w:sz w:val="24"/>
          <w:szCs w:val="24"/>
          <w:lang w:val="en-US" w:eastAsia="zh-CN" w:bidi="ar-SA"/>
          <w14:textFill>
            <w14:solidFill>
              <w14:schemeClr w14:val="tx1"/>
            </w14:solidFill>
          </w14:textFill>
        </w:rPr>
      </w:pPr>
      <w:r>
        <w:rPr>
          <w:rFonts w:hint="eastAsia" w:ascii="宋体" w:hAnsi="宋体" w:eastAsia="宋体" w:cs="宋体"/>
          <w:b w:val="0"/>
          <w:bCs w:val="0"/>
          <w:color w:val="000000" w:themeColor="text1"/>
          <w:kern w:val="2"/>
          <w:sz w:val="24"/>
          <w:szCs w:val="24"/>
          <w:lang w:val="en-US" w:eastAsia="zh-CN" w:bidi="ar-SA"/>
          <w14:textFill>
            <w14:solidFill>
              <w14:schemeClr w14:val="tx1"/>
            </w14:solidFill>
          </w14:textFill>
        </w:rPr>
        <w:t>针对园区可能发生的污水处理厂进水浓度异常、园区雨水总排口水质异常以及其他水环境异常现象进行溯源排查。结合园区污水、雨水管网走向以及企业分布，建立区域网格，缩小排查范围，为园区水环境突发状况实现精准溯源。</w:t>
      </w:r>
      <w:bookmarkStart w:id="16" w:name="_Toc20879"/>
    </w:p>
    <w:bookmarkEnd w:id="16"/>
    <w:p w14:paraId="5B2F4E9B">
      <w:pPr>
        <w:pStyle w:val="10"/>
        <w:keepNext/>
        <w:keepLines/>
        <w:pageBreakBefore w:val="0"/>
        <w:widowControl w:val="0"/>
        <w:kinsoku/>
        <w:wordWrap/>
        <w:overflowPunct/>
        <w:topLinePunct w:val="0"/>
        <w:autoSpaceDE/>
        <w:autoSpaceDN/>
        <w:bidi w:val="0"/>
        <w:adjustRightInd/>
        <w:snapToGrid/>
        <w:spacing w:before="0" w:after="0" w:line="360" w:lineRule="auto"/>
        <w:ind w:firstLine="0" w:firstLineChars="0"/>
        <w:textAlignment w:val="auto"/>
        <w:outlineLvl w:val="1"/>
        <w:rPr>
          <w:rFonts w:hint="eastAsia" w:ascii="宋体" w:hAnsi="宋体" w:eastAsia="宋体" w:cs="宋体"/>
          <w:b/>
          <w:bCs/>
          <w:color w:val="000000" w:themeColor="text1"/>
          <w:kern w:val="2"/>
          <w:sz w:val="24"/>
          <w:szCs w:val="24"/>
          <w:lang w:val="en-US" w:eastAsia="zh-CN" w:bidi="ar-SA"/>
          <w14:textFill>
            <w14:solidFill>
              <w14:schemeClr w14:val="tx1"/>
            </w14:solidFill>
          </w14:textFill>
        </w:rPr>
      </w:pPr>
      <w:bookmarkStart w:id="17" w:name="_Toc12070"/>
      <w:bookmarkStart w:id="18" w:name="_Toc4001"/>
      <w:bookmarkStart w:id="19" w:name="_Toc5653"/>
      <w:bookmarkStart w:id="20" w:name="_Toc17450"/>
      <w:bookmarkStart w:id="21" w:name="_Toc5466"/>
      <w:r>
        <w:rPr>
          <w:rFonts w:hint="eastAsia" w:ascii="宋体" w:hAnsi="宋体" w:eastAsia="宋体" w:cs="宋体"/>
          <w:b/>
          <w:bCs/>
          <w:color w:val="000000" w:themeColor="text1"/>
          <w:kern w:val="2"/>
          <w:sz w:val="24"/>
          <w:szCs w:val="24"/>
          <w:lang w:val="en-US" w:eastAsia="zh-CN" w:bidi="ar-SA"/>
          <w14:textFill>
            <w14:solidFill>
              <w14:schemeClr w14:val="tx1"/>
            </w14:solidFill>
          </w14:textFill>
        </w:rPr>
        <w:t>6.在线监控第四方监管</w:t>
      </w:r>
      <w:bookmarkEnd w:id="17"/>
      <w:bookmarkEnd w:id="18"/>
      <w:bookmarkEnd w:id="19"/>
      <w:bookmarkEnd w:id="20"/>
    </w:p>
    <w:p w14:paraId="22E0BFB9">
      <w:pPr>
        <w:keepNext w:val="0"/>
        <w:keepLines w:val="0"/>
        <w:pageBreakBefore w:val="0"/>
        <w:widowControl/>
        <w:kinsoku/>
        <w:wordWrap/>
        <w:overflowPunct/>
        <w:topLinePunct w:val="0"/>
        <w:autoSpaceDE/>
        <w:autoSpaceDN/>
        <w:bidi w:val="0"/>
        <w:adjustRightInd/>
        <w:snapToGrid w:val="0"/>
        <w:spacing w:line="360" w:lineRule="auto"/>
        <w:ind w:firstLine="0" w:firstLineChars="0"/>
        <w:jc w:val="left"/>
        <w:textAlignment w:val="center"/>
        <w:outlineLvl w:val="9"/>
        <w:rPr>
          <w:rFonts w:hint="eastAsia" w:ascii="宋体" w:hAnsi="宋体" w:eastAsia="宋体" w:cs="宋体"/>
          <w:bCs/>
          <w:color w:val="000000" w:themeColor="text1"/>
          <w:sz w:val="24"/>
          <w:szCs w:val="24"/>
          <w:lang w:val="en-US" w:eastAsia="zh-CN"/>
          <w14:textFill>
            <w14:solidFill>
              <w14:schemeClr w14:val="tx1"/>
            </w14:solidFill>
          </w14:textFill>
        </w:rPr>
      </w:pPr>
      <w:r>
        <w:rPr>
          <w:rFonts w:hint="eastAsia" w:ascii="宋体" w:hAnsi="宋体" w:eastAsia="宋体" w:cs="宋体"/>
          <w:bCs/>
          <w:color w:val="000000" w:themeColor="text1"/>
          <w:sz w:val="24"/>
          <w:szCs w:val="24"/>
          <w:lang w:val="en-US" w:eastAsia="zh-CN"/>
          <w14:textFill>
            <w14:solidFill>
              <w14:schemeClr w14:val="tx1"/>
            </w14:solidFill>
          </w14:textFill>
        </w:rPr>
        <w:t>在线监测设施及运维专项检查，一年2次（其中1次集中排查，1次针对问题整改完成情况复核）：对已安装且投入运行的企业污染源在线监测设施、园区涉及的在线监测设施进行检查，按照国标及省、市两级生态环境部门发布的规范性文件，对设备安装规范、参数设置、验收报告、运维台账、检定、校验、检测废液处理等情况进行检查。</w:t>
      </w:r>
    </w:p>
    <w:p w14:paraId="58A95E60">
      <w:pPr>
        <w:keepNext w:val="0"/>
        <w:keepLines w:val="0"/>
        <w:pageBreakBefore w:val="0"/>
        <w:widowControl/>
        <w:kinsoku/>
        <w:wordWrap/>
        <w:overflowPunct/>
        <w:topLinePunct w:val="0"/>
        <w:autoSpaceDE/>
        <w:autoSpaceDN/>
        <w:bidi w:val="0"/>
        <w:adjustRightInd/>
        <w:snapToGrid w:val="0"/>
        <w:spacing w:line="360" w:lineRule="auto"/>
        <w:ind w:firstLine="0" w:firstLineChars="0"/>
        <w:jc w:val="left"/>
        <w:textAlignment w:val="center"/>
        <w:outlineLvl w:val="9"/>
        <w:rPr>
          <w:rFonts w:hint="eastAsia" w:ascii="宋体" w:hAnsi="宋体" w:eastAsia="宋体" w:cs="宋体"/>
          <w:bCs/>
          <w:color w:val="000000" w:themeColor="text1"/>
          <w:sz w:val="24"/>
          <w:szCs w:val="24"/>
          <w:lang w:val="en-US" w:eastAsia="zh-CN"/>
          <w14:textFill>
            <w14:solidFill>
              <w14:schemeClr w14:val="tx1"/>
            </w14:solidFill>
          </w14:textFill>
        </w:rPr>
      </w:pPr>
      <w:r>
        <w:rPr>
          <w:rFonts w:hint="eastAsia" w:ascii="宋体" w:hAnsi="宋体" w:eastAsia="宋体" w:cs="宋体"/>
          <w:bCs/>
          <w:color w:val="000000" w:themeColor="text1"/>
          <w:sz w:val="24"/>
          <w:szCs w:val="24"/>
          <w:lang w:val="en-US" w:eastAsia="zh-CN"/>
          <w14:textFill>
            <w14:solidFill>
              <w14:schemeClr w14:val="tx1"/>
            </w14:solidFill>
          </w14:textFill>
        </w:rPr>
        <w:t>（1）开展一轮园区各排污单位排口规范化建设、运行情况检查，并对检查发现问题企业的整改工作进行技术指导。</w:t>
      </w:r>
    </w:p>
    <w:p w14:paraId="4A643897">
      <w:pPr>
        <w:keepNext w:val="0"/>
        <w:keepLines w:val="0"/>
        <w:pageBreakBefore w:val="0"/>
        <w:widowControl/>
        <w:kinsoku/>
        <w:wordWrap/>
        <w:overflowPunct/>
        <w:topLinePunct w:val="0"/>
        <w:autoSpaceDE/>
        <w:autoSpaceDN/>
        <w:bidi w:val="0"/>
        <w:adjustRightInd/>
        <w:snapToGrid w:val="0"/>
        <w:spacing w:line="360" w:lineRule="auto"/>
        <w:ind w:firstLine="0" w:firstLineChars="0"/>
        <w:jc w:val="left"/>
        <w:textAlignment w:val="center"/>
        <w:outlineLvl w:val="9"/>
        <w:rPr>
          <w:rFonts w:hint="eastAsia" w:ascii="宋体" w:hAnsi="宋体" w:eastAsia="宋体" w:cs="宋体"/>
          <w:bCs/>
          <w:color w:val="000000" w:themeColor="text1"/>
          <w:sz w:val="24"/>
          <w:szCs w:val="24"/>
          <w:lang w:val="en-US" w:eastAsia="zh-CN"/>
          <w14:textFill>
            <w14:solidFill>
              <w14:schemeClr w14:val="tx1"/>
            </w14:solidFill>
          </w14:textFill>
        </w:rPr>
      </w:pPr>
      <w:r>
        <w:rPr>
          <w:rFonts w:hint="eastAsia" w:ascii="宋体" w:hAnsi="宋体" w:eastAsia="宋体" w:cs="宋体"/>
          <w:bCs/>
          <w:color w:val="000000" w:themeColor="text1"/>
          <w:sz w:val="24"/>
          <w:szCs w:val="24"/>
          <w:lang w:val="en-US" w:eastAsia="zh-CN"/>
          <w14:textFill>
            <w14:solidFill>
              <w14:schemeClr w14:val="tx1"/>
            </w14:solidFill>
          </w14:textFill>
        </w:rPr>
        <w:t xml:space="preserve">（2）检查污染源自动监控设备运维工作的合规性。按照国家和行业标准以及生态环境部出台的技术规范对污染源自动监控设备运维情况进行全面检查，对排污单位及其委托的第三方运维单位未按照相关规定要求运维自动监控设备的，做好有关记录。 </w:t>
      </w:r>
    </w:p>
    <w:p w14:paraId="19678F1A">
      <w:pPr>
        <w:keepNext w:val="0"/>
        <w:keepLines w:val="0"/>
        <w:pageBreakBefore w:val="0"/>
        <w:widowControl/>
        <w:kinsoku/>
        <w:wordWrap/>
        <w:overflowPunct/>
        <w:topLinePunct w:val="0"/>
        <w:autoSpaceDE/>
        <w:autoSpaceDN/>
        <w:bidi w:val="0"/>
        <w:adjustRightInd/>
        <w:snapToGrid w:val="0"/>
        <w:spacing w:line="360" w:lineRule="auto"/>
        <w:ind w:firstLine="0" w:firstLineChars="0"/>
        <w:jc w:val="left"/>
        <w:textAlignment w:val="center"/>
        <w:outlineLvl w:val="9"/>
        <w:rPr>
          <w:rFonts w:hint="eastAsia" w:ascii="宋体" w:hAnsi="宋体" w:eastAsia="宋体" w:cs="宋体"/>
          <w:bCs/>
          <w:color w:val="000000" w:themeColor="text1"/>
          <w:sz w:val="24"/>
          <w:szCs w:val="24"/>
          <w:lang w:val="en-US" w:eastAsia="zh-CN"/>
          <w14:textFill>
            <w14:solidFill>
              <w14:schemeClr w14:val="tx1"/>
            </w14:solidFill>
          </w14:textFill>
        </w:rPr>
      </w:pPr>
      <w:r>
        <w:rPr>
          <w:rFonts w:hint="eastAsia" w:ascii="宋体" w:hAnsi="宋体" w:eastAsia="宋体" w:cs="宋体"/>
          <w:bCs/>
          <w:color w:val="000000" w:themeColor="text1"/>
          <w:sz w:val="24"/>
          <w:szCs w:val="24"/>
          <w:lang w:val="en-US" w:eastAsia="zh-CN"/>
          <w14:textFill>
            <w14:solidFill>
              <w14:schemeClr w14:val="tx1"/>
            </w14:solidFill>
          </w14:textFill>
        </w:rPr>
        <w:t xml:space="preserve">（3）检查污染源自动监控设备的采样单元、采样管路、分析单元、数据计算、数据传输等环节，判定是否存在《环境监测数据弄虚作假行为判定及处理办法》（环发﹝2015﹞175 号）规定的情形。 </w:t>
      </w:r>
    </w:p>
    <w:p w14:paraId="4DCDA846">
      <w:pPr>
        <w:keepNext w:val="0"/>
        <w:keepLines w:val="0"/>
        <w:pageBreakBefore w:val="0"/>
        <w:widowControl/>
        <w:kinsoku/>
        <w:wordWrap/>
        <w:overflowPunct/>
        <w:topLinePunct w:val="0"/>
        <w:autoSpaceDE/>
        <w:autoSpaceDN/>
        <w:bidi w:val="0"/>
        <w:adjustRightInd/>
        <w:snapToGrid w:val="0"/>
        <w:spacing w:line="360" w:lineRule="auto"/>
        <w:ind w:firstLine="0" w:firstLineChars="0"/>
        <w:jc w:val="left"/>
        <w:textAlignment w:val="center"/>
        <w:outlineLvl w:val="9"/>
        <w:rPr>
          <w:rFonts w:hint="eastAsia" w:ascii="宋体" w:hAnsi="宋体" w:eastAsia="宋体" w:cs="宋体"/>
          <w:bCs/>
          <w:color w:val="000000" w:themeColor="text1"/>
          <w:sz w:val="24"/>
          <w:szCs w:val="24"/>
          <w:lang w:val="en-US" w:eastAsia="zh-CN"/>
          <w14:textFill>
            <w14:solidFill>
              <w14:schemeClr w14:val="tx1"/>
            </w14:solidFill>
          </w14:textFill>
        </w:rPr>
      </w:pPr>
      <w:r>
        <w:rPr>
          <w:rFonts w:hint="eastAsia" w:ascii="宋体" w:hAnsi="宋体" w:eastAsia="宋体" w:cs="宋体"/>
          <w:bCs/>
          <w:color w:val="000000" w:themeColor="text1"/>
          <w:sz w:val="24"/>
          <w:szCs w:val="24"/>
          <w:lang w:val="en-US" w:eastAsia="zh-CN"/>
          <w14:textFill>
            <w14:solidFill>
              <w14:schemeClr w14:val="tx1"/>
            </w14:solidFill>
          </w14:textFill>
        </w:rPr>
        <w:t xml:space="preserve">（4）对排污单位的自动监控设备进行校准校验，检验排污单位传输至生态环境主管部门的自动监测数据准确性、真实性、一致性。 </w:t>
      </w:r>
    </w:p>
    <w:p w14:paraId="6D031407">
      <w:pPr>
        <w:pageBreakBefore w:val="0"/>
        <w:kinsoku/>
        <w:wordWrap/>
        <w:overflowPunct/>
        <w:topLinePunct w:val="0"/>
        <w:bidi w:val="0"/>
        <w:spacing w:line="360" w:lineRule="auto"/>
        <w:ind w:firstLine="0" w:firstLineChars="0"/>
        <w:rPr>
          <w:rFonts w:hint="eastAsia" w:ascii="宋体" w:hAnsi="宋体" w:eastAsia="宋体" w:cs="宋体"/>
          <w:color w:val="000000" w:themeColor="text1"/>
          <w:sz w:val="20"/>
          <w:szCs w:val="22"/>
          <w:lang w:val="en-US" w:eastAsia="zh-CN"/>
          <w14:textFill>
            <w14:solidFill>
              <w14:schemeClr w14:val="tx1"/>
            </w14:solidFill>
          </w14:textFill>
        </w:rPr>
      </w:pPr>
      <w:r>
        <w:rPr>
          <w:rFonts w:hint="eastAsia" w:ascii="宋体" w:hAnsi="宋体" w:eastAsia="宋体" w:cs="宋体"/>
          <w:bCs/>
          <w:color w:val="000000" w:themeColor="text1"/>
          <w:sz w:val="24"/>
          <w:szCs w:val="24"/>
          <w:lang w:val="en-US" w:eastAsia="zh-CN"/>
          <w14:textFill>
            <w14:solidFill>
              <w14:schemeClr w14:val="tx1"/>
            </w14:solidFill>
          </w14:textFill>
        </w:rPr>
        <w:t xml:space="preserve">（5）重点排污单位自动监测数据超标、异常的，在数据生成后的24小时内核查重点排污单位自动监控设备运行情况。 </w:t>
      </w:r>
    </w:p>
    <w:p w14:paraId="2067DE3A">
      <w:pPr>
        <w:pStyle w:val="10"/>
        <w:keepNext/>
        <w:keepLines/>
        <w:pageBreakBefore w:val="0"/>
        <w:widowControl w:val="0"/>
        <w:kinsoku/>
        <w:wordWrap/>
        <w:overflowPunct/>
        <w:topLinePunct w:val="0"/>
        <w:autoSpaceDE/>
        <w:autoSpaceDN/>
        <w:bidi w:val="0"/>
        <w:adjustRightInd/>
        <w:snapToGrid/>
        <w:spacing w:before="0" w:after="0" w:line="360" w:lineRule="auto"/>
        <w:ind w:firstLine="0" w:firstLineChars="0"/>
        <w:textAlignment w:val="auto"/>
        <w:outlineLvl w:val="1"/>
        <w:rPr>
          <w:rFonts w:hint="eastAsia" w:ascii="宋体" w:hAnsi="宋体" w:eastAsia="宋体" w:cs="宋体"/>
          <w:b/>
          <w:bCs/>
          <w:color w:val="000000" w:themeColor="text1"/>
          <w:kern w:val="2"/>
          <w:sz w:val="24"/>
          <w:szCs w:val="24"/>
          <w:lang w:val="en-US" w:eastAsia="zh-CN" w:bidi="ar-SA"/>
          <w14:textFill>
            <w14:solidFill>
              <w14:schemeClr w14:val="tx1"/>
            </w14:solidFill>
          </w14:textFill>
        </w:rPr>
      </w:pPr>
      <w:bookmarkStart w:id="22" w:name="_Toc30239"/>
      <w:r>
        <w:rPr>
          <w:rFonts w:hint="eastAsia" w:ascii="宋体" w:hAnsi="宋体" w:eastAsia="宋体" w:cs="宋体"/>
          <w:b/>
          <w:bCs/>
          <w:color w:val="000000" w:themeColor="text1"/>
          <w:kern w:val="2"/>
          <w:sz w:val="24"/>
          <w:szCs w:val="24"/>
          <w:lang w:val="en-US" w:eastAsia="zh-CN" w:bidi="ar-SA"/>
          <w14:textFill>
            <w14:solidFill>
              <w14:schemeClr w14:val="tx1"/>
            </w14:solidFill>
          </w14:textFill>
        </w:rPr>
        <w:t>7.</w:t>
      </w:r>
      <w:bookmarkEnd w:id="21"/>
      <w:r>
        <w:rPr>
          <w:rFonts w:hint="eastAsia" w:ascii="宋体" w:hAnsi="宋体" w:eastAsia="宋体" w:cs="宋体"/>
          <w:b/>
          <w:bCs/>
          <w:color w:val="000000" w:themeColor="text1"/>
          <w:kern w:val="2"/>
          <w:sz w:val="24"/>
          <w:szCs w:val="24"/>
          <w:lang w:val="en-US" w:eastAsia="zh-CN" w:bidi="ar-SA"/>
          <w14:textFill>
            <w14:solidFill>
              <w14:schemeClr w14:val="tx1"/>
            </w14:solidFill>
          </w14:textFill>
        </w:rPr>
        <w:t>督察迎检</w:t>
      </w:r>
      <w:bookmarkEnd w:id="22"/>
    </w:p>
    <w:p w14:paraId="2835ED10">
      <w:pPr>
        <w:pageBreakBefore w:val="0"/>
        <w:kinsoku/>
        <w:wordWrap/>
        <w:overflowPunct/>
        <w:topLinePunct w:val="0"/>
        <w:bidi w:val="0"/>
        <w:spacing w:line="360" w:lineRule="auto"/>
        <w:ind w:firstLine="0" w:firstLineChars="0"/>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做好中央、省、市的环保检查准备工作，结合中央环保督察典型案例，举一反三做好园区企业的迎检、自检工作，帮扶企业完善环保治理措施。</w:t>
      </w:r>
    </w:p>
    <w:p w14:paraId="3CA2C190">
      <w:pPr>
        <w:pageBreakBefore w:val="0"/>
        <w:kinsoku/>
        <w:wordWrap/>
        <w:overflowPunct/>
        <w:topLinePunct w:val="0"/>
        <w:bidi w:val="0"/>
        <w:spacing w:line="360" w:lineRule="auto"/>
        <w:ind w:firstLine="0" w:firstLineChars="0"/>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协助园区做好各级环保督察问题整改销号工作。加强排查与资料收集整理工作，一旦收到各级环保督察反馈问题，积极响应，配合核实属实情况，查明原因，提出整改措施，跟踪落实整改，提供佐证材料，及时销号。同时举一反三，组织对类似问题的专项检查，及时发现问题、解决问题，确保园区生态环境安全，保证园区高质量发展。</w:t>
      </w:r>
    </w:p>
    <w:p w14:paraId="310E0F2A">
      <w:pPr>
        <w:pageBreakBefore w:val="0"/>
        <w:kinsoku/>
        <w:wordWrap/>
        <w:overflowPunct/>
        <w:topLinePunct w:val="0"/>
        <w:bidi w:val="0"/>
        <w:spacing w:line="360" w:lineRule="auto"/>
        <w:ind w:firstLine="0" w:firstLineChars="0"/>
        <w:rPr>
          <w:rFonts w:hint="eastAsia" w:ascii="宋体" w:hAnsi="宋体" w:eastAsia="宋体" w:cs="宋体"/>
          <w:b w:val="0"/>
          <w:bCs w:val="0"/>
          <w:color w:val="000000" w:themeColor="text1"/>
          <w:sz w:val="24"/>
          <w:szCs w:val="24"/>
          <w:lang w:val="en-US" w:eastAsia="zh-CN"/>
          <w14:textFill>
            <w14:solidFill>
              <w14:schemeClr w14:val="tx1"/>
            </w14:solidFill>
          </w14:textFill>
        </w:rPr>
      </w:pPr>
      <w:r>
        <w:rPr>
          <w:rFonts w:hint="eastAsia" w:ascii="宋体" w:hAnsi="宋体" w:eastAsia="宋体" w:cs="宋体"/>
          <w:b w:val="0"/>
          <w:bCs w:val="0"/>
          <w:color w:val="000000" w:themeColor="text1"/>
          <w:sz w:val="24"/>
          <w:szCs w:val="24"/>
          <w:lang w:val="en-US" w:eastAsia="zh-CN"/>
          <w14:textFill>
            <w14:solidFill>
              <w14:schemeClr w14:val="tx1"/>
            </w14:solidFill>
          </w14:textFill>
        </w:rPr>
        <w:t>协助园区做好前期中央、省、市、区各级环保部门开展的环保督察、检查出来的典型案例、问题等销号文字材料报送工作，并做好相应销号台账以备检查、回头看。</w:t>
      </w:r>
    </w:p>
    <w:p w14:paraId="7AFA9BAB">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outlineLvl w:val="1"/>
        <w:rPr>
          <w:rFonts w:hint="eastAsia" w:ascii="宋体" w:hAnsi="宋体" w:eastAsia="宋体" w:cs="宋体"/>
          <w:b/>
          <w:bCs/>
          <w:color w:val="000000" w:themeColor="text1"/>
          <w:kern w:val="2"/>
          <w:sz w:val="24"/>
          <w:szCs w:val="24"/>
          <w:lang w:val="en-US" w:eastAsia="zh-CN" w:bidi="ar-SA"/>
          <w14:textFill>
            <w14:solidFill>
              <w14:schemeClr w14:val="tx1"/>
            </w14:solidFill>
          </w14:textFill>
        </w:rPr>
      </w:pPr>
      <w:bookmarkStart w:id="23" w:name="_Toc1256"/>
      <w:bookmarkStart w:id="24" w:name="_Toc8895"/>
      <w:r>
        <w:rPr>
          <w:rFonts w:hint="eastAsia" w:ascii="宋体" w:hAnsi="宋体" w:eastAsia="宋体" w:cs="宋体"/>
          <w:b/>
          <w:bCs/>
          <w:color w:val="000000" w:themeColor="text1"/>
          <w:kern w:val="2"/>
          <w:sz w:val="24"/>
          <w:szCs w:val="24"/>
          <w:lang w:val="en-US" w:eastAsia="zh-CN" w:bidi="ar-SA"/>
          <w14:textFill>
            <w14:solidFill>
              <w14:schemeClr w14:val="tx1"/>
            </w14:solidFill>
          </w14:textFill>
        </w:rPr>
        <w:t>8.区域环保管理体系建设</w:t>
      </w:r>
      <w:bookmarkEnd w:id="23"/>
      <w:bookmarkEnd w:id="24"/>
    </w:p>
    <w:p w14:paraId="102FC354">
      <w:pPr>
        <w:pageBreakBefore w:val="0"/>
        <w:kinsoku/>
        <w:wordWrap/>
        <w:overflowPunct/>
        <w:topLinePunct w:val="0"/>
        <w:bidi w:val="0"/>
        <w:spacing w:line="360" w:lineRule="auto"/>
        <w:ind w:firstLine="0" w:firstLineChars="0"/>
        <w:rPr>
          <w:rFonts w:hint="eastAsia" w:ascii="宋体" w:hAnsi="宋体" w:eastAsia="宋体" w:cs="宋体"/>
          <w:b w:val="0"/>
          <w:bCs w:val="0"/>
          <w:color w:val="000000" w:themeColor="text1"/>
          <w:kern w:val="2"/>
          <w:sz w:val="24"/>
          <w:szCs w:val="24"/>
          <w:lang w:val="en-US" w:eastAsia="zh-CN" w:bidi="ar-SA"/>
          <w14:textFill>
            <w14:solidFill>
              <w14:schemeClr w14:val="tx1"/>
            </w14:solidFill>
          </w14:textFill>
        </w:rPr>
      </w:pPr>
      <w:r>
        <w:rPr>
          <w:rFonts w:hint="eastAsia" w:ascii="宋体" w:hAnsi="宋体" w:eastAsia="宋体" w:cs="宋体"/>
          <w:b/>
          <w:bCs/>
          <w:color w:val="000000" w:themeColor="text1"/>
          <w:kern w:val="2"/>
          <w:sz w:val="24"/>
          <w:szCs w:val="24"/>
          <w:lang w:val="en-US" w:eastAsia="zh-CN" w:bidi="ar-SA"/>
          <w14:textFill>
            <w14:solidFill>
              <w14:schemeClr w14:val="tx1"/>
            </w14:solidFill>
          </w14:textFill>
        </w:rPr>
        <w:t>(1)环保数据库建立：</w:t>
      </w:r>
      <w:r>
        <w:rPr>
          <w:rFonts w:hint="eastAsia" w:ascii="宋体" w:hAnsi="宋体" w:eastAsia="宋体" w:cs="宋体"/>
          <w:b w:val="0"/>
          <w:bCs w:val="0"/>
          <w:color w:val="000000" w:themeColor="text1"/>
          <w:kern w:val="2"/>
          <w:sz w:val="24"/>
          <w:szCs w:val="24"/>
          <w:lang w:val="en-US" w:eastAsia="zh-CN" w:bidi="ar-SA"/>
          <w14:textFill>
            <w14:solidFill>
              <w14:schemeClr w14:val="tx1"/>
            </w14:solidFill>
          </w14:textFill>
        </w:rPr>
        <w:t>梳理园区所有行业涉及的相关环保法律法规，建立相应的环保法律法规文件数据库。环保数据库主要涉及政策法规、环保标准、环保工程规范、环境影响评价规范、环保验收技术规范、排污许可规范、自行监测技术规范、国家生态规划等领域。</w:t>
      </w:r>
    </w:p>
    <w:p w14:paraId="67FF3CB6">
      <w:pPr>
        <w:pStyle w:val="10"/>
        <w:keepNext/>
        <w:keepLines/>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eastAsia" w:ascii="宋体" w:hAnsi="宋体" w:eastAsia="宋体" w:cs="宋体"/>
          <w:b w:val="0"/>
          <w:bCs w:val="0"/>
          <w:i w:val="0"/>
          <w:color w:val="000000" w:themeColor="text1"/>
          <w:sz w:val="24"/>
          <w:szCs w:val="24"/>
          <w:u w:val="none"/>
          <w:lang w:val="en-US" w:eastAsia="zh-CN"/>
          <w14:textFill>
            <w14:solidFill>
              <w14:schemeClr w14:val="tx1"/>
            </w14:solidFill>
          </w14:textFill>
        </w:rPr>
      </w:pPr>
      <w:r>
        <w:rPr>
          <w:rFonts w:hint="eastAsia" w:ascii="宋体" w:hAnsi="宋体" w:eastAsia="宋体" w:cs="宋体"/>
          <w:b/>
          <w:bCs/>
          <w:color w:val="000000" w:themeColor="text1"/>
          <w:kern w:val="2"/>
          <w:sz w:val="24"/>
          <w:szCs w:val="24"/>
          <w:lang w:val="en-US" w:eastAsia="zh-CN" w:bidi="ar-SA"/>
          <w14:textFill>
            <w14:solidFill>
              <w14:schemeClr w14:val="tx1"/>
            </w14:solidFill>
          </w14:textFill>
        </w:rPr>
        <w:t>（2）环保信息档案库建立：</w:t>
      </w:r>
      <w:r>
        <w:rPr>
          <w:rFonts w:hint="eastAsia" w:ascii="宋体" w:hAnsi="宋体" w:eastAsia="宋体" w:cs="宋体"/>
          <w:b w:val="0"/>
          <w:bCs w:val="0"/>
          <w:i w:val="0"/>
          <w:color w:val="000000" w:themeColor="text1"/>
          <w:sz w:val="24"/>
          <w:szCs w:val="24"/>
          <w:u w:val="none"/>
          <w:lang w:val="en-US" w:eastAsia="zh-CN"/>
          <w14:textFill>
            <w14:solidFill>
              <w14:schemeClr w14:val="tx1"/>
            </w14:solidFill>
          </w14:textFill>
        </w:rPr>
        <w:t>结合现场排查情况，更新完善企业环保信息纸质及电子档材料库。档案库的主要内容包含：企业基本信息、企业项目环评报告、批复、竣工验收、排污许可证、突发环境事件应急预案及备案表、清洁生产报告等。</w:t>
      </w:r>
    </w:p>
    <w:p w14:paraId="7A73090F">
      <w:pPr>
        <w:pStyle w:val="10"/>
        <w:keepNext/>
        <w:keepLines/>
        <w:pageBreakBefore w:val="0"/>
        <w:widowControl w:val="0"/>
        <w:kinsoku/>
        <w:wordWrap/>
        <w:overflowPunct/>
        <w:topLinePunct w:val="0"/>
        <w:autoSpaceDE/>
        <w:autoSpaceDN/>
        <w:bidi w:val="0"/>
        <w:adjustRightInd/>
        <w:snapToGrid/>
        <w:spacing w:before="0" w:after="0" w:line="360" w:lineRule="auto"/>
        <w:ind w:firstLine="0" w:firstLineChars="0"/>
        <w:textAlignment w:val="auto"/>
        <w:outlineLvl w:val="1"/>
        <w:rPr>
          <w:rFonts w:hint="eastAsia" w:ascii="宋体" w:hAnsi="宋体" w:eastAsia="宋体" w:cs="宋体"/>
          <w:b/>
          <w:bCs/>
          <w:color w:val="000000" w:themeColor="text1"/>
          <w:kern w:val="2"/>
          <w:sz w:val="24"/>
          <w:szCs w:val="24"/>
          <w:lang w:val="en-US" w:eastAsia="zh-CN" w:bidi="ar-SA"/>
          <w14:textFill>
            <w14:solidFill>
              <w14:schemeClr w14:val="tx1"/>
            </w14:solidFill>
          </w14:textFill>
        </w:rPr>
      </w:pPr>
      <w:bookmarkStart w:id="25" w:name="_Toc9240"/>
      <w:r>
        <w:rPr>
          <w:rFonts w:hint="eastAsia" w:ascii="宋体" w:hAnsi="宋体" w:eastAsia="宋体" w:cs="宋体"/>
          <w:b/>
          <w:bCs/>
          <w:color w:val="000000" w:themeColor="text1"/>
          <w:kern w:val="2"/>
          <w:sz w:val="24"/>
          <w:szCs w:val="24"/>
          <w:lang w:val="en-US" w:eastAsia="zh-CN" w:bidi="ar-SA"/>
          <w14:textFill>
            <w14:solidFill>
              <w14:schemeClr w14:val="tx1"/>
            </w14:solidFill>
          </w14:textFill>
        </w:rPr>
        <w:t>9.培训服务</w:t>
      </w:r>
      <w:bookmarkEnd w:id="25"/>
    </w:p>
    <w:p w14:paraId="032AA45E">
      <w:pPr>
        <w:pStyle w:val="10"/>
        <w:keepNext/>
        <w:keepLines/>
        <w:pageBreakBefore w:val="0"/>
        <w:widowControl w:val="0"/>
        <w:kinsoku/>
        <w:wordWrap/>
        <w:overflowPunct/>
        <w:topLinePunct w:val="0"/>
        <w:autoSpaceDE/>
        <w:autoSpaceDN/>
        <w:bidi w:val="0"/>
        <w:adjustRightInd/>
        <w:snapToGrid/>
        <w:spacing w:before="0" w:after="0" w:line="360" w:lineRule="auto"/>
        <w:ind w:firstLine="0" w:firstLineChars="0"/>
        <w:textAlignment w:val="auto"/>
        <w:outlineLvl w:val="1"/>
        <w:rPr>
          <w:rFonts w:hint="eastAsia" w:ascii="宋体" w:hAnsi="宋体" w:eastAsia="宋体" w:cs="宋体"/>
          <w:b w:val="0"/>
          <w:bCs w:val="0"/>
          <w:i w:val="0"/>
          <w:color w:val="000000" w:themeColor="text1"/>
          <w:kern w:val="2"/>
          <w:sz w:val="24"/>
          <w:szCs w:val="24"/>
          <w:u w:val="none"/>
          <w:lang w:val="en-US" w:eastAsia="zh-CN" w:bidi="ar-SA"/>
          <w14:textFill>
            <w14:solidFill>
              <w14:schemeClr w14:val="tx1"/>
            </w14:solidFill>
          </w14:textFill>
        </w:rPr>
      </w:pPr>
      <w:r>
        <w:rPr>
          <w:rFonts w:hint="eastAsia" w:ascii="宋体" w:hAnsi="宋体" w:eastAsia="宋体" w:cs="宋体"/>
          <w:b w:val="0"/>
          <w:bCs w:val="0"/>
          <w:color w:val="000000" w:themeColor="text1"/>
          <w:kern w:val="2"/>
          <w:sz w:val="24"/>
          <w:szCs w:val="24"/>
          <w:lang w:val="en-US" w:eastAsia="zh-CN" w:bidi="ar-SA"/>
          <w14:textFill>
            <w14:solidFill>
              <w14:schemeClr w14:val="tx1"/>
            </w14:solidFill>
          </w14:textFill>
        </w:rPr>
        <w:t>入驻后与园区沟通交流并结合企业排查发现问题，制定针对性培训计划，经园区批准后</w:t>
      </w:r>
      <w:r>
        <w:rPr>
          <w:rFonts w:hint="eastAsia" w:ascii="宋体" w:hAnsi="宋体" w:eastAsia="宋体" w:cs="宋体"/>
          <w:b w:val="0"/>
          <w:bCs w:val="0"/>
          <w:i w:val="0"/>
          <w:color w:val="000000" w:themeColor="text1"/>
          <w:kern w:val="2"/>
          <w:sz w:val="24"/>
          <w:szCs w:val="24"/>
          <w:u w:val="none"/>
          <w:lang w:val="en-US" w:eastAsia="zh-CN" w:bidi="ar-SA"/>
          <w14:textFill>
            <w14:solidFill>
              <w14:schemeClr w14:val="tx1"/>
            </w14:solidFill>
          </w14:textFill>
        </w:rPr>
        <w:t>实施。对企业相关人员进行培训，每年免费培训2次。</w:t>
      </w:r>
    </w:p>
    <w:p w14:paraId="0246757A">
      <w:pPr>
        <w:pStyle w:val="10"/>
        <w:keepNext/>
        <w:keepLines/>
        <w:pageBreakBefore w:val="0"/>
        <w:widowControl w:val="0"/>
        <w:kinsoku/>
        <w:wordWrap/>
        <w:overflowPunct/>
        <w:topLinePunct w:val="0"/>
        <w:autoSpaceDE/>
        <w:autoSpaceDN/>
        <w:bidi w:val="0"/>
        <w:adjustRightInd/>
        <w:snapToGrid/>
        <w:spacing w:before="0" w:after="0" w:line="360" w:lineRule="auto"/>
        <w:ind w:firstLine="0" w:firstLineChars="0"/>
        <w:textAlignment w:val="auto"/>
        <w:outlineLvl w:val="1"/>
        <w:rPr>
          <w:rFonts w:hint="eastAsia" w:ascii="宋体" w:hAnsi="宋体" w:eastAsia="宋体" w:cs="宋体"/>
          <w:b/>
          <w:bCs/>
          <w:color w:val="000000" w:themeColor="text1"/>
          <w:kern w:val="2"/>
          <w:sz w:val="24"/>
          <w:szCs w:val="24"/>
          <w:lang w:val="en-US" w:eastAsia="zh-CN" w:bidi="ar-SA"/>
          <w14:textFill>
            <w14:solidFill>
              <w14:schemeClr w14:val="tx1"/>
            </w14:solidFill>
          </w14:textFill>
        </w:rPr>
      </w:pPr>
      <w:bookmarkStart w:id="26" w:name="_Toc526"/>
      <w:r>
        <w:rPr>
          <w:rFonts w:hint="eastAsia" w:ascii="宋体" w:hAnsi="宋体" w:eastAsia="宋体" w:cs="宋体"/>
          <w:b/>
          <w:bCs/>
          <w:color w:val="000000" w:themeColor="text1"/>
          <w:kern w:val="2"/>
          <w:sz w:val="24"/>
          <w:szCs w:val="24"/>
          <w:lang w:val="en-US" w:eastAsia="zh-CN" w:bidi="ar-SA"/>
          <w14:textFill>
            <w14:solidFill>
              <w14:schemeClr w14:val="tx1"/>
            </w14:solidFill>
          </w14:textFill>
        </w:rPr>
        <w:t>10.突发环境事件应急处置</w:t>
      </w:r>
      <w:bookmarkEnd w:id="26"/>
    </w:p>
    <w:p w14:paraId="127119E4">
      <w:pPr>
        <w:pStyle w:val="10"/>
        <w:keepNext/>
        <w:keepLines/>
        <w:pageBreakBefore w:val="0"/>
        <w:widowControl w:val="0"/>
        <w:kinsoku/>
        <w:wordWrap/>
        <w:overflowPunct/>
        <w:topLinePunct w:val="0"/>
        <w:autoSpaceDE/>
        <w:autoSpaceDN/>
        <w:bidi w:val="0"/>
        <w:adjustRightInd/>
        <w:snapToGrid/>
        <w:spacing w:before="0" w:after="0" w:line="360" w:lineRule="auto"/>
        <w:ind w:firstLine="0" w:firstLineChars="0"/>
        <w:textAlignment w:val="auto"/>
        <w:outlineLvl w:val="1"/>
        <w:rPr>
          <w:rFonts w:hint="eastAsia" w:ascii="宋体" w:hAnsi="宋体" w:eastAsia="宋体" w:cs="宋体"/>
          <w:b w:val="0"/>
          <w:bCs w:val="0"/>
          <w:i w:val="0"/>
          <w:color w:val="000000" w:themeColor="text1"/>
          <w:kern w:val="2"/>
          <w:sz w:val="24"/>
          <w:szCs w:val="24"/>
          <w:u w:val="none"/>
          <w:lang w:val="en-US" w:eastAsia="zh-CN" w:bidi="ar-SA"/>
          <w14:textFill>
            <w14:solidFill>
              <w14:schemeClr w14:val="tx1"/>
            </w14:solidFill>
          </w14:textFill>
        </w:rPr>
      </w:pPr>
      <w:r>
        <w:rPr>
          <w:rFonts w:hint="eastAsia" w:ascii="宋体" w:hAnsi="宋体" w:eastAsia="宋体" w:cs="宋体"/>
          <w:b w:val="0"/>
          <w:bCs w:val="0"/>
          <w:color w:val="000000" w:themeColor="text1"/>
          <w:kern w:val="2"/>
          <w:sz w:val="24"/>
          <w:szCs w:val="24"/>
          <w:lang w:val="en-US" w:eastAsia="zh-CN" w:bidi="ar-SA"/>
          <w14:textFill>
            <w14:solidFill>
              <w14:schemeClr w14:val="tx1"/>
            </w14:solidFill>
          </w14:textFill>
        </w:rPr>
        <w:t>协助园区在突发环境事件应对中，遵循“预防为先、快速响应、科学处置、闭环管理”</w:t>
      </w:r>
      <w:r>
        <w:rPr>
          <w:rFonts w:hint="eastAsia" w:ascii="宋体" w:hAnsi="宋体" w:eastAsia="宋体" w:cs="宋体"/>
          <w:b w:val="0"/>
          <w:bCs w:val="0"/>
          <w:i w:val="0"/>
          <w:color w:val="000000" w:themeColor="text1"/>
          <w:kern w:val="2"/>
          <w:sz w:val="24"/>
          <w:szCs w:val="24"/>
          <w:u w:val="none"/>
          <w:lang w:val="en-US" w:eastAsia="zh-CN" w:bidi="ar-SA"/>
          <w14:textFill>
            <w14:solidFill>
              <w14:schemeClr w14:val="tx1"/>
            </w14:solidFill>
          </w14:textFill>
        </w:rPr>
        <w:t>原则进行处置。前期协助园区完善应急体系、指导园区配备应急物资牢应急基础；事件发生后，及时抵达现场核实详情、根据园区突发环境事件应急预案按等级启动应急响应，配合各小组开展现场控制、实时监测、科学处置及信息联络工作，针对不同类型事件分类施策，确保污染得到有效控制；事件处置后，协助园区开展污染后续治理、事件调查复盘、资料整理上报，强化长效管理并配合环保部门监管，全程发挥专业技术指导、资源协调、进展跟踪及复盘优化等核心作用，协助园区降低风险、减少损失，保障园区及周边生态环境安全，推动园区绿色可持续发展。（驻点人员协助园区进行突发环境事故处置，如需聘请应急专家到场，专家差旅费及劳务报酬由园区另行支付）</w:t>
      </w:r>
    </w:p>
    <w:p w14:paraId="7297D710">
      <w:pPr>
        <w:pStyle w:val="4"/>
        <w:rPr>
          <w:color w:val="000000" w:themeColor="text1"/>
          <w14:textFill>
            <w14:solidFill>
              <w14:schemeClr w14:val="tx1"/>
            </w14:solidFill>
          </w14:textFill>
        </w:rPr>
      </w:pPr>
    </w:p>
    <w:p w14:paraId="6E9BD1C1">
      <w:pPr>
        <w:pStyle w:val="3"/>
        <w:spacing w:after="0" w:line="500" w:lineRule="exact"/>
        <w:ind w:firstLine="478" w:firstLineChars="200"/>
        <w:rPr>
          <w:rFonts w:hint="eastAsia" w:ascii="宋体" w:hAnsi="宋体" w:eastAsia="宋体" w:cs="宋体"/>
          <w:b/>
          <w:bCs/>
          <w:color w:val="000000" w:themeColor="text1"/>
          <w:spacing w:val="-1"/>
          <w:sz w:val="24"/>
          <w:szCs w:val="24"/>
          <w14:textFill>
            <w14:solidFill>
              <w14:schemeClr w14:val="tx1"/>
            </w14:solidFill>
          </w14:textFill>
        </w:rPr>
      </w:pPr>
    </w:p>
    <w:p w14:paraId="0D86C557">
      <w:pPr>
        <w:pStyle w:val="3"/>
        <w:spacing w:after="0" w:line="500" w:lineRule="exact"/>
        <w:ind w:firstLine="478" w:firstLineChars="200"/>
        <w:rPr>
          <w:rFonts w:hint="eastAsia" w:ascii="宋体" w:hAnsi="宋体" w:eastAsia="宋体" w:cs="宋体"/>
          <w:b/>
          <w:bCs/>
          <w:color w:val="000000" w:themeColor="text1"/>
          <w:spacing w:val="-1"/>
          <w:sz w:val="24"/>
          <w:szCs w:val="24"/>
          <w14:textFill>
            <w14:solidFill>
              <w14:schemeClr w14:val="tx1"/>
            </w14:solidFill>
          </w14:textFill>
        </w:rPr>
      </w:pPr>
    </w:p>
    <w:p w14:paraId="0587B82A">
      <w:pPr>
        <w:rPr>
          <w:rFonts w:cs="宋体" w:asciiTheme="minorEastAsia" w:hAnsiTheme="minorEastAsia" w:eastAsiaTheme="minorEastAsia"/>
          <w:b/>
          <w:color w:val="000000" w:themeColor="text1"/>
          <w:sz w:val="24"/>
          <w14:textFill>
            <w14:solidFill>
              <w14:schemeClr w14:val="tx1"/>
            </w14:solidFill>
          </w14:textFill>
        </w:rPr>
      </w:pPr>
      <w:r>
        <w:rPr>
          <w:rFonts w:cs="宋体" w:asciiTheme="minorEastAsia" w:hAnsiTheme="minorEastAsia" w:eastAsiaTheme="minorEastAsia"/>
          <w:b/>
          <w:color w:val="000000" w:themeColor="text1"/>
          <w:sz w:val="24"/>
          <w14:textFill>
            <w14:solidFill>
              <w14:schemeClr w14:val="tx1"/>
            </w14:solidFill>
          </w14:textFill>
        </w:rPr>
        <w:br w:type="page"/>
      </w:r>
    </w:p>
    <w:p w14:paraId="2F81819F">
      <w:pPr>
        <w:kinsoku/>
        <w:autoSpaceDE/>
        <w:autoSpaceDN/>
        <w:adjustRightInd/>
        <w:snapToGrid/>
        <w:spacing w:line="500" w:lineRule="exact"/>
        <w:jc w:val="center"/>
        <w:textAlignment w:val="auto"/>
        <w:rPr>
          <w:rFonts w:hint="eastAsia" w:cs="宋体" w:asciiTheme="minorEastAsia" w:hAnsiTheme="minorEastAsia" w:eastAsiaTheme="minorEastAsia"/>
          <w:b/>
          <w:color w:val="000000" w:themeColor="text1"/>
          <w:sz w:val="24"/>
          <w14:textFill>
            <w14:solidFill>
              <w14:schemeClr w14:val="tx1"/>
            </w14:solidFill>
          </w14:textFill>
        </w:rPr>
      </w:pPr>
      <w:r>
        <w:rPr>
          <w:rFonts w:cs="宋体" w:asciiTheme="minorEastAsia" w:hAnsiTheme="minorEastAsia" w:eastAsiaTheme="minorEastAsia"/>
          <w:b/>
          <w:color w:val="000000" w:themeColor="text1"/>
          <w:sz w:val="24"/>
          <w14:textFill>
            <w14:solidFill>
              <w14:schemeClr w14:val="tx1"/>
            </w14:solidFill>
          </w14:textFill>
        </w:rPr>
        <w:t>(</w:t>
      </w:r>
      <w:r>
        <w:rPr>
          <w:rFonts w:hint="eastAsia" w:cs="宋体" w:asciiTheme="minorEastAsia" w:hAnsiTheme="minorEastAsia" w:eastAsiaTheme="minorEastAsia"/>
          <w:b/>
          <w:color w:val="000000" w:themeColor="text1"/>
          <w:sz w:val="24"/>
          <w14:textFill>
            <w14:solidFill>
              <w14:schemeClr w14:val="tx1"/>
            </w14:solidFill>
          </w14:textFill>
        </w:rPr>
        <w:t>二</w:t>
      </w:r>
      <w:r>
        <w:rPr>
          <w:rFonts w:cs="宋体" w:asciiTheme="minorEastAsia" w:hAnsiTheme="minorEastAsia" w:eastAsiaTheme="minorEastAsia"/>
          <w:b/>
          <w:color w:val="000000" w:themeColor="text1"/>
          <w:sz w:val="24"/>
          <w14:textFill>
            <w14:solidFill>
              <w14:schemeClr w14:val="tx1"/>
            </w14:solidFill>
          </w14:textFill>
        </w:rPr>
        <w:t>)</w:t>
      </w:r>
      <w:r>
        <w:rPr>
          <w:rFonts w:hint="eastAsia" w:cs="宋体" w:asciiTheme="minorEastAsia" w:hAnsiTheme="minorEastAsia" w:eastAsiaTheme="minorEastAsia"/>
          <w:b/>
          <w:color w:val="000000" w:themeColor="text1"/>
          <w:sz w:val="24"/>
          <w14:textFill>
            <w14:solidFill>
              <w14:schemeClr w14:val="tx1"/>
            </w14:solidFill>
          </w14:textFill>
        </w:rPr>
        <w:t>商务条件</w:t>
      </w:r>
    </w:p>
    <w:p w14:paraId="61FC9BE9">
      <w:pPr>
        <w:kinsoku/>
        <w:autoSpaceDE/>
        <w:autoSpaceDN/>
        <w:adjustRightInd/>
        <w:snapToGrid/>
        <w:spacing w:line="500" w:lineRule="exact"/>
        <w:jc w:val="center"/>
        <w:textAlignment w:val="auto"/>
        <w:rPr>
          <w:rFonts w:hint="eastAsia" w:cs="宋体" w:asciiTheme="minorEastAsia" w:hAnsiTheme="minorEastAsia" w:eastAsiaTheme="minorEastAsia"/>
          <w:b/>
          <w:color w:val="000000" w:themeColor="text1"/>
          <w:sz w:val="24"/>
          <w:lang w:eastAsia="zh-CN"/>
          <w14:textFill>
            <w14:solidFill>
              <w14:schemeClr w14:val="tx1"/>
            </w14:solidFill>
          </w14:textFill>
        </w:rPr>
      </w:pPr>
    </w:p>
    <w:p w14:paraId="74B3DB54">
      <w:pPr>
        <w:kinsoku/>
        <w:autoSpaceDE/>
        <w:autoSpaceDN/>
        <w:adjustRightInd/>
        <w:snapToGrid/>
        <w:spacing w:line="500" w:lineRule="exact"/>
        <w:textAlignment w:val="auto"/>
        <w:rPr>
          <w:rFonts w:cs="宋体" w:asciiTheme="minorEastAsia" w:hAnsiTheme="minorEastAsia" w:eastAsiaTheme="minorEastAsia"/>
          <w:color w:val="000000" w:themeColor="text1"/>
          <w:sz w:val="24"/>
          <w14:textFill>
            <w14:solidFill>
              <w14:schemeClr w14:val="tx1"/>
            </w14:solidFill>
          </w14:textFill>
        </w:rPr>
      </w:pPr>
      <w:r>
        <w:rPr>
          <w:rFonts w:cs="宋体" w:asciiTheme="minorEastAsia" w:hAnsiTheme="minorEastAsia" w:eastAsiaTheme="minorEastAsia"/>
          <w:color w:val="000000" w:themeColor="text1"/>
          <w:sz w:val="24"/>
          <w14:textFill>
            <w14:solidFill>
              <w14:schemeClr w14:val="tx1"/>
            </w14:solidFill>
          </w14:textFill>
        </w:rPr>
        <w:t>1</w:t>
      </w:r>
      <w:r>
        <w:rPr>
          <w:rFonts w:hint="eastAsia" w:cs="宋体" w:asciiTheme="minorEastAsia" w:hAnsiTheme="minorEastAsia" w:eastAsiaTheme="minorEastAsia"/>
          <w:color w:val="000000" w:themeColor="text1"/>
          <w:sz w:val="24"/>
          <w14:textFill>
            <w14:solidFill>
              <w14:schemeClr w14:val="tx1"/>
            </w14:solidFill>
          </w14:textFill>
        </w:rPr>
        <w:t>、服务地点</w:t>
      </w:r>
      <w:r>
        <w:rPr>
          <w:rFonts w:cs="宋体" w:asciiTheme="minorEastAsia" w:hAnsiTheme="minorEastAsia" w:eastAsiaTheme="minorEastAsia"/>
          <w:color w:val="000000" w:themeColor="text1"/>
          <w:sz w:val="24"/>
          <w14:textFill>
            <w14:solidFill>
              <w14:schemeClr w14:val="tx1"/>
            </w14:solidFill>
          </w14:textFill>
        </w:rPr>
        <w:t>:</w:t>
      </w:r>
      <w:r>
        <w:rPr>
          <w:rFonts w:hint="eastAsia" w:cs="宋体" w:asciiTheme="minorEastAsia" w:hAnsiTheme="minorEastAsia" w:eastAsiaTheme="minorEastAsia"/>
          <w:color w:val="000000" w:themeColor="text1"/>
          <w:sz w:val="24"/>
          <w:lang w:val="en-US" w:eastAsia="zh-CN"/>
          <w14:textFill>
            <w14:solidFill>
              <w14:schemeClr w14:val="tx1"/>
            </w14:solidFill>
          </w14:textFill>
        </w:rPr>
        <w:t>采购人指定地点</w:t>
      </w:r>
      <w:bookmarkStart w:id="27" w:name="_GoBack"/>
      <w:bookmarkEnd w:id="27"/>
      <w:r>
        <w:rPr>
          <w:rFonts w:hint="eastAsia" w:cs="宋体" w:asciiTheme="minorEastAsia" w:hAnsiTheme="minorEastAsia" w:eastAsiaTheme="minorEastAsia"/>
          <w:color w:val="000000" w:themeColor="text1"/>
          <w:sz w:val="24"/>
          <w:lang w:eastAsia="zh-CN"/>
          <w14:textFill>
            <w14:solidFill>
              <w14:schemeClr w14:val="tx1"/>
            </w14:solidFill>
          </w14:textFill>
        </w:rPr>
        <w:t>。</w:t>
      </w:r>
    </w:p>
    <w:p w14:paraId="25B529E0">
      <w:pPr>
        <w:kinsoku/>
        <w:autoSpaceDE/>
        <w:autoSpaceDN/>
        <w:adjustRightInd/>
        <w:snapToGrid/>
        <w:spacing w:line="500" w:lineRule="exact"/>
        <w:textAlignment w:val="auto"/>
        <w:rPr>
          <w:rFonts w:cs="宋体" w:asciiTheme="minorEastAsia" w:hAnsiTheme="minorEastAsia" w:eastAsiaTheme="minorEastAsia"/>
          <w:color w:val="000000" w:themeColor="text1"/>
          <w:sz w:val="24"/>
          <w14:textFill>
            <w14:solidFill>
              <w14:schemeClr w14:val="tx1"/>
            </w14:solidFill>
          </w14:textFill>
        </w:rPr>
      </w:pPr>
      <w:r>
        <w:rPr>
          <w:rFonts w:cs="宋体" w:asciiTheme="minorEastAsia" w:hAnsiTheme="minorEastAsia" w:eastAsiaTheme="minorEastAsia"/>
          <w:color w:val="000000" w:themeColor="text1"/>
          <w:sz w:val="24"/>
          <w14:textFill>
            <w14:solidFill>
              <w14:schemeClr w14:val="tx1"/>
            </w14:solidFill>
          </w14:textFill>
        </w:rPr>
        <w:t>2</w:t>
      </w:r>
      <w:r>
        <w:rPr>
          <w:rFonts w:hint="eastAsia" w:cs="宋体" w:asciiTheme="minorEastAsia" w:hAnsiTheme="minorEastAsia" w:eastAsiaTheme="minorEastAsia"/>
          <w:color w:val="000000" w:themeColor="text1"/>
          <w:sz w:val="24"/>
          <w14:textFill>
            <w14:solidFill>
              <w14:schemeClr w14:val="tx1"/>
            </w14:solidFill>
          </w14:textFill>
        </w:rPr>
        <w:t>、服务期</w:t>
      </w:r>
      <w:r>
        <w:rPr>
          <w:rFonts w:cs="宋体" w:asciiTheme="minorEastAsia" w:hAnsiTheme="minorEastAsia" w:eastAsiaTheme="minorEastAsia"/>
          <w:color w:val="000000" w:themeColor="text1"/>
          <w:sz w:val="24"/>
          <w14:textFill>
            <w14:solidFill>
              <w14:schemeClr w14:val="tx1"/>
            </w14:solidFill>
          </w14:textFill>
        </w:rPr>
        <w:t>:</w:t>
      </w:r>
      <w:r>
        <w:rPr>
          <w:rFonts w:hint="eastAsia" w:cs="宋体" w:asciiTheme="minorEastAsia" w:hAnsiTheme="minorEastAsia" w:eastAsiaTheme="minorEastAsia"/>
          <w:color w:val="000000" w:themeColor="text1"/>
          <w:sz w:val="24"/>
          <w14:textFill>
            <w14:solidFill>
              <w14:schemeClr w14:val="tx1"/>
            </w14:solidFill>
          </w14:textFill>
        </w:rPr>
        <w:t>签订合同后一年</w:t>
      </w:r>
      <w:r>
        <w:rPr>
          <w:rFonts w:hint="eastAsia" w:cs="宋体" w:asciiTheme="minorEastAsia" w:hAnsiTheme="minorEastAsia" w:eastAsiaTheme="minorEastAsia"/>
          <w:color w:val="000000" w:themeColor="text1"/>
          <w:sz w:val="24"/>
          <w:lang w:eastAsia="zh-CN"/>
          <w14:textFill>
            <w14:solidFill>
              <w14:schemeClr w14:val="tx1"/>
            </w14:solidFill>
          </w14:textFill>
        </w:rPr>
        <w:t>。</w:t>
      </w:r>
    </w:p>
    <w:p w14:paraId="46FF6AE6">
      <w:pPr>
        <w:kinsoku/>
        <w:autoSpaceDE/>
        <w:autoSpaceDN/>
        <w:adjustRightInd/>
        <w:snapToGrid/>
        <w:spacing w:line="500" w:lineRule="exact"/>
        <w:textAlignment w:val="auto"/>
        <w:rPr>
          <w:rFonts w:cs="宋体" w:asciiTheme="minorEastAsia" w:hAnsiTheme="minorEastAsia" w:eastAsiaTheme="minorEastAsia"/>
          <w:color w:val="000000" w:themeColor="text1"/>
          <w:sz w:val="24"/>
          <w14:textFill>
            <w14:solidFill>
              <w14:schemeClr w14:val="tx1"/>
            </w14:solidFill>
          </w14:textFill>
        </w:rPr>
      </w:pPr>
      <w:r>
        <w:rPr>
          <w:rFonts w:cs="宋体" w:asciiTheme="minorEastAsia" w:hAnsiTheme="minorEastAsia" w:eastAsiaTheme="minorEastAsia"/>
          <w:color w:val="000000" w:themeColor="text1"/>
          <w:sz w:val="24"/>
          <w14:textFill>
            <w14:solidFill>
              <w14:schemeClr w14:val="tx1"/>
            </w14:solidFill>
          </w14:textFill>
        </w:rPr>
        <w:t>3</w:t>
      </w:r>
      <w:r>
        <w:rPr>
          <w:rFonts w:hint="eastAsia" w:cs="宋体" w:asciiTheme="minorEastAsia" w:hAnsiTheme="minorEastAsia" w:eastAsiaTheme="minorEastAsia"/>
          <w:color w:val="000000" w:themeColor="text1"/>
          <w:sz w:val="24"/>
          <w14:textFill>
            <w14:solidFill>
              <w14:schemeClr w14:val="tx1"/>
            </w14:solidFill>
          </w14:textFill>
        </w:rPr>
        <w:t>、付款方式</w:t>
      </w:r>
      <w:r>
        <w:rPr>
          <w:rFonts w:cs="宋体" w:asciiTheme="minorEastAsia" w:hAnsiTheme="minorEastAsia" w:eastAsiaTheme="minorEastAsia"/>
          <w:color w:val="000000" w:themeColor="text1"/>
          <w:sz w:val="24"/>
          <w14:textFill>
            <w14:solidFill>
              <w14:schemeClr w14:val="tx1"/>
            </w14:solidFill>
          </w14:textFill>
        </w:rPr>
        <w:t>:</w:t>
      </w:r>
      <w:r>
        <w:rPr>
          <w:rFonts w:hint="eastAsia" w:ascii="宋体" w:hAnsi="宋体" w:cs="宋体"/>
          <w:b w:val="0"/>
          <w:bCs w:val="0"/>
          <w:i w:val="0"/>
          <w:color w:val="000000" w:themeColor="text1"/>
          <w:kern w:val="2"/>
          <w:sz w:val="24"/>
          <w:szCs w:val="24"/>
          <w:u w:val="none"/>
          <w:lang w:val="en-US" w:eastAsia="zh-CN" w:bidi="ar-SA"/>
          <w14:textFill>
            <w14:solidFill>
              <w14:schemeClr w14:val="tx1"/>
            </w14:solidFill>
          </w14:textFill>
        </w:rPr>
        <w:t>合同签订后支付合同金额的40%作为预付款，剩余合同金额的60%在服务期限内分四次支付，即每3个月支付一次。</w:t>
      </w:r>
    </w:p>
    <w:p w14:paraId="0FDC398F">
      <w:pPr>
        <w:kinsoku/>
        <w:autoSpaceDE/>
        <w:autoSpaceDN/>
        <w:adjustRightInd/>
        <w:snapToGrid/>
        <w:spacing w:line="500" w:lineRule="exact"/>
        <w:textAlignment w:val="auto"/>
        <w:rPr>
          <w:rFonts w:cs="宋体" w:asciiTheme="minorEastAsia" w:hAnsiTheme="minorEastAsia" w:eastAsiaTheme="minorEastAsia"/>
          <w:color w:val="000000" w:themeColor="text1"/>
          <w:sz w:val="24"/>
          <w:lang w:eastAsia="zh-CN"/>
          <w14:textFill>
            <w14:solidFill>
              <w14:schemeClr w14:val="tx1"/>
            </w14:solidFill>
          </w14:textFill>
        </w:rPr>
      </w:pPr>
      <w:r>
        <w:rPr>
          <w:rFonts w:cs="宋体" w:asciiTheme="minorEastAsia" w:hAnsiTheme="minorEastAsia" w:eastAsiaTheme="minorEastAsia"/>
          <w:color w:val="000000" w:themeColor="text1"/>
          <w:sz w:val="24"/>
          <w14:textFill>
            <w14:solidFill>
              <w14:schemeClr w14:val="tx1"/>
            </w14:solidFill>
          </w14:textFill>
        </w:rPr>
        <w:t>4</w:t>
      </w:r>
      <w:r>
        <w:rPr>
          <w:rFonts w:hint="eastAsia" w:cs="宋体" w:asciiTheme="minorEastAsia" w:hAnsiTheme="minorEastAsia" w:eastAsiaTheme="minorEastAsia"/>
          <w:color w:val="000000" w:themeColor="text1"/>
          <w:sz w:val="24"/>
          <w14:textFill>
            <w14:solidFill>
              <w14:schemeClr w14:val="tx1"/>
            </w14:solidFill>
          </w14:textFill>
        </w:rPr>
        <w:t>、中标人服务期间交通、住宿、饮食、人身安全等所有费用、责任自行承担。</w:t>
      </w:r>
    </w:p>
    <w:p w14:paraId="4B73DCD5">
      <w:pPr>
        <w:kinsoku/>
        <w:autoSpaceDE/>
        <w:autoSpaceDN/>
        <w:adjustRightInd/>
        <w:snapToGrid/>
        <w:spacing w:line="500" w:lineRule="exact"/>
        <w:textAlignment w:val="auto"/>
        <w:rPr>
          <w:rFonts w:cs="宋体" w:asciiTheme="minorEastAsia" w:hAnsiTheme="minorEastAsia" w:eastAsiaTheme="minorEastAsia"/>
          <w:color w:val="000000" w:themeColor="text1"/>
          <w:sz w:val="24"/>
          <w:lang w:eastAsia="zh-CN"/>
          <w14:textFill>
            <w14:solidFill>
              <w14:schemeClr w14:val="tx1"/>
            </w14:solidFill>
          </w14:textFill>
        </w:rPr>
      </w:pPr>
      <w:r>
        <w:rPr>
          <w:rFonts w:hint="eastAsia" w:cs="宋体" w:asciiTheme="minorEastAsia" w:hAnsiTheme="minorEastAsia" w:eastAsiaTheme="minorEastAsia"/>
          <w:color w:val="000000" w:themeColor="text1"/>
          <w:sz w:val="24"/>
          <w:lang w:val="en-US" w:eastAsia="zh-CN"/>
          <w14:textFill>
            <w14:solidFill>
              <w14:schemeClr w14:val="tx1"/>
            </w14:solidFill>
          </w14:textFill>
        </w:rPr>
        <w:t>5</w:t>
      </w:r>
      <w:r>
        <w:rPr>
          <w:rFonts w:hint="eastAsia" w:cs="宋体" w:asciiTheme="minorEastAsia" w:hAnsiTheme="minorEastAsia" w:eastAsiaTheme="minorEastAsia"/>
          <w:color w:val="000000" w:themeColor="text1"/>
          <w:sz w:val="24"/>
          <w14:textFill>
            <w14:solidFill>
              <w14:schemeClr w14:val="tx1"/>
            </w14:solidFill>
          </w14:textFill>
        </w:rPr>
        <w:t>、中标人自领取中标通知书后</w:t>
      </w:r>
      <w:r>
        <w:rPr>
          <w:rFonts w:hint="eastAsia" w:cs="宋体" w:asciiTheme="minorEastAsia" w:hAnsiTheme="minorEastAsia" w:eastAsiaTheme="minorEastAsia"/>
          <w:color w:val="000000" w:themeColor="text1"/>
          <w:sz w:val="24"/>
          <w:lang w:val="en-US" w:eastAsia="zh-CN"/>
          <w14:textFill>
            <w14:solidFill>
              <w14:schemeClr w14:val="tx1"/>
            </w14:solidFill>
          </w14:textFill>
        </w:rPr>
        <w:t>五</w:t>
      </w:r>
      <w:r>
        <w:rPr>
          <w:rFonts w:hint="eastAsia" w:cs="宋体" w:asciiTheme="minorEastAsia" w:hAnsiTheme="minorEastAsia" w:eastAsiaTheme="minorEastAsia"/>
          <w:color w:val="000000" w:themeColor="text1"/>
          <w:sz w:val="24"/>
          <w14:textFill>
            <w14:solidFill>
              <w14:schemeClr w14:val="tx1"/>
            </w14:solidFill>
          </w14:textFill>
        </w:rPr>
        <w:t>个工作日内须与采购人签订采购合同。</w:t>
      </w:r>
    </w:p>
    <w:p w14:paraId="1AAC242F">
      <w:pPr>
        <w:kinsoku/>
        <w:autoSpaceDE/>
        <w:autoSpaceDN/>
        <w:adjustRightInd/>
        <w:snapToGrid/>
        <w:spacing w:line="500" w:lineRule="exact"/>
        <w:textAlignment w:val="auto"/>
        <w:rPr>
          <w:rFonts w:cs="宋体" w:asciiTheme="minorEastAsia" w:hAnsiTheme="minorEastAsia" w:eastAsiaTheme="minorEastAsia"/>
          <w:color w:val="000000" w:themeColor="text1"/>
          <w:sz w:val="24"/>
          <w:lang w:eastAsia="zh-CN"/>
          <w14:textFill>
            <w14:solidFill>
              <w14:schemeClr w14:val="tx1"/>
            </w14:solidFill>
          </w14:textFill>
        </w:rPr>
      </w:pPr>
      <w:r>
        <w:rPr>
          <w:rFonts w:hint="eastAsia" w:cs="宋体" w:asciiTheme="minorEastAsia" w:hAnsiTheme="minorEastAsia" w:eastAsiaTheme="minorEastAsia"/>
          <w:color w:val="000000" w:themeColor="text1"/>
          <w:sz w:val="24"/>
          <w:lang w:val="en-US" w:eastAsia="zh-CN"/>
          <w14:textFill>
            <w14:solidFill>
              <w14:schemeClr w14:val="tx1"/>
            </w14:solidFill>
          </w14:textFill>
        </w:rPr>
        <w:t>6</w:t>
      </w:r>
      <w:r>
        <w:rPr>
          <w:rFonts w:hint="eastAsia" w:cs="宋体" w:asciiTheme="minorEastAsia" w:hAnsiTheme="minorEastAsia" w:eastAsiaTheme="minorEastAsia"/>
          <w:color w:val="000000" w:themeColor="text1"/>
          <w:sz w:val="24"/>
          <w14:textFill>
            <w14:solidFill>
              <w14:schemeClr w14:val="tx1"/>
            </w14:solidFill>
          </w14:textFill>
        </w:rPr>
        <w:t>、中标人与采购人签订采购合同后，投入本项目人员必须按照合同约定时间开展工作，否则采购人有权取消合同，造成的一切损失和法律责任均由中标人承担。</w:t>
      </w:r>
    </w:p>
    <w:p w14:paraId="3CC0681D">
      <w:pPr>
        <w:kinsoku/>
        <w:autoSpaceDE/>
        <w:autoSpaceDN/>
        <w:adjustRightInd/>
        <w:snapToGrid/>
        <w:spacing w:line="500" w:lineRule="exact"/>
        <w:textAlignment w:val="auto"/>
        <w:rPr>
          <w:rFonts w:cs="宋体" w:asciiTheme="minorEastAsia" w:hAnsiTheme="minorEastAsia" w:eastAsiaTheme="minorEastAsia"/>
          <w:color w:val="000000" w:themeColor="text1"/>
          <w:sz w:val="24"/>
          <w14:textFill>
            <w14:solidFill>
              <w14:schemeClr w14:val="tx1"/>
            </w14:solidFill>
          </w14:textFill>
        </w:rPr>
      </w:pPr>
      <w:r>
        <w:rPr>
          <w:rFonts w:hint="eastAsia" w:cs="宋体" w:asciiTheme="minorEastAsia" w:hAnsiTheme="minorEastAsia" w:eastAsiaTheme="minorEastAsia"/>
          <w:color w:val="000000" w:themeColor="text1"/>
          <w:sz w:val="24"/>
          <w:lang w:val="en-US" w:eastAsia="zh-CN"/>
          <w14:textFill>
            <w14:solidFill>
              <w14:schemeClr w14:val="tx1"/>
            </w14:solidFill>
          </w14:textFill>
        </w:rPr>
        <w:t>7</w:t>
      </w:r>
      <w:r>
        <w:rPr>
          <w:rFonts w:hint="eastAsia" w:cs="宋体" w:asciiTheme="minorEastAsia" w:hAnsiTheme="minorEastAsia" w:eastAsiaTheme="minorEastAsia"/>
          <w:color w:val="000000" w:themeColor="text1"/>
          <w:sz w:val="24"/>
          <w14:textFill>
            <w14:solidFill>
              <w14:schemeClr w14:val="tx1"/>
            </w14:solidFill>
          </w14:textFill>
        </w:rPr>
        <w:t>、投标人必须保证投标文件所提供的全部资料真实可靠，若提供虚假材料经查实后，移交行政监管部门，并进行处罚。</w:t>
      </w:r>
    </w:p>
    <w:p w14:paraId="405D3AE1">
      <w:pPr>
        <w:kinsoku/>
        <w:autoSpaceDE/>
        <w:autoSpaceDN/>
        <w:adjustRightInd/>
        <w:snapToGrid/>
        <w:spacing w:line="500" w:lineRule="exact"/>
        <w:textAlignment w:val="auto"/>
        <w:rPr>
          <w:rFonts w:cs="宋体" w:asciiTheme="minorEastAsia" w:hAnsiTheme="minorEastAsia" w:eastAsiaTheme="minorEastAsia"/>
          <w:color w:val="000000" w:themeColor="text1"/>
          <w:sz w:val="24"/>
          <w:lang w:eastAsia="zh-CN"/>
          <w14:textFill>
            <w14:solidFill>
              <w14:schemeClr w14:val="tx1"/>
            </w14:solidFill>
          </w14:textFill>
        </w:rPr>
      </w:pPr>
      <w:r>
        <w:rPr>
          <w:rFonts w:hint="eastAsia" w:cs="宋体" w:asciiTheme="minorEastAsia" w:hAnsiTheme="minorEastAsia" w:eastAsiaTheme="minorEastAsia"/>
          <w:color w:val="000000" w:themeColor="text1"/>
          <w:sz w:val="24"/>
          <w:lang w:val="en-US" w:eastAsia="zh-CN"/>
          <w14:textFill>
            <w14:solidFill>
              <w14:schemeClr w14:val="tx1"/>
            </w14:solidFill>
          </w14:textFill>
        </w:rPr>
        <w:t>8</w:t>
      </w:r>
      <w:r>
        <w:rPr>
          <w:rFonts w:hint="eastAsia" w:cs="宋体" w:asciiTheme="minorEastAsia" w:hAnsiTheme="minorEastAsia" w:eastAsiaTheme="minorEastAsia"/>
          <w:color w:val="000000" w:themeColor="text1"/>
          <w:sz w:val="24"/>
          <w14:textFill>
            <w14:solidFill>
              <w14:schemeClr w14:val="tx1"/>
            </w14:solidFill>
          </w14:textFill>
        </w:rPr>
        <w:t>、中标人如果放弃中标需要有合理理由，否则属于失信行为，监管部门可以将其记入失信记录并处罚。</w:t>
      </w:r>
      <w:r>
        <w:rPr>
          <w:rFonts w:cs="宋体" w:asciiTheme="minorEastAsia" w:hAnsiTheme="minorEastAsia" w:eastAsiaTheme="minorEastAsia"/>
          <w:color w:val="000000" w:themeColor="text1"/>
          <w:sz w:val="24"/>
          <w14:textFill>
            <w14:solidFill>
              <w14:schemeClr w14:val="tx1"/>
            </w14:solidFill>
          </w14:textFill>
        </w:rPr>
        <w:t xml:space="preserve"> </w:t>
      </w:r>
    </w:p>
    <w:p w14:paraId="39D10AFD">
      <w:r>
        <w:rPr>
          <w:rFonts w:hint="eastAsia" w:cs="宋体" w:asciiTheme="minorEastAsia" w:hAnsiTheme="minorEastAsia" w:eastAsiaTheme="minorEastAsia"/>
          <w:color w:val="000000" w:themeColor="text1"/>
          <w:sz w:val="24"/>
          <w:lang w:val="en-US" w:eastAsia="zh-CN"/>
          <w14:textFill>
            <w14:solidFill>
              <w14:schemeClr w14:val="tx1"/>
            </w14:solidFill>
          </w14:textFill>
        </w:rPr>
        <w:t xml:space="preserve">                                            </w:t>
      </w:r>
      <w:bookmarkEnd w:id="3"/>
      <w:bookmarkEnd w:id="4"/>
    </w:p>
    <w:sectPr>
      <w:footerReference r:id="rId4" w:type="default"/>
      <w:pgSz w:w="11906" w:h="16838"/>
      <w:pgMar w:top="1134" w:right="1418" w:bottom="1134" w:left="141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34"/>
    <w:family w:val="auto"/>
    <w:pitch w:val="default"/>
    <w:sig w:usb0="E0002EFF" w:usb1="C000785B" w:usb2="00000009"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EC9B27">
    <w:pPr>
      <w:pStyle w:val="5"/>
      <w:rPr>
        <w:lang w:eastAsia="zh-CN"/>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3" name="文本框 5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459FF918">
                          <w:pPr>
                            <w:pStyle w:val="5"/>
                          </w:pPr>
                          <w:r>
                            <w:fldChar w:fldCharType="begin"/>
                          </w:r>
                          <w:r>
                            <w:instrText xml:space="preserve"> PAGE  \* MERGEFORMAT </w:instrText>
                          </w:r>
                          <w:r>
                            <w:fldChar w:fldCharType="separate"/>
                          </w:r>
                          <w:r>
                            <w:t>43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LNJWO7QAAAABQEAAA8AAAAAAAAAAQAgAAAAIgAAAGRycy9kb3ducmV2Lnht&#10;bFBLAQIUABQAAAAIAIdO4kDIehZUOgIAAHEEAAAOAAAAAAAAAAEAIAAAAB8BAABkcnMvZTJvRG9j&#10;LnhtbFBLBQYAAAAABgAGAFkBAADLBQAAAAA=&#10;">
              <v:fill on="f" focussize="0,0"/>
              <v:stroke on="f" weight="0.5pt"/>
              <v:imagedata o:title=""/>
              <o:lock v:ext="edit" aspectratio="f"/>
              <v:textbox inset="0mm,0mm,0mm,0mm" style="mso-fit-shape-to-text:t;">
                <w:txbxContent>
                  <w:p w14:paraId="459FF918">
                    <w:pPr>
                      <w:pStyle w:val="5"/>
                    </w:pPr>
                    <w:r>
                      <w:fldChar w:fldCharType="begin"/>
                    </w:r>
                    <w:r>
                      <w:instrText xml:space="preserve"> PAGE  \* MERGEFORMAT </w:instrText>
                    </w:r>
                    <w:r>
                      <w:fldChar w:fldCharType="separate"/>
                    </w:r>
                    <w:r>
                      <w:t>43</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FE0B69">
    <w:pPr>
      <w:pStyle w:val="5"/>
      <w:rPr>
        <w:lang w:eastAsia="zh-CN"/>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54" name="文本框 5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4CBDEB18">
                          <w:pPr>
                            <w:pStyle w:val="5"/>
                          </w:pPr>
                          <w:r>
                            <w:fldChar w:fldCharType="begin"/>
                          </w:r>
                          <w:r>
                            <w:instrText xml:space="preserve"> PAGE  \* MERGEFORMAT </w:instrText>
                          </w:r>
                          <w:r>
                            <w:fldChar w:fldCharType="separate"/>
                          </w:r>
                          <w:r>
                            <w:t>46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LNJWO7QAAAABQEAAA8AAAAAAAAAAQAgAAAAIgAAAGRycy9kb3ducmV2Lnht&#10;bFBLAQIUABQAAAAIAIdO4kBuYpJVOgIAAHEEAAAOAAAAAAAAAAEAIAAAAB8BAABkcnMvZTJvRG9j&#10;LnhtbFBLBQYAAAAABgAGAFkBAADLBQAAAAA=&#10;">
              <v:fill on="f" focussize="0,0"/>
              <v:stroke on="f" weight="0.5pt"/>
              <v:imagedata o:title=""/>
              <o:lock v:ext="edit" aspectratio="f"/>
              <v:textbox inset="0mm,0mm,0mm,0mm" style="mso-fit-shape-to-text:t;">
                <w:txbxContent>
                  <w:p w14:paraId="4CBDEB18">
                    <w:pPr>
                      <w:pStyle w:val="5"/>
                    </w:pPr>
                    <w:r>
                      <w:fldChar w:fldCharType="begin"/>
                    </w:r>
                    <w:r>
                      <w:instrText xml:space="preserve"> PAGE  \* MERGEFORMAT </w:instrText>
                    </w:r>
                    <w:r>
                      <w:fldChar w:fldCharType="separate"/>
                    </w:r>
                    <w:r>
                      <w:t>46</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841362"/>
    <w:rsid w:val="02551A35"/>
    <w:rsid w:val="0EED39A1"/>
    <w:rsid w:val="2F6824F8"/>
    <w:rsid w:val="3BDA652C"/>
    <w:rsid w:val="504903B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eastAsia="黑体"/>
      <w:b/>
      <w:bCs/>
      <w:sz w:val="32"/>
      <w:szCs w:val="32"/>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3">
    <w:name w:val="Body Text"/>
    <w:basedOn w:val="1"/>
    <w:next w:val="4"/>
    <w:unhideWhenUsed/>
    <w:qFormat/>
    <w:uiPriority w:val="0"/>
    <w:pPr>
      <w:spacing w:after="120"/>
    </w:pPr>
  </w:style>
  <w:style w:type="paragraph" w:styleId="4">
    <w:name w:val="Body Text First Indent"/>
    <w:basedOn w:val="3"/>
    <w:qFormat/>
    <w:uiPriority w:val="0"/>
    <w:pPr>
      <w:spacing w:after="0"/>
      <w:ind w:firstLine="420" w:firstLineChars="100"/>
    </w:pPr>
    <w:rPr>
      <w:rFonts w:ascii="仿宋" w:hAnsi="仿宋" w:eastAsia="仿宋" w:cs="仿宋"/>
      <w:sz w:val="30"/>
      <w:szCs w:val="30"/>
    </w:rPr>
  </w:style>
  <w:style w:type="paragraph" w:styleId="5">
    <w:name w:val="footer"/>
    <w:basedOn w:val="1"/>
    <w:qFormat/>
    <w:uiPriority w:val="0"/>
    <w:pPr>
      <w:tabs>
        <w:tab w:val="center" w:pos="4153"/>
        <w:tab w:val="right" w:pos="8306"/>
      </w:tabs>
    </w:pPr>
    <w:rPr>
      <w:sz w:val="18"/>
    </w:rPr>
  </w:style>
  <w:style w:type="table" w:customStyle="1" w:styleId="8">
    <w:name w:val="Table Normal"/>
    <w:semiHidden/>
    <w:unhideWhenUsed/>
    <w:qFormat/>
    <w:uiPriority w:val="0"/>
    <w:rPr>
      <w:rFonts w:ascii="Times New Roman" w:hAnsi="Times New Roman" w:eastAsia="宋体" w:cs="Times New Roman"/>
    </w:rPr>
    <w:tblPr>
      <w:tblCellMar>
        <w:top w:w="0" w:type="dxa"/>
        <w:left w:w="0" w:type="dxa"/>
        <w:bottom w:w="0" w:type="dxa"/>
        <w:right w:w="0" w:type="dxa"/>
      </w:tblCellMar>
    </w:tblPr>
  </w:style>
  <w:style w:type="paragraph" w:customStyle="1" w:styleId="9">
    <w:name w:val="Table Text"/>
    <w:basedOn w:val="1"/>
    <w:semiHidden/>
    <w:qFormat/>
    <w:uiPriority w:val="0"/>
  </w:style>
  <w:style w:type="paragraph" w:customStyle="1" w:styleId="10">
    <w:name w:val="Heading2"/>
    <w:basedOn w:val="1"/>
    <w:next w:val="1"/>
    <w:qFormat/>
    <w:uiPriority w:val="0"/>
    <w:pPr>
      <w:keepNext/>
      <w:keepLines/>
      <w:spacing w:before="260" w:after="260" w:line="416" w:lineRule="auto"/>
    </w:pPr>
    <w:rPr>
      <w:rFonts w:ascii="Arial" w:hAnsi="Arial" w:eastAsia="黑体"/>
      <w:b/>
      <w:bCs/>
      <w:sz w:val="32"/>
      <w:szCs w:val="32"/>
    </w:rPr>
  </w:style>
  <w:style w:type="paragraph" w:styleId="11">
    <w:name w:val="List Paragraph"/>
    <w:basedOn w:val="1"/>
    <w:qFormat/>
    <w:uiPriority w:val="34"/>
    <w:pPr>
      <w:ind w:firstLine="420" w:firstLineChars="200"/>
    </w:pPr>
  </w:style>
  <w:style w:type="paragraph" w:customStyle="1" w:styleId="12">
    <w:name w:val="正文正"/>
    <w:basedOn w:val="1"/>
    <w:autoRedefine/>
    <w:qFormat/>
    <w:uiPriority w:val="0"/>
    <w:pPr>
      <w:spacing w:line="560" w:lineRule="exact"/>
      <w:ind w:firstLine="561"/>
    </w:pPr>
    <w:rPr>
      <w:rFonts w:ascii="Calibri" w:hAnsi="Calibri"/>
      <w:sz w:val="28"/>
      <w:szCs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2734</Words>
  <Characters>2757</Characters>
  <Lines>0</Lines>
  <Paragraphs>0</Paragraphs>
  <TotalTime>0</TotalTime>
  <ScaleCrop>false</ScaleCrop>
  <LinksUpToDate>false</LinksUpToDate>
  <CharactersWithSpaces>2807</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2026-06-03T07:16:00Z</dcterms:created>
  <dc:creator>Administrator</dc:creator>
  <cp:lastModifiedBy>Administrator</cp:lastModifiedBy>
  <dcterms:modified xsi:type="dcterms:W3CDTF">2026-06-03T07:36:51Z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eyJoZGlkIjoiMGMyMzNlODM4Mzk5NGNiMzZmNGVhNjUzNTZhZGY1OGMiLCJ1c2VySWQiOiI0ODQyODYwNzEifQ==</vt:lpwstr>
  </property>
  <property fmtid="{D5CDD505-2E9C-101B-9397-08002B2CF9AE}" pid="4" name="ICV">
    <vt:lpwstr>8F1FEB4FDD9543D8BCC42F895C7994CA_12</vt:lpwstr>
  </property>
</Properties>
</file>