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08901D">
      <w:pPr>
        <w:keepNext w:val="0"/>
        <w:keepLines w:val="0"/>
        <w:pageBreakBefore w:val="0"/>
        <w:widowControl w:val="0"/>
        <w:kinsoku/>
        <w:wordWrap/>
        <w:overflowPunct w:val="0"/>
        <w:topLinePunct w:val="0"/>
        <w:bidi w:val="0"/>
        <w:spacing w:line="360" w:lineRule="auto"/>
        <w:jc w:val="center"/>
        <w:outlineLvl w:val="1"/>
        <w:rPr>
          <w:rFonts w:hint="eastAsia" w:ascii="宋体" w:hAnsi="宋体" w:eastAsia="宋体" w:cs="宋体"/>
          <w:color w:val="auto"/>
          <w:spacing w:val="-2"/>
          <w:sz w:val="32"/>
          <w:szCs w:val="32"/>
          <w:highlight w:val="none"/>
          <w:lang w:eastAsia="zh-CN"/>
        </w:rPr>
      </w:pPr>
      <w:r>
        <w:rPr>
          <w:rFonts w:hint="eastAsia" w:ascii="宋体" w:hAnsi="宋体" w:eastAsia="宋体" w:cs="宋体"/>
          <w:color w:val="auto"/>
          <w:spacing w:val="-2"/>
          <w:sz w:val="32"/>
          <w:szCs w:val="32"/>
          <w:highlight w:val="none"/>
          <w:lang w:val="en-US" w:eastAsia="zh-CN"/>
        </w:rPr>
        <w:t>采购</w:t>
      </w:r>
      <w:r>
        <w:rPr>
          <w:rFonts w:hint="eastAsia" w:ascii="宋体" w:hAnsi="宋体" w:eastAsia="宋体" w:cs="宋体"/>
          <w:color w:val="auto"/>
          <w:spacing w:val="-2"/>
          <w:sz w:val="32"/>
          <w:szCs w:val="32"/>
          <w:highlight w:val="none"/>
          <w:lang w:eastAsia="zh-CN"/>
        </w:rPr>
        <w:t>要求</w:t>
      </w:r>
    </w:p>
    <w:p w14:paraId="4125AFE3">
      <w:pPr>
        <w:pStyle w:val="2"/>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黑体"/>
          <w:color w:val="auto"/>
          <w:sz w:val="24"/>
          <w:szCs w:val="24"/>
          <w:highlight w:val="none"/>
          <w:lang w:eastAsia="zh-CN"/>
        </w:rPr>
      </w:pPr>
      <w:r>
        <w:rPr>
          <w:rFonts w:hint="eastAsia" w:ascii="宋体" w:hAnsi="宋体" w:eastAsia="宋体" w:cs="黑体"/>
          <w:color w:val="auto"/>
          <w:sz w:val="24"/>
          <w:szCs w:val="24"/>
          <w:highlight w:val="none"/>
          <w:lang w:eastAsia="zh-CN"/>
        </w:rPr>
        <w:t>（一）</w:t>
      </w:r>
      <w:r>
        <w:rPr>
          <w:rFonts w:hint="eastAsia" w:ascii="宋体" w:hAnsi="宋体" w:eastAsia="宋体" w:cs="黑体"/>
          <w:color w:val="auto"/>
          <w:sz w:val="24"/>
          <w:szCs w:val="24"/>
          <w:highlight w:val="none"/>
          <w:lang w:val="en-US" w:eastAsia="zh-CN"/>
        </w:rPr>
        <w:t>响应供应商须提供全新、原装，并符合质量标准的货物和服务。</w:t>
      </w:r>
    </w:p>
    <w:p w14:paraId="09A62383">
      <w:pPr>
        <w:pStyle w:val="2"/>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黑体"/>
          <w:color w:val="auto"/>
          <w:sz w:val="24"/>
          <w:szCs w:val="24"/>
          <w:highlight w:val="none"/>
          <w:lang w:eastAsia="zh-CN"/>
        </w:rPr>
      </w:pPr>
      <w:r>
        <w:rPr>
          <w:rFonts w:hint="eastAsia" w:ascii="宋体" w:hAnsi="宋体" w:eastAsia="宋体" w:cs="黑体"/>
          <w:color w:val="auto"/>
          <w:sz w:val="24"/>
          <w:szCs w:val="24"/>
          <w:highlight w:val="none"/>
          <w:lang w:eastAsia="zh-CN"/>
        </w:rPr>
        <w:t>（二）</w:t>
      </w:r>
      <w:r>
        <w:rPr>
          <w:rFonts w:hint="eastAsia" w:ascii="宋体" w:hAnsi="宋体" w:eastAsia="宋体" w:cs="黑体"/>
          <w:color w:val="auto"/>
          <w:sz w:val="24"/>
          <w:szCs w:val="24"/>
          <w:highlight w:val="none"/>
          <w:lang w:val="en-US" w:eastAsia="zh-CN"/>
        </w:rPr>
        <w:t>标的如为某单位的专利或特有产品，请响应供应商在答疑期内告知采购代理机构。</w:t>
      </w:r>
      <w:bookmarkStart w:id="0" w:name="_GoBack"/>
      <w:bookmarkEnd w:id="0"/>
    </w:p>
    <w:p w14:paraId="41147A41">
      <w:pPr>
        <w:pStyle w:val="2"/>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黑体"/>
          <w:color w:val="auto"/>
          <w:sz w:val="24"/>
          <w:szCs w:val="24"/>
          <w:highlight w:val="none"/>
          <w:lang w:eastAsia="zh-CN"/>
        </w:rPr>
      </w:pPr>
      <w:r>
        <w:rPr>
          <w:rFonts w:hint="eastAsia" w:ascii="宋体" w:hAnsi="宋体" w:eastAsia="宋体" w:cs="黑体"/>
          <w:color w:val="auto"/>
          <w:sz w:val="24"/>
          <w:szCs w:val="24"/>
          <w:highlight w:val="none"/>
          <w:lang w:eastAsia="zh-CN"/>
        </w:rPr>
        <w:t>（三）所有标的的知识产权问题，由各响应供应商自行负责。</w:t>
      </w:r>
    </w:p>
    <w:p w14:paraId="69688A96">
      <w:pPr>
        <w:keepNext w:val="0"/>
        <w:keepLines w:val="0"/>
        <w:pageBreakBefore w:val="0"/>
        <w:widowControl/>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黑体"/>
          <w:color w:val="auto"/>
          <w:sz w:val="24"/>
          <w:szCs w:val="24"/>
          <w:highlight w:val="none"/>
          <w:lang w:eastAsia="zh-CN"/>
        </w:rPr>
      </w:pPr>
      <w:r>
        <w:rPr>
          <w:rFonts w:hint="eastAsia" w:ascii="宋体" w:hAnsi="宋体" w:eastAsia="宋体" w:cs="黑体"/>
          <w:color w:val="auto"/>
          <w:sz w:val="24"/>
          <w:szCs w:val="24"/>
          <w:highlight w:val="none"/>
          <w:lang w:eastAsia="zh-CN"/>
        </w:rPr>
        <w:t>（四）本磋商文件提出的是最低限度的要求，响应供应商所投服务应达到或优于本</w:t>
      </w:r>
      <w:r>
        <w:rPr>
          <w:rFonts w:hint="eastAsia" w:ascii="宋体" w:hAnsi="宋体" w:eastAsia="宋体" w:cs="黑体"/>
          <w:color w:val="auto"/>
          <w:sz w:val="24"/>
          <w:szCs w:val="24"/>
          <w:highlight w:val="none"/>
          <w:lang w:val="en-US" w:eastAsia="zh-CN"/>
        </w:rPr>
        <w:t>磋商</w:t>
      </w:r>
      <w:r>
        <w:rPr>
          <w:rFonts w:hint="eastAsia" w:ascii="宋体" w:hAnsi="宋体" w:eastAsia="宋体" w:cs="黑体"/>
          <w:color w:val="auto"/>
          <w:sz w:val="24"/>
          <w:szCs w:val="24"/>
          <w:highlight w:val="none"/>
          <w:lang w:eastAsia="zh-CN"/>
        </w:rPr>
        <w:t>文件要求，且符合国家有关标准和规范要求，本部分“采购项目需求”“</w:t>
      </w:r>
      <w:r>
        <w:rPr>
          <w:rFonts w:hint="eastAsia" w:ascii="宋体" w:hAnsi="宋体" w:eastAsia="宋体" w:cs="宋体"/>
          <w:b/>
          <w:bCs/>
          <w:color w:val="auto"/>
          <w:sz w:val="24"/>
          <w:szCs w:val="24"/>
          <w:highlight w:val="none"/>
          <w:lang w:eastAsia="zh-CN"/>
        </w:rPr>
        <w:t>★</w:t>
      </w:r>
      <w:r>
        <w:rPr>
          <w:rFonts w:hint="eastAsia" w:ascii="宋体" w:hAnsi="宋体" w:eastAsia="宋体" w:cs="黑体"/>
          <w:color w:val="auto"/>
          <w:sz w:val="24"/>
          <w:szCs w:val="24"/>
          <w:highlight w:val="none"/>
          <w:lang w:eastAsia="zh-CN"/>
        </w:rPr>
        <w:t>”</w:t>
      </w:r>
      <w:r>
        <w:rPr>
          <w:rFonts w:hint="eastAsia" w:ascii="宋体" w:hAnsi="宋体" w:eastAsia="宋体" w:cs="黑体"/>
          <w:color w:val="auto"/>
          <w:sz w:val="24"/>
          <w:szCs w:val="24"/>
          <w:highlight w:val="none"/>
          <w:lang w:val="en-US" w:eastAsia="zh-CN"/>
        </w:rPr>
        <w:t>标记</w:t>
      </w:r>
      <w:r>
        <w:rPr>
          <w:rFonts w:hint="eastAsia" w:ascii="宋体" w:hAnsi="宋体" w:eastAsia="宋体" w:cs="黑体"/>
          <w:color w:val="auto"/>
          <w:sz w:val="24"/>
          <w:szCs w:val="24"/>
          <w:highlight w:val="none"/>
          <w:lang w:eastAsia="zh-CN"/>
        </w:rPr>
        <w:t>均属于不允许负偏离的实质性要求和条件（磋商现场磋商内容除外）。</w:t>
      </w:r>
    </w:p>
    <w:p w14:paraId="466072DD">
      <w:pPr>
        <w:pStyle w:val="2"/>
        <w:keepNext w:val="0"/>
        <w:keepLines w:val="0"/>
        <w:pageBreakBefore w:val="0"/>
        <w:widowControl w:val="0"/>
        <w:kinsoku/>
        <w:wordWrap/>
        <w:topLinePunct w:val="0"/>
        <w:autoSpaceDE/>
        <w:autoSpaceDN/>
        <w:bidi w:val="0"/>
        <w:adjustRightInd/>
        <w:snapToGrid/>
        <w:spacing w:line="360" w:lineRule="auto"/>
        <w:ind w:firstLine="482" w:firstLineChars="200"/>
        <w:textAlignment w:val="auto"/>
        <w:rPr>
          <w:rFonts w:hint="eastAsia" w:ascii="宋体" w:hAnsi="宋体" w:eastAsia="宋体" w:cs="黑体"/>
          <w:b/>
          <w:bCs/>
          <w:color w:val="auto"/>
          <w:sz w:val="24"/>
          <w:szCs w:val="24"/>
          <w:highlight w:val="none"/>
          <w:lang w:eastAsia="zh-CN"/>
        </w:rPr>
      </w:pPr>
      <w:r>
        <w:rPr>
          <w:rFonts w:hint="eastAsia" w:ascii="宋体" w:hAnsi="宋体" w:eastAsia="宋体" w:cs="宋体"/>
          <w:b/>
          <w:bCs/>
          <w:color w:val="auto"/>
          <w:sz w:val="24"/>
          <w:szCs w:val="24"/>
          <w:highlight w:val="none"/>
          <w:lang w:eastAsia="zh-CN"/>
        </w:rPr>
        <w:t>★</w:t>
      </w:r>
      <w:r>
        <w:rPr>
          <w:rFonts w:hint="eastAsia" w:ascii="宋体" w:hAnsi="宋体" w:eastAsia="宋体" w:cs="黑体"/>
          <w:b/>
          <w:bCs/>
          <w:color w:val="auto"/>
          <w:sz w:val="24"/>
          <w:szCs w:val="24"/>
          <w:highlight w:val="none"/>
          <w:lang w:eastAsia="zh-CN"/>
        </w:rPr>
        <w:t>（五）主要服务内容及要求：</w:t>
      </w:r>
    </w:p>
    <w:p w14:paraId="0939AB9F">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1、项目概况</w:t>
      </w:r>
    </w:p>
    <w:p w14:paraId="00B596B9">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根据《中华人民共和国土地管理法》、《中华人民共和国城市房地产管理法》、《中华人民共和国资产评估法》、《招标拍卖挂牌出让国有建设用地使用权规定》等有关规定，国有建设用地使用权出让、收储涉及的土地价款，以及因调整土地使用条件、发生土地增值等情况需补缴的地价款，需经土地估价专业评估机构评估后，依法依规确定土地出让价款或应补缴的地价款。</w:t>
      </w:r>
    </w:p>
    <w:p w14:paraId="6583E3C1">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2、工作范围</w:t>
      </w:r>
    </w:p>
    <w:p w14:paraId="70C18479">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按照《城镇土地估价规程》（GB/T18508—2014）、《自然资源价格评估通则》（TD/T1061-2021）、《国土资源部办公厅关于印发&lt;国有建设用地使用权出让地价评估技术规范&gt;的通知》（国土资厅发〔2018〕4号）等行业规范、技术标准,在分析城镇经济社会发展水平、国土空间规划等区域因素，及其土地登记、位置、用途等基础地理信息、规划限制条件个别因素基础上，完成兴国县公开出让地块、土地收储地块、需补缴土地出让金、土地使用权价格评估等土地评估服务；向采购人提交客观公正的土地评估报告。</w:t>
      </w:r>
    </w:p>
    <w:p w14:paraId="2E45C7FC">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3、技术要求</w:t>
      </w:r>
    </w:p>
    <w:p w14:paraId="504F2064">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（1）委托立项</w:t>
      </w:r>
    </w:p>
    <w:p w14:paraId="6E5FFE7C">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接受委托估价方土地价格评估项目委托，进行项目立项并确定项目负责人正式进入实施。</w:t>
      </w:r>
    </w:p>
    <w:p w14:paraId="0279D1A6">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（2）明确估价基本事项</w:t>
      </w:r>
    </w:p>
    <w:p w14:paraId="5ECB9370">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接受委托时估价人员需与委托估价方沟通和协商，明确以下基本事项，为后续工作打好基础。</w:t>
      </w:r>
    </w:p>
    <w:p w14:paraId="419C4635">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1）明确估价目的</w:t>
      </w:r>
    </w:p>
    <w:p w14:paraId="6E198014">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估价目的由委托方提出，在估价委托书中明确。估价目的决定了价格类型，也决定了估价的依据，是实施估价的前提条件。</w:t>
      </w:r>
    </w:p>
    <w:p w14:paraId="193AD0C5">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2）明确估价对象。</w:t>
      </w:r>
    </w:p>
    <w:p w14:paraId="1D5B5298">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明确估价对象即明确待估宗地的物质实体状况和权益状况，对所在位置、土地范围、土地权利状况、土地利用类型、土地利用状况等进行明确界定，并应有明确的依据和理由。</w:t>
      </w:r>
    </w:p>
    <w:p w14:paraId="7DDCA5D0">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3）明确估价期日</w:t>
      </w:r>
    </w:p>
    <w:p w14:paraId="243B974B">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估价期日是指决定土地价格的具体时间点。由于同一土地价格随时间而变化,所评估的土地价格，必定是某一时点的价格。因此，在进行土地估价时必须明确估价期日，应在委托估价书中明确，具体到年、月、日。</w:t>
      </w:r>
    </w:p>
    <w:p w14:paraId="2AFE113D">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（3）签订委托书和估价合同或业务约定书</w:t>
      </w:r>
    </w:p>
    <w:p w14:paraId="2F63F52D">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在明确估价基本事项的基础上，委托方向估价方签发委托估价书，如有需要可与委托方签订委托估价合同或协议。</w:t>
      </w:r>
    </w:p>
    <w:p w14:paraId="50BD99F6">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（4）现场查勘、资料收集</w:t>
      </w:r>
    </w:p>
    <w:p w14:paraId="416571EF">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收集待估宗地所处区域地籍图、国土空间规划资料，实地查勘待估宗地及相关案例资料，充分了解掌握待估宗地及评估所用案例的坐落位置、四至、形状、土地利用状况、基础设施条件、道路交通状况以及周围环境等基础地理信息，分析其对地价水平的影响。同时，需对待估宗地及周边情况等进行现场拍照。</w:t>
      </w:r>
    </w:p>
    <w:p w14:paraId="5508CF47">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（5）选定估价方法计算</w:t>
      </w:r>
    </w:p>
    <w:p w14:paraId="6D274F32">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根据评估对象、价值类型、评估资料收集情况等相关条件，分析主要土地估价方法的适用性，针对委估土地资产特点，恰当选择相应的评估方法，选取相应的公式和参数进行分析、计算和判断，最终形成评估结论。</w:t>
      </w:r>
    </w:p>
    <w:p w14:paraId="6028E451">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4、工作成果</w:t>
      </w:r>
    </w:p>
    <w:p w14:paraId="366CD524">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按照采购人要求对指定的地块进行估价等服务，根据《城镇土地估价规程》等的相关要求出具规定格式的电子及纸质评估报告，并完成在相关行政主管部门的备案工作，确保评估报告具有合法有效的备案号。</w:t>
      </w:r>
    </w:p>
    <w:p w14:paraId="42967666">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（2）出具估价报告的时间：成交供应商在接到采购人书面或通过指定信息系统发出的《土地评估任务单》后，应在 5个工作日内完成现场勘查、报告撰写及内部审核，并向采购人提交正式的评估报告初稿。如遇特殊复杂地块，经采购人书面确认后，时限可适当顺延。</w:t>
      </w:r>
    </w:p>
    <w:p w14:paraId="5854FE5F">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5、其他要求</w:t>
      </w:r>
    </w:p>
    <w:p w14:paraId="05F7E341">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（1）成交供应商应遵守国家有关法律、法规及执业规范，应遵守江西省相关部门的相关制度规定，并由采购人对其进行日常考核。</w:t>
      </w:r>
    </w:p>
    <w:p w14:paraId="0A423DA7">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（2）应保证采购人获得优先服务的权利，积极主动与采购人配合，并在不超过采购人要求承诺的期限内完成采购人要求工作，若因中标供应商的原因而未按时完成的，则扣除该项目的服务费用。</w:t>
      </w:r>
    </w:p>
    <w:p w14:paraId="26AF4B2D">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（3）质量要求：成交供应商提交的评估报告应符合国家及江西省、赣州市有关土地估价的技术标准和规范，内容完整、数据准确、逻辑清晰、结论合理。报告备案通过率应达到 100%。</w:t>
      </w:r>
    </w:p>
    <w:p w14:paraId="1CC8A186">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（4）成交供应商不得无故拒绝采购人分配的任务，若年度内累计无故拒绝超过3次，采购人有权单方解除合同。</w:t>
      </w:r>
    </w:p>
    <w:p w14:paraId="005B3B81">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（5）严格遵守采购人所有的规定、制度，不给采购人造成经济和信誉的损失。</w:t>
      </w:r>
    </w:p>
    <w:p w14:paraId="3663481F">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6、团队成员要求：</w:t>
      </w:r>
    </w:p>
    <w:p w14:paraId="04F5B801">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（1）项目负责人：拟投入的项目负责人须具有注册土地估价师证书或</w:t>
      </w:r>
      <w:r>
        <w:rPr>
          <w:rFonts w:hint="eastAsia" w:ascii="宋体" w:hAnsi="宋体" w:eastAsia="宋体" w:cs="宋体"/>
          <w:b w:val="0"/>
          <w:bCs w:val="0"/>
          <w:color w:val="auto"/>
          <w:sz w:val="24"/>
          <w:szCs w:val="24"/>
          <w:highlight w:val="none"/>
          <w:lang w:val="en-US" w:eastAsia="zh-CN"/>
        </w:rPr>
        <w:t>注册房地产估价师证书</w:t>
      </w:r>
      <w:r>
        <w:rPr>
          <w:rFonts w:hint="eastAsia" w:ascii="宋体" w:hAnsi="宋体" w:eastAsia="宋体" w:cs="宋体"/>
          <w:color w:val="auto"/>
          <w:sz w:val="24"/>
          <w:szCs w:val="24"/>
          <w:highlight w:val="none"/>
          <w:lang w:val="en-US" w:eastAsia="zh-CN"/>
        </w:rPr>
        <w:t>。</w:t>
      </w:r>
      <w:r>
        <w:rPr>
          <w:rFonts w:hint="eastAsia" w:ascii="宋体" w:hAnsi="宋体" w:eastAsia="宋体" w:cs="宋体"/>
          <w:b/>
          <w:bCs/>
          <w:color w:val="auto"/>
          <w:sz w:val="24"/>
          <w:szCs w:val="24"/>
          <w:highlight w:val="none"/>
          <w:lang w:val="en-US" w:eastAsia="zh-CN"/>
        </w:rPr>
        <w:t>（响应文件中须提供相应的证书扫描件，未提供的或提供不符合要求的视为无效响应。）</w:t>
      </w:r>
    </w:p>
    <w:p w14:paraId="0DE7D22F">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（2）技术负责人：拟投入的技术负责人须具有注册土地估价师证书或</w:t>
      </w:r>
      <w:r>
        <w:rPr>
          <w:rFonts w:hint="eastAsia" w:ascii="宋体" w:hAnsi="宋体" w:eastAsia="宋体" w:cs="宋体"/>
          <w:b w:val="0"/>
          <w:bCs w:val="0"/>
          <w:color w:val="auto"/>
          <w:sz w:val="24"/>
          <w:szCs w:val="24"/>
          <w:highlight w:val="none"/>
          <w:lang w:val="en-US" w:eastAsia="zh-CN"/>
        </w:rPr>
        <w:t>注册房地产估价师证书</w:t>
      </w:r>
      <w:r>
        <w:rPr>
          <w:rFonts w:hint="eastAsia" w:ascii="宋体" w:hAnsi="宋体" w:eastAsia="宋体" w:cs="宋体"/>
          <w:color w:val="auto"/>
          <w:sz w:val="24"/>
          <w:szCs w:val="24"/>
          <w:highlight w:val="none"/>
          <w:lang w:val="en-US" w:eastAsia="zh-CN"/>
        </w:rPr>
        <w:t>，熟悉相关政策解读及工作程序。</w:t>
      </w:r>
      <w:r>
        <w:rPr>
          <w:rFonts w:hint="eastAsia" w:ascii="宋体" w:hAnsi="宋体" w:eastAsia="宋体" w:cs="宋体"/>
          <w:b/>
          <w:bCs/>
          <w:color w:val="auto"/>
          <w:sz w:val="24"/>
          <w:szCs w:val="24"/>
          <w:highlight w:val="none"/>
          <w:lang w:val="en-US" w:eastAsia="zh-CN"/>
        </w:rPr>
        <w:t>（响应文件中须提供相应的证书扫描件，未提供的或提供不符合要求的视为无效响应。）</w:t>
      </w:r>
    </w:p>
    <w:p w14:paraId="4B1D06E7">
      <w:pPr>
        <w:keepNext w:val="0"/>
        <w:keepLines w:val="0"/>
        <w:pageBreakBefore w:val="0"/>
        <w:widowControl w:val="0"/>
        <w:shd w:val="clear" w:color="auto" w:fill="auto"/>
        <w:kinsoku/>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（3）服务团队人员：服务团队人员配备若干名，专业技术人员，具备开展评估工作能力；政治素质过硬，廉洁自律，公平公正，严格遵守相关法律法规；业务熟练，熟悉相关规范标准，保障项目顺利实施。</w:t>
      </w:r>
    </w:p>
    <w:p w14:paraId="49139397">
      <w:pPr>
        <w:pStyle w:val="2"/>
        <w:kinsoku/>
        <w:overflowPunct w:val="0"/>
        <w:spacing w:line="360" w:lineRule="auto"/>
        <w:ind w:firstLine="480" w:firstLineChars="200"/>
        <w:outlineLvl w:val="9"/>
        <w:rPr>
          <w:rFonts w:hint="eastAsia" w:ascii="宋体" w:hAnsi="宋体" w:eastAsia="宋体" w:cs="宋体"/>
          <w:b/>
          <w:bCs/>
          <w:color w:val="auto"/>
          <w:sz w:val="24"/>
          <w:szCs w:val="24"/>
          <w:highlight w:val="none"/>
          <w:lang w:eastAsia="zh-CN"/>
        </w:rPr>
      </w:pPr>
      <w:r>
        <w:rPr>
          <w:rFonts w:hint="eastAsia" w:ascii="宋体" w:hAnsi="宋体" w:eastAsia="宋体" w:cs="宋体"/>
          <w:color w:val="auto"/>
          <w:sz w:val="24"/>
          <w:szCs w:val="24"/>
          <w:highlight w:val="none"/>
          <w:lang w:val="en-US" w:eastAsia="zh-CN"/>
        </w:rPr>
        <w:t>（4）成交供应商应指派至少2名（含项目负责人、技术负责人）具备有效资格的注册土地估价师作为本项目的签字估价师。未经采购人书面同意，不得擅自更换。</w:t>
      </w:r>
    </w:p>
    <w:p w14:paraId="58C09F0C">
      <w:pPr>
        <w:pStyle w:val="2"/>
        <w:kinsoku/>
        <w:overflowPunct w:val="0"/>
        <w:spacing w:line="360" w:lineRule="auto"/>
        <w:ind w:firstLine="482" w:firstLineChars="200"/>
        <w:outlineLvl w:val="9"/>
        <w:rPr>
          <w:rFonts w:hint="eastAsia" w:ascii="宋体" w:hAnsi="宋体" w:eastAsia="宋体" w:cs="宋体"/>
          <w:b/>
          <w:bCs/>
          <w:color w:val="auto"/>
          <w:sz w:val="28"/>
          <w:szCs w:val="28"/>
          <w:highlight w:val="none"/>
          <w:lang w:eastAsia="zh-CN"/>
        </w:rPr>
      </w:pP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pacing w:val="-2"/>
          <w:sz w:val="24"/>
          <w:szCs w:val="24"/>
          <w:highlight w:val="none"/>
          <w:lang w:eastAsia="zh-CN"/>
        </w:rPr>
        <w:t>（</w:t>
      </w:r>
      <w:r>
        <w:rPr>
          <w:rFonts w:hint="eastAsia" w:ascii="宋体" w:hAnsi="宋体" w:eastAsia="宋体" w:cs="宋体"/>
          <w:b/>
          <w:bCs/>
          <w:color w:val="auto"/>
          <w:spacing w:val="-2"/>
          <w:sz w:val="24"/>
          <w:szCs w:val="24"/>
          <w:highlight w:val="none"/>
          <w:lang w:val="en-US" w:eastAsia="zh-CN"/>
        </w:rPr>
        <w:t>六</w:t>
      </w:r>
      <w:r>
        <w:rPr>
          <w:rFonts w:hint="eastAsia" w:ascii="宋体" w:hAnsi="宋体" w:eastAsia="宋体" w:cs="宋体"/>
          <w:b/>
          <w:bCs/>
          <w:color w:val="auto"/>
          <w:spacing w:val="-2"/>
          <w:sz w:val="24"/>
          <w:szCs w:val="24"/>
          <w:highlight w:val="none"/>
          <w:lang w:eastAsia="zh-CN"/>
        </w:rPr>
        <w:t>）商务要求</w:t>
      </w:r>
    </w:p>
    <w:tbl>
      <w:tblPr>
        <w:tblStyle w:val="6"/>
        <w:tblW w:w="8767"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05"/>
        <w:gridCol w:w="1412"/>
        <w:gridCol w:w="6750"/>
      </w:tblGrid>
      <w:tr w14:paraId="06699B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605" w:type="dxa"/>
            <w:noWrap w:val="0"/>
            <w:vAlign w:val="center"/>
          </w:tcPr>
          <w:p w14:paraId="404D856A">
            <w:pPr>
              <w:keepNext w:val="0"/>
              <w:keepLines w:val="0"/>
              <w:pageBreakBefore w:val="0"/>
              <w:widowControl/>
              <w:shd w:val="clear" w:color="auto" w:fill="auto"/>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序号</w:t>
            </w:r>
          </w:p>
        </w:tc>
        <w:tc>
          <w:tcPr>
            <w:tcW w:w="1412" w:type="dxa"/>
            <w:noWrap w:val="0"/>
            <w:vAlign w:val="center"/>
          </w:tcPr>
          <w:p w14:paraId="06976C22">
            <w:pPr>
              <w:keepNext w:val="0"/>
              <w:keepLines w:val="0"/>
              <w:pageBreakBefore w:val="0"/>
              <w:widowControl/>
              <w:shd w:val="clear" w:color="auto" w:fill="auto"/>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条款名称</w:t>
            </w:r>
          </w:p>
        </w:tc>
        <w:tc>
          <w:tcPr>
            <w:tcW w:w="6750" w:type="dxa"/>
            <w:noWrap w:val="0"/>
            <w:vAlign w:val="center"/>
          </w:tcPr>
          <w:p w14:paraId="659FBFB9">
            <w:pPr>
              <w:keepNext w:val="0"/>
              <w:keepLines w:val="0"/>
              <w:pageBreakBefore w:val="0"/>
              <w:widowControl/>
              <w:shd w:val="clear" w:color="auto" w:fill="auto"/>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需求说明</w:t>
            </w:r>
          </w:p>
        </w:tc>
      </w:tr>
      <w:tr w14:paraId="107523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605" w:type="dxa"/>
            <w:noWrap w:val="0"/>
            <w:vAlign w:val="center"/>
          </w:tcPr>
          <w:p w14:paraId="69DF55B0">
            <w:pPr>
              <w:keepNext w:val="0"/>
              <w:keepLines w:val="0"/>
              <w:pageBreakBefore w:val="0"/>
              <w:widowControl/>
              <w:shd w:val="clear" w:color="auto" w:fill="auto"/>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1412" w:type="dxa"/>
            <w:noWrap w:val="0"/>
            <w:vAlign w:val="center"/>
          </w:tcPr>
          <w:p w14:paraId="0A542CC9">
            <w:pPr>
              <w:keepNext w:val="0"/>
              <w:keepLines w:val="0"/>
              <w:pageBreakBefore w:val="0"/>
              <w:widowControl/>
              <w:shd w:val="clear" w:color="auto" w:fill="auto"/>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服务地点</w:t>
            </w:r>
          </w:p>
        </w:tc>
        <w:tc>
          <w:tcPr>
            <w:tcW w:w="6750" w:type="dxa"/>
            <w:noWrap w:val="0"/>
            <w:vAlign w:val="center"/>
          </w:tcPr>
          <w:p w14:paraId="694D2AF1">
            <w:pPr>
              <w:keepNext w:val="0"/>
              <w:keepLines w:val="0"/>
              <w:pageBreakBefore w:val="0"/>
              <w:widowControl/>
              <w:shd w:val="clear" w:color="auto" w:fill="auto"/>
              <w:kinsoku/>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采购单位指定地点。</w:t>
            </w:r>
          </w:p>
        </w:tc>
      </w:tr>
      <w:tr w14:paraId="349198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605" w:type="dxa"/>
            <w:noWrap w:val="0"/>
            <w:vAlign w:val="center"/>
          </w:tcPr>
          <w:p w14:paraId="3E660C8B">
            <w:pPr>
              <w:keepNext w:val="0"/>
              <w:keepLines w:val="0"/>
              <w:pageBreakBefore w:val="0"/>
              <w:widowControl/>
              <w:shd w:val="clear" w:color="auto" w:fill="auto"/>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1412" w:type="dxa"/>
            <w:noWrap w:val="0"/>
            <w:vAlign w:val="center"/>
          </w:tcPr>
          <w:p w14:paraId="37FB8A2F">
            <w:pPr>
              <w:keepNext w:val="0"/>
              <w:keepLines w:val="0"/>
              <w:pageBreakBefore w:val="0"/>
              <w:widowControl/>
              <w:shd w:val="clear" w:color="auto" w:fill="auto"/>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服务期限</w:t>
            </w:r>
          </w:p>
        </w:tc>
        <w:tc>
          <w:tcPr>
            <w:tcW w:w="6750" w:type="dxa"/>
            <w:noWrap w:val="0"/>
            <w:vAlign w:val="center"/>
          </w:tcPr>
          <w:p w14:paraId="402B15CA">
            <w:pPr>
              <w:keepNext w:val="0"/>
              <w:keepLines w:val="0"/>
              <w:pageBreakBefore w:val="0"/>
              <w:widowControl/>
              <w:shd w:val="clear" w:color="auto" w:fill="auto"/>
              <w:kinsoku/>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自合同签订之日起，服务期限一年</w:t>
            </w:r>
          </w:p>
        </w:tc>
      </w:tr>
      <w:tr w14:paraId="38C558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605" w:type="dxa"/>
            <w:noWrap w:val="0"/>
            <w:vAlign w:val="center"/>
          </w:tcPr>
          <w:p w14:paraId="6AB33FCD">
            <w:pPr>
              <w:keepNext w:val="0"/>
              <w:keepLines w:val="0"/>
              <w:pageBreakBefore w:val="0"/>
              <w:widowControl/>
              <w:shd w:val="clear" w:color="auto" w:fill="auto"/>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p>
          <w:p w14:paraId="6DDC5CF3">
            <w:pPr>
              <w:keepNext w:val="0"/>
              <w:keepLines w:val="0"/>
              <w:pageBreakBefore w:val="0"/>
              <w:widowControl/>
              <w:shd w:val="clear" w:color="auto" w:fill="auto"/>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p>
        </w:tc>
        <w:tc>
          <w:tcPr>
            <w:tcW w:w="1412" w:type="dxa"/>
            <w:noWrap w:val="0"/>
            <w:vAlign w:val="center"/>
          </w:tcPr>
          <w:p w14:paraId="5E072357">
            <w:pPr>
              <w:keepNext w:val="0"/>
              <w:keepLines w:val="0"/>
              <w:pageBreakBefore w:val="0"/>
              <w:widowControl/>
              <w:shd w:val="clear" w:color="auto" w:fill="auto"/>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报价方式</w:t>
            </w:r>
          </w:p>
        </w:tc>
        <w:tc>
          <w:tcPr>
            <w:tcW w:w="6750" w:type="dxa"/>
            <w:noWrap w:val="0"/>
            <w:vAlign w:val="center"/>
          </w:tcPr>
          <w:p w14:paraId="35D85C09">
            <w:pPr>
              <w:keepNext w:val="0"/>
              <w:keepLines w:val="0"/>
              <w:pageBreakBefore w:val="0"/>
              <w:widowControl/>
              <w:shd w:val="clear" w:color="auto" w:fill="auto"/>
              <w:kinsoku/>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统一折扣率报价(每宗土地评估费折扣率)，报价包含服务的（含相关附件、材料）价款、运输费、保险费用、税费及其技术和售后服务费等一切有关费用，采购人无须向成交供应商另外支付任何费用。</w:t>
            </w:r>
          </w:p>
        </w:tc>
      </w:tr>
      <w:tr w14:paraId="5BF098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605" w:type="dxa"/>
            <w:noWrap w:val="0"/>
            <w:vAlign w:val="center"/>
          </w:tcPr>
          <w:p w14:paraId="11E4E49D">
            <w:pPr>
              <w:keepNext w:val="0"/>
              <w:keepLines w:val="0"/>
              <w:pageBreakBefore w:val="0"/>
              <w:widowControl/>
              <w:shd w:val="clear" w:color="auto" w:fill="auto"/>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p>
          <w:p w14:paraId="4D4DD029">
            <w:pPr>
              <w:keepNext w:val="0"/>
              <w:keepLines w:val="0"/>
              <w:pageBreakBefore w:val="0"/>
              <w:widowControl/>
              <w:shd w:val="clear" w:color="auto" w:fill="auto"/>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4</w:t>
            </w:r>
          </w:p>
        </w:tc>
        <w:tc>
          <w:tcPr>
            <w:tcW w:w="1412" w:type="dxa"/>
            <w:noWrap w:val="0"/>
            <w:vAlign w:val="center"/>
          </w:tcPr>
          <w:p w14:paraId="6A67178B">
            <w:pPr>
              <w:keepNext w:val="0"/>
              <w:keepLines w:val="0"/>
              <w:pageBreakBefore w:val="0"/>
              <w:widowControl/>
              <w:shd w:val="clear" w:color="auto" w:fill="auto"/>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p>
          <w:p w14:paraId="250B139F">
            <w:pPr>
              <w:keepNext w:val="0"/>
              <w:keepLines w:val="0"/>
              <w:pageBreakBefore w:val="0"/>
              <w:widowControl/>
              <w:shd w:val="clear" w:color="auto" w:fill="auto"/>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付款方式</w:t>
            </w:r>
          </w:p>
        </w:tc>
        <w:tc>
          <w:tcPr>
            <w:tcW w:w="6750" w:type="dxa"/>
            <w:noWrap w:val="0"/>
            <w:vAlign w:val="center"/>
          </w:tcPr>
          <w:p w14:paraId="7226A452">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 费用计算标准：</w:t>
            </w:r>
          </w:p>
          <w:p w14:paraId="3FB1F345">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a. 单宗土地评估费 = 赣土协发【2017】18号文制定的该宗地收费指导价 × 成交折扣率。</w:t>
            </w:r>
          </w:p>
          <w:p w14:paraId="5DC191AC">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b. 按上述公式计算后，单宗地评估费低于2000元的，按2000元计。</w:t>
            </w:r>
          </w:p>
          <w:p w14:paraId="17A0C007">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c. 如最终结算时实际发生的服务费超过100万元，按100万元支付；如实际发生的服务费未达到100万元，按实际发生的评估服务费支付。</w:t>
            </w:r>
          </w:p>
          <w:p w14:paraId="1EF2CDFE">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 结算与支付：</w:t>
            </w:r>
          </w:p>
          <w:p w14:paraId="3FCF87BB">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a.支付周期：本项目实行按实际已出让成交、收储等的评估项目统一年度结算，土地未出让、未收储的不予结算，不计利息。成交供应商应于年度结束后的次月10日前，将已出具并完成备案的评估报告清单、评估报告复印件（或可下载的电子链接）及等额合规的增值税专用发票报送至采购人审核。</w:t>
            </w:r>
          </w:p>
          <w:p w14:paraId="17D704D1">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b.支付时限：采购人在收到成交供应商完整的结算材料及发票后，应在 5个工作日内完成审核并办理支付手续。付款时限为采购人通过财政国库集中支付系统提交支付申请之日起算，财政部门审核拨付所需时间不计算在内，但采购人应积极协调财政，确保款项及时支付。</w:t>
            </w:r>
          </w:p>
        </w:tc>
      </w:tr>
      <w:tr w14:paraId="36BA7E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605" w:type="dxa"/>
            <w:noWrap w:val="0"/>
            <w:vAlign w:val="center"/>
          </w:tcPr>
          <w:p w14:paraId="3E338C74">
            <w:pPr>
              <w:keepNext w:val="0"/>
              <w:keepLines w:val="0"/>
              <w:pageBreakBefore w:val="0"/>
              <w:widowControl/>
              <w:shd w:val="clear" w:color="auto" w:fill="auto"/>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5</w:t>
            </w:r>
          </w:p>
        </w:tc>
        <w:tc>
          <w:tcPr>
            <w:tcW w:w="1412" w:type="dxa"/>
            <w:noWrap w:val="0"/>
            <w:vAlign w:val="center"/>
          </w:tcPr>
          <w:p w14:paraId="5EAAEA6C">
            <w:pPr>
              <w:keepNext w:val="0"/>
              <w:keepLines w:val="0"/>
              <w:pageBreakBefore w:val="0"/>
              <w:widowControl/>
              <w:shd w:val="clear" w:color="auto" w:fill="auto"/>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履约保证金</w:t>
            </w:r>
          </w:p>
        </w:tc>
        <w:tc>
          <w:tcPr>
            <w:tcW w:w="6750" w:type="dxa"/>
            <w:noWrap w:val="0"/>
            <w:vAlign w:val="center"/>
          </w:tcPr>
          <w:p w14:paraId="264AA65C">
            <w:pPr>
              <w:keepNext w:val="0"/>
              <w:keepLines w:val="0"/>
              <w:pageBreakBefore w:val="0"/>
              <w:widowControl/>
              <w:shd w:val="clear" w:color="auto" w:fill="auto"/>
              <w:kinsoku/>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本项目不收取履约保证金。</w:t>
            </w:r>
          </w:p>
        </w:tc>
      </w:tr>
      <w:tr w14:paraId="47D66A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605" w:type="dxa"/>
            <w:noWrap w:val="0"/>
            <w:vAlign w:val="top"/>
          </w:tcPr>
          <w:p w14:paraId="697E8446">
            <w:pPr>
              <w:keepNext w:val="0"/>
              <w:keepLines w:val="0"/>
              <w:pageBreakBefore w:val="0"/>
              <w:widowControl/>
              <w:shd w:val="clear" w:color="auto" w:fill="auto"/>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p>
          <w:p w14:paraId="7D061605">
            <w:pPr>
              <w:keepNext w:val="0"/>
              <w:keepLines w:val="0"/>
              <w:pageBreakBefore w:val="0"/>
              <w:widowControl/>
              <w:shd w:val="clear" w:color="auto" w:fill="auto"/>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p>
          <w:p w14:paraId="4D652145">
            <w:pPr>
              <w:keepNext w:val="0"/>
              <w:keepLines w:val="0"/>
              <w:pageBreakBefore w:val="0"/>
              <w:widowControl/>
              <w:shd w:val="clear" w:color="auto" w:fill="auto"/>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6</w:t>
            </w:r>
          </w:p>
        </w:tc>
        <w:tc>
          <w:tcPr>
            <w:tcW w:w="1412" w:type="dxa"/>
            <w:noWrap w:val="0"/>
            <w:vAlign w:val="top"/>
          </w:tcPr>
          <w:p w14:paraId="4F396FF7">
            <w:pPr>
              <w:keepNext w:val="0"/>
              <w:keepLines w:val="0"/>
              <w:pageBreakBefore w:val="0"/>
              <w:widowControl/>
              <w:shd w:val="clear" w:color="auto" w:fill="auto"/>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p>
          <w:p w14:paraId="42601275">
            <w:pPr>
              <w:keepNext w:val="0"/>
              <w:keepLines w:val="0"/>
              <w:pageBreakBefore w:val="0"/>
              <w:widowControl/>
              <w:shd w:val="clear" w:color="auto" w:fill="auto"/>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rPr>
            </w:pPr>
          </w:p>
          <w:p w14:paraId="1FCB1F3C">
            <w:pPr>
              <w:keepNext w:val="0"/>
              <w:keepLines w:val="0"/>
              <w:pageBreakBefore w:val="0"/>
              <w:widowControl/>
              <w:shd w:val="clear" w:color="auto" w:fill="auto"/>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验收</w:t>
            </w:r>
            <w:r>
              <w:rPr>
                <w:rFonts w:hint="eastAsia" w:ascii="宋体" w:hAnsi="宋体" w:eastAsia="宋体" w:cs="宋体"/>
                <w:color w:val="auto"/>
                <w:sz w:val="24"/>
                <w:szCs w:val="24"/>
                <w:highlight w:val="none"/>
                <w:lang w:val="en-US" w:eastAsia="zh-CN"/>
              </w:rPr>
              <w:t>方式</w:t>
            </w:r>
          </w:p>
        </w:tc>
        <w:tc>
          <w:tcPr>
            <w:tcW w:w="6750" w:type="dxa"/>
            <w:noWrap w:val="0"/>
            <w:vAlign w:val="top"/>
          </w:tcPr>
          <w:p w14:paraId="7B433324">
            <w:pPr>
              <w:keepNext w:val="0"/>
              <w:keepLines w:val="0"/>
              <w:pageBreakBefore w:val="0"/>
              <w:widowControl/>
              <w:shd w:val="clear" w:color="auto" w:fill="auto"/>
              <w:kinsoku/>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1、在规定时间保质保量完成采购人交给的任务、项目。</w:t>
            </w:r>
          </w:p>
          <w:p w14:paraId="6BD6DAF2">
            <w:pPr>
              <w:keepNext w:val="0"/>
              <w:keepLines w:val="0"/>
              <w:pageBreakBefore w:val="0"/>
              <w:widowControl/>
              <w:shd w:val="clear" w:color="auto" w:fill="auto"/>
              <w:kinsoku/>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2、严格遵守采购人所有的规定、制度，不给采购人造成经济和信誉的损失。</w:t>
            </w:r>
          </w:p>
          <w:p w14:paraId="1E39C882">
            <w:pPr>
              <w:keepNext w:val="0"/>
              <w:keepLines w:val="0"/>
              <w:pageBreakBefore w:val="0"/>
              <w:widowControl/>
              <w:shd w:val="clear" w:color="auto" w:fill="auto"/>
              <w:kinsoku/>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3、按兴国县自然资源局要求的工作时间完成任务提供具有有效备案号的评估报告。</w:t>
            </w:r>
          </w:p>
        </w:tc>
      </w:tr>
    </w:tbl>
    <w:p w14:paraId="2B0EF528">
      <w:pPr>
        <w:pStyle w:val="2"/>
        <w:kinsoku/>
        <w:overflowPunct w:val="0"/>
        <w:spacing w:line="360" w:lineRule="auto"/>
        <w:rPr>
          <w:rFonts w:hint="eastAsia" w:ascii="宋体" w:hAnsi="宋体" w:eastAsia="宋体" w:cs="宋体"/>
          <w:color w:val="auto"/>
          <w:sz w:val="24"/>
          <w:szCs w:val="24"/>
          <w:highlight w:val="none"/>
          <w:lang w:eastAsia="zh-CN"/>
        </w:rPr>
      </w:pPr>
    </w:p>
    <w:p w14:paraId="750946BD">
      <w:pPr>
        <w:pStyle w:val="2"/>
        <w:kinsoku/>
        <w:overflowPunct w:val="0"/>
        <w:spacing w:line="360" w:lineRule="auto"/>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注：以上采购项目需求中“★”标记属于不允许偏离的实质性条款。响应文件未完全满足采购文件中以醒目的方式（“★”标记）标明的实质性条款或指标，视为无效响应。</w:t>
      </w:r>
    </w:p>
    <w:p w14:paraId="6E2A7F2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89509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99"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2"/>
    <w:basedOn w:val="1"/>
    <w:qFormat/>
    <w:uiPriority w:val="99"/>
    <w:rPr>
      <w:sz w:val="28"/>
    </w:rPr>
  </w:style>
  <w:style w:type="table" w:customStyle="1" w:styleId="6">
    <w:name w:val="Table Normal"/>
    <w:basedOn w:val="4"/>
    <w:semiHidden/>
    <w:qFormat/>
    <w:uiPriority w:val="0"/>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2026-06-03T04:10:30Z</dcterms:created>
  <dc:creator>Administrator</dc:creator>
  <cp:lastModifiedBy>Administrator</cp:lastModifiedBy>
  <dcterms:modified xsi:type="dcterms:W3CDTF">2026-06-03T04:11:30Z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eyJoZGlkIjoiMGU5MzlmYTNjM2M1ZTRkZTMzNmUyMDY2NjNiMjg2YWQiLCJ1c2VySWQiOiI0MDE2OTAyODMifQ==</vt:lpwstr>
  </property>
  <property fmtid="{D5CDD505-2E9C-101B-9397-08002B2CF9AE}" pid="4" name="ICV">
    <vt:lpwstr>EBD72FC07DF64830AB3025E073F1020E_12</vt:lpwstr>
  </property>
</Properties>
</file>