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line="258" w:lineRule="auto"/>
        <w:rPr>
          <w:color w:val="auto"/>
          <w:spacing w:val="0"/>
        </w:rPr>
      </w:pP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right="0" w:firstLine="480" w:firstLineChars="200"/>
        <w:textAlignment w:val="auto"/>
        <w:outlineLvl w:val="2"/>
        <w:rPr>
          <w:rFonts w:hint="eastAsia" w:ascii="宋体" w:hAnsi="宋体" w:eastAsia="宋体" w:cs="宋体"/>
          <w:color w:val="auto"/>
          <w:spacing w:val="0"/>
          <w:sz w:val="24"/>
          <w:szCs w:val="24"/>
          <w:lang w:eastAsia="zh-CN"/>
        </w:rPr>
      </w:pPr>
      <w:bookmarkStart w:id="0" w:name="_Toc16320"/>
      <w:r>
        <w:rPr>
          <w:rFonts w:hint="eastAsia" w:ascii="宋体" w:hAnsi="宋体" w:eastAsia="宋体" w:cs="宋体"/>
          <w:color w:val="auto"/>
          <w:spacing w:val="0"/>
          <w:sz w:val="24"/>
          <w:szCs w:val="24"/>
          <w:lang w:val="en-US" w:eastAsia="zh-CN"/>
        </w:rPr>
        <w:t>服务</w:t>
      </w:r>
      <w:r>
        <w:rPr>
          <w:rFonts w:ascii="宋体" w:hAnsi="宋体" w:eastAsia="宋体" w:cs="宋体"/>
          <w:color w:val="auto"/>
          <w:spacing w:val="0"/>
          <w:sz w:val="24"/>
          <w:szCs w:val="24"/>
        </w:rPr>
        <w:t>需求</w:t>
      </w:r>
      <w:bookmarkEnd w:id="0"/>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right="0" w:rightChars="0"/>
        <w:textAlignment w:val="auto"/>
        <w:rPr>
          <w:rFonts w:hint="eastAsia" w:ascii="Times New Roman" w:hAnsi="Times New Roman" w:cs="Times New Roman"/>
          <w:color w:val="000000"/>
          <w:sz w:val="24"/>
          <w:szCs w:val="24"/>
          <w:lang w:eastAsia="zh-CN"/>
        </w:rPr>
      </w:pPr>
      <w:r>
        <w:rPr>
          <w:rFonts w:hint="eastAsia" w:ascii="Times New Roman" w:hAnsi="Times New Roman" w:cs="Times New Roman"/>
          <w:color w:val="000000"/>
          <w:sz w:val="24"/>
          <w:szCs w:val="24"/>
          <w:lang w:val="en-US" w:eastAsia="zh-CN"/>
        </w:rPr>
        <w:t>1.</w:t>
      </w:r>
      <w:r>
        <w:rPr>
          <w:rFonts w:hint="eastAsia" w:ascii="Times New Roman" w:hAnsi="Times New Roman" w:cs="Times New Roman"/>
          <w:color w:val="000000"/>
          <w:sz w:val="24"/>
          <w:szCs w:val="24"/>
          <w:lang w:eastAsia="zh-CN"/>
        </w:rPr>
        <w:t>项目背景：</w:t>
      </w:r>
    </w:p>
    <w:p>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ascii="Times New Roman" w:hAnsi="Times New Roman" w:cs="Times New Roman"/>
          <w:color w:val="000000"/>
          <w:sz w:val="24"/>
          <w:szCs w:val="24"/>
          <w:lang w:eastAsia="zh-CN"/>
        </w:rPr>
      </w:pPr>
      <w:r>
        <w:rPr>
          <w:rFonts w:ascii="Times New Roman" w:hAnsi="Times New Roman" w:cs="Times New Roman"/>
          <w:color w:val="000000"/>
          <w:sz w:val="24"/>
          <w:szCs w:val="24"/>
          <w:lang w:eastAsia="zh-CN"/>
        </w:rPr>
        <w:t>本项目采购内容主要为鹰潭木材防腐有限公司原厂址地块土壤和地下水污染修复项目效果评估，</w:t>
      </w:r>
      <w:r>
        <w:rPr>
          <w:rFonts w:hint="eastAsia" w:ascii="Times New Roman" w:hAnsi="Times New Roman" w:cs="Times New Roman"/>
          <w:color w:val="000000"/>
          <w:sz w:val="24"/>
          <w:szCs w:val="24"/>
          <w:lang w:eastAsia="zh-CN"/>
        </w:rPr>
        <w:t>本</w:t>
      </w:r>
      <w:r>
        <w:rPr>
          <w:rFonts w:ascii="Times New Roman" w:hAnsi="Times New Roman" w:cs="Times New Roman"/>
          <w:color w:val="000000"/>
          <w:sz w:val="24"/>
          <w:szCs w:val="24"/>
          <w:lang w:eastAsia="zh-CN"/>
        </w:rPr>
        <w:t>项目总占地面积约119897m</w:t>
      </w:r>
      <w:r>
        <w:rPr>
          <w:rFonts w:ascii="Times New Roman" w:hAnsi="Times New Roman" w:cs="Times New Roman"/>
          <w:color w:val="000000"/>
          <w:sz w:val="24"/>
          <w:szCs w:val="24"/>
          <w:vertAlign w:val="superscript"/>
          <w:lang w:eastAsia="zh-CN"/>
        </w:rPr>
        <w:t>2</w:t>
      </w:r>
      <w:r>
        <w:rPr>
          <w:rFonts w:ascii="Times New Roman" w:hAnsi="Times New Roman" w:cs="Times New Roman"/>
          <w:color w:val="000000"/>
          <w:sz w:val="24"/>
          <w:szCs w:val="24"/>
          <w:lang w:eastAsia="zh-CN"/>
        </w:rPr>
        <w:t>（179.85亩），修复范围约47087m</w:t>
      </w:r>
      <w:r>
        <w:rPr>
          <w:rFonts w:ascii="Times New Roman" w:hAnsi="Times New Roman" w:cs="Times New Roman"/>
          <w:color w:val="000000"/>
          <w:sz w:val="24"/>
          <w:szCs w:val="24"/>
          <w:vertAlign w:val="superscript"/>
          <w:lang w:eastAsia="zh-CN"/>
        </w:rPr>
        <w:t>2</w:t>
      </w:r>
      <w:r>
        <w:rPr>
          <w:rFonts w:ascii="Times New Roman" w:hAnsi="Times New Roman" w:cs="Times New Roman"/>
          <w:color w:val="000000"/>
          <w:sz w:val="24"/>
          <w:szCs w:val="24"/>
          <w:lang w:eastAsia="zh-CN"/>
        </w:rPr>
        <w:t>，修复方量约135876m</w:t>
      </w:r>
      <w:r>
        <w:rPr>
          <w:rFonts w:ascii="Times New Roman" w:hAnsi="Times New Roman" w:cs="Times New Roman"/>
          <w:color w:val="000000"/>
          <w:sz w:val="24"/>
          <w:szCs w:val="24"/>
          <w:vertAlign w:val="superscript"/>
          <w:lang w:eastAsia="zh-CN"/>
        </w:rPr>
        <w:t>3</w:t>
      </w:r>
      <w:r>
        <w:rPr>
          <w:rFonts w:ascii="Times New Roman" w:hAnsi="Times New Roman" w:cs="Times New Roman"/>
          <w:color w:val="000000"/>
          <w:sz w:val="24"/>
          <w:szCs w:val="24"/>
          <w:lang w:eastAsia="zh-CN"/>
        </w:rPr>
        <w:t>；对地块内地下水进行抽出处理，修复范围约104105m</w:t>
      </w:r>
      <w:r>
        <w:rPr>
          <w:rFonts w:ascii="Times New Roman" w:hAnsi="Times New Roman" w:cs="Times New Roman"/>
          <w:color w:val="000000"/>
          <w:sz w:val="24"/>
          <w:szCs w:val="24"/>
          <w:vertAlign w:val="superscript"/>
          <w:lang w:eastAsia="zh-CN"/>
        </w:rPr>
        <w:t>2</w:t>
      </w:r>
      <w:r>
        <w:rPr>
          <w:rFonts w:ascii="Times New Roman" w:hAnsi="Times New Roman" w:cs="Times New Roman"/>
          <w:color w:val="000000"/>
          <w:sz w:val="24"/>
          <w:szCs w:val="24"/>
          <w:lang w:eastAsia="zh-CN"/>
        </w:rPr>
        <w:t>，初步估算地块内地下水修复方量约</w:t>
      </w:r>
      <w:r>
        <w:rPr>
          <w:rFonts w:hint="eastAsia" w:ascii="Times New Roman" w:hAnsi="Times New Roman" w:cs="Times New Roman"/>
          <w:color w:val="000000"/>
          <w:sz w:val="24"/>
          <w:szCs w:val="24"/>
          <w:lang w:val="en-US" w:eastAsia="zh-CN"/>
        </w:rPr>
        <w:t>228404</w:t>
      </w:r>
      <w:r>
        <w:rPr>
          <w:rFonts w:ascii="Times New Roman" w:hAnsi="Times New Roman" w:cs="Times New Roman"/>
          <w:color w:val="000000"/>
          <w:sz w:val="24"/>
          <w:szCs w:val="24"/>
          <w:lang w:eastAsia="zh-CN"/>
        </w:rPr>
        <w:t>m</w:t>
      </w:r>
      <w:r>
        <w:rPr>
          <w:rFonts w:ascii="Times New Roman" w:hAnsi="Times New Roman" w:cs="Times New Roman"/>
          <w:color w:val="000000"/>
          <w:sz w:val="24"/>
          <w:szCs w:val="24"/>
          <w:vertAlign w:val="superscript"/>
          <w:lang w:eastAsia="zh-CN"/>
        </w:rPr>
        <w:t>3</w:t>
      </w:r>
      <w:r>
        <w:rPr>
          <w:rFonts w:ascii="Times New Roman" w:hAnsi="Times New Roman" w:cs="Times New Roman"/>
          <w:color w:val="000000"/>
          <w:sz w:val="24"/>
          <w:szCs w:val="24"/>
          <w:lang w:eastAsia="zh-CN"/>
        </w:rPr>
        <w:t>。依据《污染地块风险管控与土壤修复效果评估技术导则（试行）》（HJ25.5-2018）和《建设用地土壤污染风险管控和修复监测技术导则（HJ25.5-2019）》等技术导则要求，制定该地块土壤修复工程修复效果评估报告，</w:t>
      </w:r>
      <w:r>
        <w:rPr>
          <w:rFonts w:hint="eastAsia" w:ascii="Times New Roman" w:hAnsi="Times New Roman" w:cs="Times New Roman"/>
          <w:color w:val="000000"/>
          <w:sz w:val="24"/>
          <w:szCs w:val="24"/>
          <w:lang w:eastAsia="zh-CN"/>
        </w:rPr>
        <w:t>效果评估</w:t>
      </w:r>
      <w:r>
        <w:rPr>
          <w:rFonts w:ascii="Times New Roman" w:hAnsi="Times New Roman" w:cs="Times New Roman"/>
          <w:color w:val="000000"/>
          <w:sz w:val="24"/>
          <w:szCs w:val="24"/>
          <w:lang w:eastAsia="zh-CN"/>
        </w:rPr>
        <w:t>验收</w:t>
      </w:r>
      <w:r>
        <w:rPr>
          <w:rFonts w:hint="eastAsia" w:ascii="Times New Roman" w:hAnsi="Times New Roman" w:cs="Times New Roman"/>
          <w:color w:val="000000"/>
          <w:sz w:val="24"/>
          <w:szCs w:val="24"/>
          <w:lang w:eastAsia="zh-CN"/>
        </w:rPr>
        <w:t>需</w:t>
      </w:r>
      <w:r>
        <w:rPr>
          <w:rFonts w:ascii="Times New Roman" w:hAnsi="Times New Roman" w:cs="Times New Roman"/>
          <w:color w:val="000000"/>
          <w:sz w:val="24"/>
          <w:szCs w:val="24"/>
          <w:lang w:eastAsia="zh-CN"/>
        </w:rPr>
        <w:t>满足国家和地方相关</w:t>
      </w:r>
      <w:r>
        <w:rPr>
          <w:rFonts w:hint="eastAsia" w:ascii="Times New Roman" w:hAnsi="Times New Roman" w:cs="Times New Roman"/>
          <w:color w:val="000000"/>
          <w:sz w:val="24"/>
          <w:szCs w:val="24"/>
          <w:lang w:eastAsia="zh-CN"/>
        </w:rPr>
        <w:t>法律法规</w:t>
      </w:r>
      <w:r>
        <w:rPr>
          <w:rFonts w:ascii="Times New Roman" w:hAnsi="Times New Roman" w:cs="Times New Roman"/>
          <w:color w:val="000000"/>
          <w:sz w:val="24"/>
          <w:szCs w:val="24"/>
          <w:lang w:eastAsia="zh-CN"/>
        </w:rPr>
        <w:t>和技术规范要求并通过相应主管部门组织的技术审查。</w:t>
      </w:r>
      <w:r>
        <w:rPr>
          <w:rFonts w:hint="eastAsia" w:ascii="Times New Roman" w:hAnsi="Times New Roman" w:cs="Times New Roman"/>
          <w:color w:val="000000"/>
          <w:sz w:val="24"/>
          <w:szCs w:val="24"/>
          <w:lang w:eastAsia="zh-CN"/>
        </w:rPr>
        <w:t>评估单位需</w:t>
      </w:r>
      <w:r>
        <w:rPr>
          <w:rFonts w:ascii="Times New Roman" w:hAnsi="Times New Roman" w:cs="Times New Roman"/>
          <w:color w:val="000000"/>
          <w:sz w:val="24"/>
          <w:szCs w:val="24"/>
          <w:lang w:eastAsia="zh-CN"/>
        </w:rPr>
        <w:t>配备必要的工作人员，</w:t>
      </w:r>
      <w:r>
        <w:rPr>
          <w:rFonts w:hint="eastAsia" w:ascii="Times New Roman" w:hAnsi="Times New Roman" w:cs="Times New Roman"/>
          <w:color w:val="000000"/>
          <w:sz w:val="24"/>
          <w:szCs w:val="24"/>
          <w:lang w:eastAsia="zh-CN"/>
        </w:rPr>
        <w:t>同时</w:t>
      </w:r>
      <w:r>
        <w:rPr>
          <w:rFonts w:ascii="Times New Roman" w:hAnsi="Times New Roman" w:cs="Times New Roman"/>
          <w:color w:val="000000"/>
          <w:sz w:val="24"/>
          <w:szCs w:val="24"/>
          <w:lang w:eastAsia="zh-CN"/>
        </w:rPr>
        <w:t>应当针对本项目需配备相应的仪器设备等工作设备。</w:t>
      </w:r>
    </w:p>
    <w:p>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default"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2.效果评估范围：该项目污染土壤及地下水修复效果评估范围主要针对超过场地修复目标值的污染修复土壤及地下水效果评估，同时对基坑清挖情况等进行验收，当修复工程发生变化时，应根据实际情况对效果评估范围进行调整，另外效果评估范围还包括修复过程中二次污染。</w:t>
      </w:r>
    </w:p>
    <w:p>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3.服务内容：</w:t>
      </w:r>
    </w:p>
    <w:p>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根据备案的风险管控方案和国家相关导则、技术规范的相关要求对</w:t>
      </w:r>
      <w:r>
        <w:rPr>
          <w:rFonts w:ascii="Times New Roman" w:hAnsi="Times New Roman" w:cs="Times New Roman"/>
          <w:color w:val="000000"/>
          <w:sz w:val="24"/>
          <w:szCs w:val="24"/>
          <w:lang w:eastAsia="zh-CN"/>
        </w:rPr>
        <w:t>鹰潭木材防腐有限公司原厂址地块土壤和地下水污染修复项目效果</w:t>
      </w:r>
      <w:r>
        <w:rPr>
          <w:rFonts w:hint="eastAsia" w:ascii="Times New Roman" w:hAnsi="Times New Roman" w:cs="Times New Roman"/>
          <w:color w:val="000000"/>
          <w:sz w:val="24"/>
          <w:szCs w:val="24"/>
          <w:lang w:val="en-US" w:eastAsia="zh-CN"/>
        </w:rPr>
        <w:t>进行效果评估。工作内容包括</w:t>
      </w:r>
      <w:r>
        <w:rPr>
          <w:rFonts w:hint="eastAsia" w:ascii="Times New Roman" w:hAnsi="Times New Roman" w:cs="Times New Roman"/>
          <w:color w:val="000000"/>
          <w:sz w:val="24"/>
          <w:szCs w:val="24"/>
          <w:highlight w:val="none"/>
          <w:lang w:val="en-US" w:eastAsia="zh-CN"/>
        </w:rPr>
        <w:t>效果评估方案编制及专家评审</w:t>
      </w:r>
      <w:r>
        <w:rPr>
          <w:rFonts w:hint="eastAsia" w:ascii="Times New Roman" w:hAnsi="Times New Roman" w:cs="Times New Roman"/>
          <w:color w:val="000000"/>
          <w:sz w:val="24"/>
          <w:szCs w:val="24"/>
          <w:lang w:val="en-US" w:eastAsia="zh-CN"/>
        </w:rPr>
        <w:t>、参与环保设施验收、效果评估采样和检测分析、效果评估报告编制、专家咨询评审等。主要包含但不限于工作：</w:t>
      </w:r>
    </w:p>
    <w:p>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（1）现场勘查，记录修复场地实际情况，结合场地风险管控方案，按照相关标准规范、技术导则和政策要求，有针对性地编制效果评估工作方案；</w:t>
      </w:r>
    </w:p>
    <w:p>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（2）根据工作方案，按要求采集土壤、地下水、地表水等样品，并按照检测要求，采取有效手段存储样品，保证样品的有效性；</w:t>
      </w:r>
    </w:p>
    <w:p>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（3）实验室检测分析及质量控制：样品需由具有相应检测资质的专业机构</w:t>
      </w:r>
    </w:p>
    <w:p>
      <w:pPr>
        <w:keepNext w:val="0"/>
        <w:keepLines w:val="0"/>
        <w:pageBreakBefore w:val="0"/>
        <w:widowControl w:val="0"/>
        <w:kinsoku/>
        <w:wordWrap/>
        <w:overflowPunct/>
        <w:topLinePunct w:val="0"/>
        <w:autoSpaceDE/>
        <w:autoSpaceDN/>
        <w:bidi w:val="0"/>
        <w:adjustRightInd/>
        <w:snapToGrid/>
        <w:spacing w:line="360" w:lineRule="auto"/>
        <w:ind w:right="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进行检测，按照规定的检测方法，分析检测送检样品中的目标污染物，通过提高质量控制手段保证样品分析的准确性和精确性；</w:t>
      </w:r>
    </w:p>
    <w:p>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（4）将检测结果与修复目标值进行对比分析，若不满足修复目标，提出整改意见及措施；</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80" w:firstLineChars="200"/>
        <w:textAlignment w:val="auto"/>
        <w:rPr>
          <w:rFonts w:hint="eastAsia" w:ascii="Times New Roman" w:hAnsi="Times New Roman" w:cs="Times New Roman"/>
          <w:color w:val="000000"/>
          <w:sz w:val="24"/>
          <w:szCs w:val="24"/>
          <w:highlight w:val="none"/>
          <w:lang w:val="en-US" w:eastAsia="zh-CN"/>
        </w:rPr>
      </w:pPr>
      <w:r>
        <w:rPr>
          <w:rFonts w:hint="eastAsia" w:ascii="Times New Roman" w:hAnsi="Times New Roman" w:cs="Times New Roman"/>
          <w:color w:val="000000"/>
          <w:sz w:val="24"/>
          <w:szCs w:val="24"/>
          <w:highlight w:val="none"/>
          <w:lang w:val="en-US" w:eastAsia="zh-CN"/>
        </w:rPr>
        <w:t>（5）按要求及时对修复或风险管控后的基坑地表水、地下水、污水处理、回填清洁土壤、生态恢复等进行效果评估，形成有效的阶段性成果资料，为场地周转提供支持；</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（6）按要求及时对土壤修复潜在二次污染区、回填后基坑进行效果评估；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（7）对水泥窑协同处置产生的熟料及产品进行抽查;</w:t>
      </w:r>
    </w:p>
    <w:p>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（8）编制修复效果评估报告并通过生态环境主管部门组织的专家评审，报</w:t>
      </w:r>
    </w:p>
    <w:p>
      <w:pPr>
        <w:keepNext w:val="0"/>
        <w:keepLines w:val="0"/>
        <w:pageBreakBefore w:val="0"/>
        <w:widowControl w:val="0"/>
        <w:kinsoku/>
        <w:wordWrap/>
        <w:overflowPunct/>
        <w:topLinePunct w:val="0"/>
        <w:autoSpaceDE/>
        <w:autoSpaceDN/>
        <w:bidi w:val="0"/>
        <w:adjustRightInd/>
        <w:snapToGrid/>
        <w:spacing w:line="360" w:lineRule="auto"/>
        <w:ind w:right="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告内容包括但不限于修复工程概况、修复过程污染防治措施落实效果、场内修复效果评估、风险管控效果评估、后期环境监管建议等；</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（9）效果评估应涵盖本项目施工过程中可能发生的设计变更内容；</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（10）效果评估报告通过专家审查会审核，取得省生态环境主管部门的批复意见书；</w:t>
      </w:r>
    </w:p>
    <w:p>
      <w:pPr>
        <w:widowControl w:val="0"/>
        <w:kinsoku/>
        <w:autoSpaceDE/>
        <w:autoSpaceDN/>
        <w:adjustRightInd/>
        <w:snapToGrid/>
        <w:spacing w:line="360" w:lineRule="auto"/>
        <w:ind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（11）国家法律法规规定的场地修复实施效果评价需要开展的其他工作。</w:t>
      </w:r>
    </w:p>
    <w:p>
      <w:pPr>
        <w:pStyle w:val="2"/>
        <w:rPr>
          <w:rFonts w:hint="default"/>
          <w:lang w:val="en-US" w:eastAsia="zh-CN"/>
        </w:rPr>
      </w:pPr>
      <w:r>
        <w:rPr>
          <w:rFonts w:hint="eastAsia" w:ascii="Times New Roman" w:hAnsi="Times New Roman" w:cs="Times New Roman"/>
          <w:color w:val="000000"/>
          <w:sz w:val="24"/>
          <w:szCs w:val="24"/>
          <w:lang w:val="en-US" w:eastAsia="zh-CN"/>
        </w:rPr>
        <w:t>具体工作量如下：</w:t>
      </w:r>
    </w:p>
    <w:tbl>
      <w:tblPr>
        <w:tblStyle w:val="3"/>
        <w:tblW w:w="8431"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961"/>
        <w:gridCol w:w="1492"/>
        <w:gridCol w:w="9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5961" w:type="dxa"/>
            <w:tcBorders>
              <w:top w:val="single" w:color="auto"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Style w:val="5"/>
                <w:color w:val="000000"/>
                <w:lang w:val="en-US" w:eastAsia="zh-CN" w:bidi="ar"/>
              </w:rPr>
              <w:t>单项服务内容</w:t>
            </w:r>
          </w:p>
        </w:tc>
        <w:tc>
          <w:tcPr>
            <w:tcW w:w="1492" w:type="dxa"/>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工作量</w:t>
            </w:r>
          </w:p>
        </w:tc>
        <w:tc>
          <w:tcPr>
            <w:tcW w:w="978" w:type="dxa"/>
            <w:tcBorders>
              <w:top w:val="single" w:color="auto"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81" w:hRule="atLeast"/>
        </w:trPr>
        <w:tc>
          <w:tcPr>
            <w:tcW w:w="5961"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效果评估方案编制：收集项目地块相关资料，了解项目修复范围、修复目标、修复工程设计、修复工程施工措施、二次污染防控措施等，制定效果评估工作方案，邀请5位领域内专家对效果评估工作方案进行评审。</w:t>
            </w:r>
          </w:p>
        </w:tc>
        <w:tc>
          <w:tcPr>
            <w:tcW w:w="1492"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978"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ascii="宋体" w:hAnsi="宋体" w:eastAsia="宋体" w:cs="宋体"/>
                <w:i w:val="0"/>
                <w:iCs w:val="0"/>
                <w:color w:val="000000"/>
                <w:kern w:val="0"/>
                <w:sz w:val="22"/>
                <w:szCs w:val="22"/>
                <w:u w:val="none"/>
                <w:lang w:val="en-US" w:eastAsia="zh-CN" w:bidi="ar"/>
              </w:rPr>
            </w:pPr>
            <w:r>
              <w:rPr>
                <w:rFonts w:ascii="宋体" w:hAnsi="宋体" w:eastAsia="宋体" w:cs="宋体"/>
                <w:i w:val="0"/>
                <w:iCs w:val="0"/>
                <w:color w:val="000000"/>
                <w:kern w:val="0"/>
                <w:sz w:val="22"/>
                <w:szCs w:val="22"/>
                <w:u w:val="none"/>
                <w:lang w:val="en-US" w:eastAsia="zh-CN" w:bidi="ar"/>
              </w:rPr>
              <w:t>基坑清理：1、基坑样品侧壁布设483个点位、坑底布设213个点位，共计696个点位。按10%采集70个平行样，共计766个样品。2、监测指标：砷、镉、苯并[a]芘、二苯并[a,</w:t>
            </w:r>
            <w:r>
              <w:rPr>
                <w:rFonts w:ascii="宋体" w:hAnsi="宋体" w:eastAsia="宋体" w:cs="宋体"/>
                <w:i w:val="0"/>
                <w:iCs w:val="0"/>
                <w:color w:val="000000"/>
                <w:kern w:val="0"/>
                <w:sz w:val="22"/>
                <w:szCs w:val="22"/>
                <w:u w:val="none"/>
                <w:lang w:val="en-US" w:eastAsia="zh-CN" w:bidi="ar"/>
              </w:rPr>
              <w:br w:type="textWrapping"/>
            </w:r>
            <w:r>
              <w:rPr>
                <w:rFonts w:ascii="宋体" w:hAnsi="宋体" w:eastAsia="宋体" w:cs="宋体"/>
                <w:i w:val="0"/>
                <w:iCs w:val="0"/>
                <w:color w:val="000000"/>
                <w:kern w:val="0"/>
                <w:sz w:val="22"/>
                <w:szCs w:val="22"/>
                <w:u w:val="none"/>
                <w:lang w:val="en-US" w:eastAsia="zh-CN" w:bidi="ar"/>
              </w:rPr>
              <w:t>h]蒽、石油烃(C10-C40)、五氯酚。</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kern w:val="0"/>
                <w:sz w:val="22"/>
                <w:szCs w:val="22"/>
                <w:u w:val="none"/>
                <w:lang w:val="en-US" w:eastAsia="zh-CN" w:bidi="ar"/>
              </w:rPr>
            </w:pPr>
            <w:r>
              <w:rPr>
                <w:rFonts w:ascii="宋体" w:hAnsi="宋体" w:eastAsia="宋体" w:cs="宋体"/>
                <w:i w:val="0"/>
                <w:iCs w:val="0"/>
                <w:color w:val="000000"/>
                <w:kern w:val="0"/>
                <w:sz w:val="22"/>
                <w:szCs w:val="22"/>
                <w:u w:val="none"/>
                <w:lang w:val="en-US" w:eastAsia="zh-CN" w:bidi="ar"/>
              </w:rPr>
              <w:t>766</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72" w:hRule="atLeast"/>
        </w:trPr>
        <w:tc>
          <w:tcPr>
            <w:tcW w:w="5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ascii="宋体" w:hAnsi="宋体" w:eastAsia="宋体" w:cs="宋体"/>
                <w:i w:val="0"/>
                <w:iCs w:val="0"/>
                <w:color w:val="000000"/>
                <w:kern w:val="0"/>
                <w:sz w:val="22"/>
                <w:szCs w:val="22"/>
                <w:u w:val="none"/>
                <w:lang w:val="en-US" w:eastAsia="zh-CN" w:bidi="ar"/>
              </w:rPr>
            </w:pPr>
            <w:r>
              <w:rPr>
                <w:rFonts w:ascii="宋体" w:hAnsi="宋体" w:eastAsia="宋体" w:cs="宋体"/>
                <w:i w:val="0"/>
                <w:iCs w:val="0"/>
                <w:color w:val="000000"/>
                <w:kern w:val="0"/>
                <w:sz w:val="22"/>
                <w:szCs w:val="22"/>
                <w:u w:val="none"/>
                <w:lang w:val="en-US" w:eastAsia="zh-CN" w:bidi="ar"/>
              </w:rPr>
              <w:t>建渣冲洗：1、建渣约33587.7m³,初步预计采集85个样品，每批次样品采集10%的平行样进行质量控制，共计采集94个样品。2、监测指标为本地块特征污染物浸出指标，包</w:t>
            </w:r>
            <w:r>
              <w:rPr>
                <w:rFonts w:ascii="宋体" w:hAnsi="宋体" w:eastAsia="宋体" w:cs="宋体"/>
                <w:i w:val="0"/>
                <w:iCs w:val="0"/>
                <w:color w:val="000000"/>
                <w:kern w:val="0"/>
                <w:sz w:val="22"/>
                <w:szCs w:val="22"/>
                <w:u w:val="none"/>
                <w:lang w:val="en-US" w:eastAsia="zh-CN" w:bidi="ar"/>
              </w:rPr>
              <w:br w:type="textWrapping"/>
            </w:r>
            <w:r>
              <w:rPr>
                <w:rFonts w:ascii="宋体" w:hAnsi="宋体" w:eastAsia="宋体" w:cs="宋体"/>
                <w:i w:val="0"/>
                <w:iCs w:val="0"/>
                <w:color w:val="000000"/>
                <w:kern w:val="0"/>
                <w:sz w:val="22"/>
                <w:szCs w:val="22"/>
                <w:u w:val="none"/>
                <w:lang w:val="en-US" w:eastAsia="zh-CN" w:bidi="ar"/>
              </w:rPr>
              <w:t>括砷、镉、苯并[a]芘、二苯并[a,h]蒽、石油烃</w:t>
            </w:r>
            <w:r>
              <w:rPr>
                <w:rFonts w:ascii="宋体" w:hAnsi="宋体" w:eastAsia="宋体" w:cs="宋体"/>
                <w:i w:val="0"/>
                <w:iCs w:val="0"/>
                <w:color w:val="000000"/>
                <w:kern w:val="0"/>
                <w:sz w:val="22"/>
                <w:szCs w:val="22"/>
                <w:u w:val="none"/>
                <w:lang w:val="en-US" w:eastAsia="zh-CN" w:bidi="ar"/>
              </w:rPr>
              <w:br w:type="textWrapping"/>
            </w:r>
            <w:r>
              <w:rPr>
                <w:rFonts w:ascii="宋体" w:hAnsi="宋体" w:eastAsia="宋体" w:cs="宋体"/>
                <w:i w:val="0"/>
                <w:iCs w:val="0"/>
                <w:color w:val="000000"/>
                <w:kern w:val="0"/>
                <w:sz w:val="22"/>
                <w:szCs w:val="22"/>
                <w:u w:val="none"/>
                <w:lang w:val="en-US" w:eastAsia="zh-CN" w:bidi="ar"/>
              </w:rPr>
              <w:t>(C1o-C4o)、五氯酚等。</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94</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52" w:hRule="atLeast"/>
        </w:trPr>
        <w:tc>
          <w:tcPr>
            <w:tcW w:w="5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ascii="宋体" w:hAnsi="宋体" w:eastAsia="宋体" w:cs="宋体"/>
                <w:i w:val="0"/>
                <w:iCs w:val="0"/>
                <w:color w:val="000000"/>
                <w:kern w:val="0"/>
                <w:sz w:val="22"/>
                <w:szCs w:val="22"/>
                <w:u w:val="none"/>
                <w:lang w:val="en-US" w:eastAsia="zh-CN" w:bidi="ar"/>
              </w:rPr>
            </w:pPr>
            <w:r>
              <w:rPr>
                <w:rFonts w:ascii="宋体" w:hAnsi="宋体" w:eastAsia="宋体" w:cs="宋体"/>
                <w:i w:val="0"/>
                <w:iCs w:val="0"/>
                <w:color w:val="000000"/>
                <w:kern w:val="0"/>
                <w:sz w:val="22"/>
                <w:szCs w:val="22"/>
                <w:u w:val="none"/>
                <w:lang w:val="en-US" w:eastAsia="zh-CN" w:bidi="ar"/>
              </w:rPr>
              <w:t>地块内清洁土：1、场地内清挖清洁土36364.0m³初步预计需采集91个样品(含10%质控样品)。2、监测指标：砷、镉、苯并[a]芘、二苯并[a,h]蒽、石油烃(C10-C40)、五氯酚。</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91</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70" w:hRule="atLeast"/>
        </w:trPr>
        <w:tc>
          <w:tcPr>
            <w:tcW w:w="5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ascii="宋体" w:hAnsi="宋体" w:eastAsia="宋体" w:cs="宋体"/>
                <w:i w:val="0"/>
                <w:iCs w:val="0"/>
                <w:color w:val="000000"/>
                <w:kern w:val="0"/>
                <w:sz w:val="22"/>
                <w:szCs w:val="22"/>
                <w:u w:val="none"/>
                <w:lang w:val="en-US" w:eastAsia="zh-CN" w:bidi="ar"/>
              </w:rPr>
            </w:pPr>
            <w:r>
              <w:rPr>
                <w:rFonts w:ascii="宋体" w:hAnsi="宋体" w:eastAsia="宋体" w:cs="宋体"/>
                <w:i w:val="0"/>
                <w:iCs w:val="0"/>
                <w:color w:val="000000"/>
                <w:kern w:val="0"/>
                <w:sz w:val="22"/>
                <w:szCs w:val="22"/>
                <w:u w:val="none"/>
                <w:lang w:val="en-US" w:eastAsia="zh-CN" w:bidi="ar"/>
              </w:rPr>
              <w:t>外运清洁土：1、外购清洁土115876.6m³,初步预计需采集356个样品(含10%质控样品)。2、监测指标包括GB36600中45项基本项目。</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356</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87" w:hRule="atLeast"/>
        </w:trPr>
        <w:tc>
          <w:tcPr>
            <w:tcW w:w="5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ascii="宋体" w:hAnsi="宋体" w:eastAsia="宋体" w:cs="宋体"/>
                <w:i w:val="0"/>
                <w:iCs w:val="0"/>
                <w:color w:val="000000"/>
                <w:kern w:val="0"/>
                <w:sz w:val="22"/>
                <w:szCs w:val="22"/>
                <w:u w:val="none"/>
                <w:lang w:val="en-US" w:eastAsia="zh-CN" w:bidi="ar"/>
              </w:rPr>
            </w:pPr>
            <w:r>
              <w:rPr>
                <w:rFonts w:ascii="宋体" w:hAnsi="宋体" w:eastAsia="宋体" w:cs="宋体"/>
                <w:i w:val="0"/>
                <w:iCs w:val="0"/>
                <w:color w:val="000000"/>
                <w:kern w:val="0"/>
                <w:sz w:val="22"/>
                <w:szCs w:val="22"/>
                <w:u w:val="none"/>
                <w:lang w:val="en-US" w:eastAsia="zh-CN" w:bidi="ar"/>
              </w:rPr>
              <w:t>水泥窑协同处置：1、水泥窑协同处置本项目地块污染土壤期间，每季度对生产水泥熟料产品进行抽检一次。预计共采集22个样品(含10%质控样品)。2、监测指标为本场地污染土壤特征污染物，包括石油烃、锰、五氯酚、硝酸盐、耗氧量、氨氮、铁、挥发酚浸出值。</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22</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43" w:hRule="atLeast"/>
        </w:trPr>
        <w:tc>
          <w:tcPr>
            <w:tcW w:w="5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ascii="宋体" w:hAnsi="宋体" w:eastAsia="宋体" w:cs="宋体"/>
                <w:i w:val="0"/>
                <w:iCs w:val="0"/>
                <w:color w:val="000000"/>
                <w:kern w:val="0"/>
                <w:sz w:val="22"/>
                <w:szCs w:val="22"/>
                <w:u w:val="none"/>
                <w:lang w:val="en-US" w:eastAsia="zh-CN" w:bidi="ar"/>
              </w:rPr>
            </w:pPr>
            <w:r>
              <w:rPr>
                <w:rFonts w:ascii="宋体" w:hAnsi="宋体" w:eastAsia="宋体" w:cs="宋体"/>
                <w:i w:val="0"/>
                <w:iCs w:val="0"/>
                <w:color w:val="000000"/>
                <w:kern w:val="0"/>
                <w:sz w:val="22"/>
                <w:szCs w:val="22"/>
                <w:u w:val="none"/>
                <w:lang w:val="en-US" w:eastAsia="zh-CN" w:bidi="ar"/>
              </w:rPr>
              <w:t>废水处置：1、废水包括抽提污染地下水、建筑垃圾冲洗废水、洗车废水、基坑汇集雨水。处置效果评估工作在施工单位完成废水处置和自检达标后，按照每月采样验收1次的原则进行外排废水的抽样检测，每批次抽取3个外排废水进行采样检测。预计采集14个批次样品，共计采集47个样品。2、检测指标包括的废水中pH、砷、镉、石油烃(C10-C40)、五氯酚、锰、铁、挥发酚、色</w:t>
            </w:r>
            <w:r>
              <w:rPr>
                <w:rFonts w:ascii="宋体" w:hAnsi="宋体" w:eastAsia="宋体" w:cs="宋体"/>
                <w:i w:val="0"/>
                <w:iCs w:val="0"/>
                <w:color w:val="000000"/>
                <w:kern w:val="0"/>
                <w:sz w:val="22"/>
                <w:szCs w:val="22"/>
                <w:u w:val="none"/>
                <w:lang w:val="en-US" w:eastAsia="zh-CN" w:bidi="ar"/>
              </w:rPr>
              <w:br w:type="textWrapping"/>
            </w:r>
            <w:r>
              <w:rPr>
                <w:rFonts w:ascii="宋体" w:hAnsi="宋体" w:eastAsia="宋体" w:cs="宋体"/>
                <w:i w:val="0"/>
                <w:iCs w:val="0"/>
                <w:color w:val="000000"/>
                <w:kern w:val="0"/>
                <w:sz w:val="22"/>
                <w:szCs w:val="22"/>
                <w:u w:val="none"/>
                <w:lang w:val="en-US" w:eastAsia="zh-CN" w:bidi="ar"/>
              </w:rPr>
              <w:t>度、悬浮物、COD、氨氮、总磷、总氮等。</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47</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32" w:hRule="atLeast"/>
        </w:trPr>
        <w:tc>
          <w:tcPr>
            <w:tcW w:w="5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ascii="宋体" w:hAnsi="宋体" w:eastAsia="宋体" w:cs="宋体"/>
                <w:i w:val="0"/>
                <w:iCs w:val="0"/>
                <w:color w:val="000000"/>
                <w:kern w:val="0"/>
                <w:sz w:val="22"/>
                <w:szCs w:val="22"/>
                <w:u w:val="none"/>
                <w:lang w:val="en-US" w:eastAsia="zh-CN" w:bidi="ar"/>
              </w:rPr>
            </w:pPr>
            <w:r>
              <w:rPr>
                <w:rFonts w:ascii="宋体" w:hAnsi="宋体" w:eastAsia="宋体" w:cs="宋体"/>
                <w:i w:val="0"/>
                <w:iCs w:val="0"/>
                <w:color w:val="000000"/>
                <w:kern w:val="0"/>
                <w:sz w:val="22"/>
                <w:szCs w:val="22"/>
                <w:u w:val="none"/>
                <w:lang w:val="en-US" w:eastAsia="zh-CN" w:bidi="ar"/>
              </w:rPr>
              <w:t>地下水修复：1、在修复范围上游、下游、和两侧各设置1个监测井，地块内设置41口监测井，每季度采集地下水样品监测1次，共采集8批次。每批次按10%采集平行样，共计396个</w:t>
            </w:r>
            <w:r>
              <w:rPr>
                <w:rFonts w:ascii="宋体" w:hAnsi="宋体" w:eastAsia="宋体" w:cs="宋体"/>
                <w:i w:val="0"/>
                <w:iCs w:val="0"/>
                <w:color w:val="000000"/>
                <w:kern w:val="0"/>
                <w:sz w:val="22"/>
                <w:szCs w:val="22"/>
                <w:u w:val="none"/>
                <w:lang w:val="en-US" w:eastAsia="zh-CN" w:bidi="ar"/>
              </w:rPr>
              <w:br w:type="textWrapping"/>
            </w:r>
            <w:r>
              <w:rPr>
                <w:rFonts w:ascii="宋体" w:hAnsi="宋体" w:eastAsia="宋体" w:cs="宋体"/>
                <w:i w:val="0"/>
                <w:iCs w:val="0"/>
                <w:color w:val="000000"/>
                <w:kern w:val="0"/>
                <w:sz w:val="22"/>
                <w:szCs w:val="22"/>
                <w:u w:val="none"/>
                <w:lang w:val="en-US" w:eastAsia="zh-CN" w:bidi="ar"/>
              </w:rPr>
              <w:t>样品。2、监测指标包括石油烃、锰、五氯酚、硝酸盐、</w:t>
            </w:r>
            <w:r>
              <w:rPr>
                <w:rFonts w:ascii="宋体" w:hAnsi="宋体" w:eastAsia="宋体" w:cs="宋体"/>
                <w:i w:val="0"/>
                <w:iCs w:val="0"/>
                <w:color w:val="000000"/>
                <w:kern w:val="0"/>
                <w:sz w:val="22"/>
                <w:szCs w:val="22"/>
                <w:u w:val="none"/>
                <w:lang w:val="en-US" w:eastAsia="zh-CN" w:bidi="ar"/>
              </w:rPr>
              <w:br w:type="textWrapping"/>
            </w:r>
            <w:r>
              <w:rPr>
                <w:rFonts w:ascii="宋体" w:hAnsi="宋体" w:eastAsia="宋体" w:cs="宋体"/>
                <w:i w:val="0"/>
                <w:iCs w:val="0"/>
                <w:color w:val="000000"/>
                <w:kern w:val="0"/>
                <w:sz w:val="22"/>
                <w:szCs w:val="22"/>
                <w:u w:val="none"/>
                <w:lang w:val="en-US" w:eastAsia="zh-CN" w:bidi="ar"/>
              </w:rPr>
              <w:t>耗氧量、氨氮、铁、挥发酚。</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396</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4" w:hRule="atLeast"/>
        </w:trPr>
        <w:tc>
          <w:tcPr>
            <w:tcW w:w="5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ascii="宋体" w:hAnsi="宋体" w:eastAsia="宋体" w:cs="宋体"/>
                <w:i w:val="0"/>
                <w:iCs w:val="0"/>
                <w:color w:val="000000"/>
                <w:kern w:val="0"/>
                <w:sz w:val="22"/>
                <w:szCs w:val="22"/>
                <w:u w:val="none"/>
                <w:lang w:val="en-US" w:eastAsia="zh-CN" w:bidi="ar"/>
              </w:rPr>
            </w:pPr>
            <w:r>
              <w:rPr>
                <w:rFonts w:ascii="宋体" w:hAnsi="宋体" w:eastAsia="宋体" w:cs="宋体"/>
                <w:i w:val="0"/>
                <w:iCs w:val="0"/>
                <w:color w:val="000000"/>
                <w:kern w:val="0"/>
                <w:sz w:val="22"/>
                <w:szCs w:val="22"/>
                <w:u w:val="none"/>
                <w:lang w:val="en-US" w:eastAsia="zh-CN" w:bidi="ar"/>
              </w:rPr>
              <w:t>3、约新建监测井20口，深度10m。</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200</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90" w:hRule="atLeast"/>
        </w:trPr>
        <w:tc>
          <w:tcPr>
            <w:tcW w:w="5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ascii="宋体" w:hAnsi="宋体" w:eastAsia="宋体" w:cs="宋体"/>
                <w:i w:val="0"/>
                <w:iCs w:val="0"/>
                <w:color w:val="000000"/>
                <w:kern w:val="0"/>
                <w:sz w:val="22"/>
                <w:szCs w:val="22"/>
                <w:u w:val="none"/>
                <w:lang w:val="en-US" w:eastAsia="zh-CN" w:bidi="ar"/>
              </w:rPr>
            </w:pPr>
            <w:r>
              <w:rPr>
                <w:rFonts w:ascii="宋体" w:hAnsi="宋体" w:eastAsia="宋体" w:cs="宋体"/>
                <w:i w:val="0"/>
                <w:iCs w:val="0"/>
                <w:color w:val="000000"/>
                <w:kern w:val="0"/>
                <w:sz w:val="22"/>
                <w:szCs w:val="22"/>
                <w:u w:val="none"/>
                <w:lang w:val="en-US" w:eastAsia="zh-CN" w:bidi="ar"/>
              </w:rPr>
              <w:t>潜在二次污染区域：1、潜在二次污染区域重点关注土壤筛分预处理大棚、运输车辆临时道路、清洁土暂存场、建渣冲洗及待检场、支架水池、水处理设备区、临时仓库、危废库房等。预计采集47个样品(含10%平行样)。</w:t>
            </w:r>
            <w:r>
              <w:rPr>
                <w:rFonts w:ascii="宋体" w:hAnsi="宋体" w:eastAsia="宋体" w:cs="宋体"/>
                <w:i w:val="0"/>
                <w:iCs w:val="0"/>
                <w:color w:val="000000"/>
                <w:kern w:val="0"/>
                <w:sz w:val="22"/>
                <w:szCs w:val="22"/>
                <w:u w:val="none"/>
                <w:lang w:val="en-US" w:eastAsia="zh-CN" w:bidi="ar"/>
              </w:rPr>
              <w:br w:type="textWrapping"/>
            </w:r>
            <w:r>
              <w:rPr>
                <w:rFonts w:ascii="宋体" w:hAnsi="宋体" w:eastAsia="宋体" w:cs="宋体"/>
                <w:i w:val="0"/>
                <w:iCs w:val="0"/>
                <w:color w:val="000000"/>
                <w:kern w:val="0"/>
                <w:sz w:val="22"/>
                <w:szCs w:val="22"/>
                <w:u w:val="none"/>
                <w:lang w:val="en-US" w:eastAsia="zh-CN" w:bidi="ar"/>
              </w:rPr>
              <w:t>2、监测指标包括砷、镉、苯并[a]芘、二苯并[a,h]蒽、石油烃(C1o-C40)、五氯酚等。</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47</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30" w:hRule="atLeast"/>
        </w:trPr>
        <w:tc>
          <w:tcPr>
            <w:tcW w:w="5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样品采集：基坑清理、建渣冲洗、地块内和外运清洁土、水泥窑协同处置、地下水修复、潜在二次污染区域共计需采集1819个样品，样品采集、包装、转运平均每个样品采集投入成本约为100元。</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1819</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5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复采监测：根据效果评估工作经验，效果评估过程中存在超标复采监测情况，该项按照第(二)和第三项总经费10%计算。</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77</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79" w:hRule="atLeast"/>
        </w:trPr>
        <w:tc>
          <w:tcPr>
            <w:tcW w:w="5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编制效果评估报告：严格对照《建设用地土壤污染状况调查、风险评估、风险管控及修复效果评估报告评审指南》、《江西省建设用地土壤污染状况调查、风险评估、风险管控修复技术方案及修复效果评估报技术审查要点(试行)》等相关政策要求，提交相关材料并参加专家评审会，根据专家意见修改完善。协助业主单位将最终效果评估报告及相关材料完成系统填报，提交省生态环境厅备案。</w:t>
            </w:r>
          </w:p>
        </w:tc>
        <w:tc>
          <w:tcPr>
            <w:tcW w:w="14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w:t>
            </w:r>
          </w:p>
        </w:tc>
      </w:tr>
    </w:tbl>
    <w:p>
      <w:pPr>
        <w:widowControl w:val="0"/>
        <w:kinsoku/>
        <w:autoSpaceDE/>
        <w:autoSpaceDN/>
        <w:adjustRightInd/>
        <w:snapToGrid/>
        <w:spacing w:line="360" w:lineRule="auto"/>
        <w:textAlignment w:val="auto"/>
        <w:rPr>
          <w:rFonts w:hint="default"/>
          <w:lang w:val="en-US" w:eastAsia="zh-CN"/>
        </w:rPr>
      </w:pPr>
      <w:r>
        <w:rPr>
          <w:rFonts w:hint="eastAsia" w:ascii="Times New Roman" w:hAnsi="Times New Roman" w:eastAsia="宋体" w:cs="Times New Roman"/>
          <w:b/>
          <w:bCs/>
          <w:color w:val="000000"/>
          <w:sz w:val="24"/>
          <w:szCs w:val="24"/>
          <w:lang w:val="en-US" w:eastAsia="zh-CN"/>
        </w:rPr>
        <w:t xml:space="preserve">  注:以上为最低工作量，如遇特殊情形，增加检测工作量，投标人应积极配合，导致增加相关费用，自行考虑。</w:t>
      </w:r>
    </w:p>
    <w:p>
      <w:pPr>
        <w:widowControl w:val="0"/>
        <w:kinsoku/>
        <w:autoSpaceDE/>
        <w:autoSpaceDN/>
        <w:adjustRightInd/>
        <w:snapToGrid/>
        <w:spacing w:line="360" w:lineRule="auto"/>
        <w:ind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4.提交的成果</w:t>
      </w:r>
    </w:p>
    <w:p>
      <w:pPr>
        <w:widowControl w:val="0"/>
        <w:kinsoku/>
        <w:autoSpaceDE/>
        <w:autoSpaceDN/>
        <w:adjustRightInd/>
        <w:snapToGrid/>
        <w:spacing w:line="360" w:lineRule="auto"/>
        <w:ind w:firstLine="480" w:firstLineChars="200"/>
        <w:textAlignment w:val="auto"/>
        <w:rPr>
          <w:rFonts w:hint="eastAsia"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污染地块修复效果评估报告纸质版及电子版，包括附件图件等。</w:t>
      </w:r>
    </w:p>
    <w:p>
      <w:pPr>
        <w:widowControl w:val="0"/>
        <w:kinsoku/>
        <w:autoSpaceDE/>
        <w:autoSpaceDN/>
        <w:adjustRightInd/>
        <w:snapToGrid/>
        <w:spacing w:line="360" w:lineRule="auto"/>
        <w:ind w:firstLine="480" w:firstLineChars="200"/>
        <w:textAlignment w:val="auto"/>
        <w:rPr>
          <w:rFonts w:hint="default" w:ascii="Times New Roman" w:hAnsi="Times New Roman" w:cs="Times New Roman"/>
          <w:color w:val="000000"/>
          <w:sz w:val="24"/>
          <w:szCs w:val="24"/>
          <w:lang w:val="en-US" w:eastAsia="zh-CN"/>
        </w:rPr>
      </w:pPr>
      <w:r>
        <w:rPr>
          <w:rFonts w:hint="eastAsia" w:ascii="Times New Roman" w:hAnsi="Times New Roman" w:cs="Times New Roman"/>
          <w:color w:val="000000"/>
          <w:sz w:val="24"/>
          <w:szCs w:val="24"/>
          <w:lang w:val="en-US" w:eastAsia="zh-CN"/>
        </w:rPr>
        <w:t>5.</w:t>
      </w:r>
      <w:r>
        <w:rPr>
          <w:rFonts w:hint="eastAsia" w:ascii="Times New Roman" w:hAnsi="Times New Roman" w:cs="Times New Roman"/>
          <w:color w:val="000000"/>
          <w:sz w:val="24"/>
          <w:szCs w:val="24"/>
          <w:lang w:eastAsia="zh-CN"/>
        </w:rPr>
        <w:t>承诺在本项目通过验收后，对项目成果提供质量保证,为采购人提供贰年免费技术支持；在贰年质量保质期内，如果成果发现问题，要调查原因并免费修改，直至满足要求。质量保证期内发生的一切费用由中标人承担。</w:t>
      </w:r>
    </w:p>
    <w:p>
      <w:pPr>
        <w:widowControl w:val="0"/>
        <w:kinsoku/>
        <w:autoSpaceDE/>
        <w:autoSpaceDN/>
        <w:adjustRightInd/>
        <w:snapToGrid/>
        <w:spacing w:line="360" w:lineRule="auto"/>
        <w:ind w:firstLine="480" w:firstLineChars="200"/>
        <w:textAlignment w:val="auto"/>
        <w:rPr>
          <w:rFonts w:hint="eastAsia" w:ascii="Times New Roman" w:hAnsi="Times New Roman" w:cs="Times New Roman"/>
          <w:color w:val="000000"/>
          <w:sz w:val="24"/>
          <w:szCs w:val="24"/>
          <w:lang w:eastAsia="zh-CN"/>
        </w:rPr>
      </w:pPr>
      <w:r>
        <w:rPr>
          <w:rFonts w:hint="eastAsia" w:ascii="Times New Roman" w:hAnsi="Times New Roman" w:cs="Times New Roman"/>
          <w:color w:val="000000"/>
          <w:sz w:val="24"/>
          <w:szCs w:val="24"/>
          <w:lang w:val="en-US" w:eastAsia="zh-CN"/>
        </w:rPr>
        <w:t>6.</w:t>
      </w:r>
      <w:r>
        <w:rPr>
          <w:rFonts w:hint="eastAsia" w:ascii="Times New Roman" w:hAnsi="Times New Roman" w:cs="Times New Roman"/>
          <w:color w:val="000000"/>
          <w:sz w:val="24"/>
          <w:szCs w:val="24"/>
          <w:lang w:eastAsia="zh-CN"/>
        </w:rPr>
        <w:t>质量标准：</w:t>
      </w:r>
    </w:p>
    <w:p>
      <w:pPr>
        <w:widowControl w:val="0"/>
        <w:kinsoku/>
        <w:autoSpaceDE/>
        <w:autoSpaceDN/>
        <w:adjustRightInd/>
        <w:snapToGrid/>
        <w:spacing w:line="360" w:lineRule="auto"/>
        <w:ind w:firstLine="480" w:firstLineChars="200"/>
        <w:textAlignment w:val="auto"/>
        <w:rPr>
          <w:rFonts w:hint="eastAsia" w:ascii="Times New Roman" w:hAnsi="Times New Roman" w:eastAsia="宋体" w:cs="Times New Roman"/>
          <w:color w:val="000000"/>
          <w:sz w:val="24"/>
          <w:szCs w:val="24"/>
          <w:lang w:eastAsia="zh-CN"/>
        </w:rPr>
      </w:pPr>
      <w:r>
        <w:rPr>
          <w:rFonts w:hint="eastAsia" w:ascii="Times New Roman" w:hAnsi="Times New Roman" w:eastAsia="宋体" w:cs="Times New Roman"/>
          <w:color w:val="000000"/>
          <w:sz w:val="24"/>
          <w:szCs w:val="24"/>
          <w:lang w:eastAsia="zh-CN"/>
        </w:rPr>
        <w:t>符合相关技术规范要求，通过评审。</w:t>
      </w:r>
    </w:p>
    <w:p>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4D"/>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008BD4"/>
    <w:multiLevelType w:val="singleLevel"/>
    <w:tmpl w:val="2C008BD4"/>
    <w:lvl w:ilvl="0" w:tentative="0">
      <w:start w:val="1"/>
      <w:numFmt w:val="chineseCounting"/>
      <w:suff w:val="space"/>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DD64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pPr>
    <w:rPr>
      <w:rFonts w:ascii="Arial" w:hAnsi="Arial" w:eastAsia="Arial" w:cs="Arial"/>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character" w:customStyle="1" w:styleId="5">
    <w:name w:val="font41"/>
    <w:basedOn w:val="4"/>
    <w:qFormat/>
    <w:uiPriority w:val="0"/>
    <w:rPr>
      <w:rFonts w:ascii="宋体" w:hAnsi="宋体" w:eastAsia="宋体" w:cs="宋体"/>
      <w:b/>
      <w:bCs/>
      <w:color w:val="000000"/>
      <w:sz w:val="22"/>
      <w:szCs w:val="22"/>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Office_11.8.2.11716_F1E327BC-269C-435d-A152-05C5408002CA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2026-06-29T10:38:12Z</dcterms:created>
  <dc:creator>LENOVO</dc:creator>
  <cp:lastModifiedBy>NTKO</cp:lastModifiedBy>
  <dcterms:modified xsi:type="dcterms:W3CDTF">2026-06-29T10:39:24Z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2052-11.8.2.11716</vt:lpwstr>
  </property>
  <property fmtid="{D5CDD505-2E9C-101B-9397-08002B2CF9AE}" pid="3" name="ICV">
    <vt:lpwstr>BE42A969B88F493AA9C737CC2F585270</vt:lpwstr>
  </property>
</Properties>
</file>