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A7269E">
      <w:pPr>
        <w:adjustRightInd w:val="0"/>
        <w:spacing w:line="360" w:lineRule="auto"/>
        <w:jc w:val="center"/>
        <w:outlineLvl w:val="2"/>
        <w:rPr>
          <w:b/>
          <w:bCs/>
          <w:color w:val="auto"/>
          <w:sz w:val="24"/>
          <w:szCs w:val="24"/>
          <w:highlight w:val="none"/>
        </w:rPr>
      </w:pPr>
      <w:r>
        <w:rPr>
          <w:rFonts w:hint="eastAsia"/>
          <w:b/>
          <w:bCs/>
          <w:color w:val="auto"/>
          <w:sz w:val="24"/>
          <w:szCs w:val="24"/>
          <w:highlight w:val="none"/>
        </w:rPr>
        <w:t>技术规格（工程需求）</w:t>
      </w:r>
    </w:p>
    <w:p w14:paraId="03DCBDF0">
      <w:pPr>
        <w:adjustRightInd w:val="0"/>
        <w:spacing w:line="360" w:lineRule="auto"/>
        <w:jc w:val="both"/>
        <w:rPr>
          <w:rFonts w:hint="eastAsia" w:ascii="宋体" w:hAnsi="宋体"/>
          <w:color w:val="auto"/>
          <w:sz w:val="24"/>
          <w:szCs w:val="24"/>
          <w:highlight w:val="none"/>
          <w:lang w:val="en-US" w:eastAsia="zh-CN"/>
        </w:rPr>
      </w:pPr>
      <w:r>
        <w:rPr>
          <w:rFonts w:hint="eastAsia" w:ascii="宋体" w:hAnsi="宋体"/>
          <w:b/>
          <w:bCs/>
          <w:color w:val="auto"/>
          <w:sz w:val="24"/>
          <w:szCs w:val="24"/>
          <w:highlight w:val="none"/>
          <w:lang w:val="en-US" w:eastAsia="zh-CN"/>
        </w:rPr>
        <w:t>1、工程量清单、图纸：</w:t>
      </w:r>
      <w:r>
        <w:rPr>
          <w:rFonts w:hint="eastAsia" w:ascii="宋体" w:hAnsi="宋体"/>
          <w:color w:val="auto"/>
          <w:sz w:val="24"/>
          <w:szCs w:val="24"/>
          <w:highlight w:val="none"/>
          <w:lang w:val="en-US" w:eastAsia="zh-CN"/>
        </w:rPr>
        <w:t>以附件形式发出，附件为本采购文件的一部分。</w:t>
      </w:r>
    </w:p>
    <w:p w14:paraId="20C15B0A">
      <w:pPr>
        <w:adjustRightInd w:val="0"/>
        <w:spacing w:line="360" w:lineRule="auto"/>
        <w:jc w:val="both"/>
        <w:rPr>
          <w:rFonts w:hint="eastAsia" w:eastAsia="宋体"/>
          <w:b/>
          <w:bCs/>
          <w:color w:val="auto"/>
          <w:sz w:val="24"/>
          <w:szCs w:val="24"/>
          <w:highlight w:val="none"/>
          <w:lang w:val="en-US" w:eastAsia="zh-CN"/>
        </w:rPr>
      </w:pPr>
      <w:r>
        <w:rPr>
          <w:rFonts w:hint="eastAsia" w:ascii="宋体" w:hAnsi="宋体" w:eastAsia="宋体"/>
          <w:b/>
          <w:bCs/>
          <w:color w:val="auto"/>
          <w:sz w:val="24"/>
          <w:szCs w:val="24"/>
          <w:highlight w:val="none"/>
          <w:lang w:val="en-US" w:eastAsia="zh-CN"/>
        </w:rPr>
        <w:t>2</w:t>
      </w:r>
      <w:r>
        <w:rPr>
          <w:rFonts w:hint="eastAsia" w:ascii="宋体" w:hAnsi="宋体"/>
          <w:b/>
          <w:bCs/>
          <w:color w:val="auto"/>
          <w:sz w:val="24"/>
          <w:szCs w:val="24"/>
          <w:highlight w:val="none"/>
        </w:rPr>
        <w:t>、</w:t>
      </w:r>
      <w:r>
        <w:rPr>
          <w:rFonts w:hint="eastAsia"/>
          <w:b/>
          <w:bCs/>
          <w:color w:val="auto"/>
          <w:sz w:val="24"/>
          <w:szCs w:val="24"/>
          <w:highlight w:val="none"/>
        </w:rPr>
        <w:t>编制说明</w:t>
      </w:r>
      <w:r>
        <w:rPr>
          <w:rFonts w:hint="eastAsia" w:eastAsia="宋体"/>
          <w:b/>
          <w:bCs/>
          <w:color w:val="auto"/>
          <w:sz w:val="24"/>
          <w:szCs w:val="24"/>
          <w:highlight w:val="none"/>
          <w:lang w:val="en-US" w:eastAsia="zh-CN"/>
        </w:rPr>
        <w:t>:</w:t>
      </w:r>
    </w:p>
    <w:p w14:paraId="1C78CFA4">
      <w:pPr>
        <w:numPr>
          <w:ilvl w:val="0"/>
          <w:numId w:val="0"/>
        </w:numPr>
        <w:bidi w:val="0"/>
        <w:spacing w:line="360" w:lineRule="auto"/>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bCs/>
          <w:snapToGrid w:val="0"/>
          <w:color w:val="000000"/>
          <w:sz w:val="24"/>
          <w:szCs w:val="24"/>
          <w:lang w:val="en-US" w:eastAsia="zh-CN" w:bidi="ar-SA"/>
        </w:rPr>
        <w:t>一、</w:t>
      </w:r>
      <w:r>
        <w:rPr>
          <w:rFonts w:hint="eastAsia" w:asciiTheme="minorEastAsia" w:hAnsiTheme="minorEastAsia" w:eastAsiaTheme="minorEastAsia" w:cstheme="minorEastAsia"/>
          <w:b/>
          <w:bCs/>
          <w:sz w:val="24"/>
          <w:szCs w:val="24"/>
        </w:rPr>
        <w:t>工</w:t>
      </w:r>
      <w:r>
        <w:rPr>
          <w:rFonts w:hint="eastAsia" w:asciiTheme="minorEastAsia" w:hAnsiTheme="minorEastAsia" w:eastAsiaTheme="minorEastAsia" w:cstheme="minorEastAsia"/>
          <w:b/>
          <w:bCs/>
          <w:sz w:val="24"/>
          <w:szCs w:val="24"/>
          <w:lang w:val="en-US" w:eastAsia="zh-CN"/>
        </w:rPr>
        <w:t>程概况：</w:t>
      </w:r>
    </w:p>
    <w:p w14:paraId="027101B4">
      <w:pPr>
        <w:numPr>
          <w:ilvl w:val="0"/>
          <w:numId w:val="0"/>
        </w:numPr>
        <w:bidi w:val="0"/>
        <w:spacing w:line="36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bCs/>
          <w:snapToGrid w:val="0"/>
          <w:color w:val="000000"/>
          <w:sz w:val="24"/>
          <w:szCs w:val="24"/>
          <w:lang w:val="en-US" w:eastAsia="zh-CN" w:bidi="ar-SA"/>
        </w:rPr>
        <w:t>1、</w:t>
      </w:r>
      <w:r>
        <w:rPr>
          <w:rFonts w:hint="eastAsia" w:asciiTheme="minorEastAsia" w:hAnsiTheme="minorEastAsia" w:eastAsiaTheme="minorEastAsia" w:cstheme="minorEastAsia"/>
          <w:b/>
          <w:bCs/>
          <w:sz w:val="24"/>
          <w:szCs w:val="24"/>
        </w:rPr>
        <w:t>建设地点：</w:t>
      </w:r>
      <w:r>
        <w:rPr>
          <w:rFonts w:hint="eastAsia" w:asciiTheme="minorEastAsia" w:hAnsiTheme="minorEastAsia" w:eastAsiaTheme="minorEastAsia" w:cstheme="minorEastAsia"/>
          <w:sz w:val="24"/>
          <w:szCs w:val="24"/>
        </w:rPr>
        <w:t>浔阳校区图书馆大楼安全升级改造项目</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lang w:val="en-US" w:eastAsia="zh-CN"/>
        </w:rPr>
        <w:t>建设地点为</w:t>
      </w:r>
      <w:r>
        <w:rPr>
          <w:rFonts w:hint="eastAsia" w:asciiTheme="minorEastAsia" w:hAnsiTheme="minorEastAsia" w:eastAsiaTheme="minorEastAsia" w:cstheme="minorEastAsia"/>
          <w:sz w:val="24"/>
          <w:szCs w:val="24"/>
        </w:rPr>
        <w:t>江西省九江市</w:t>
      </w:r>
      <w:r>
        <w:rPr>
          <w:rFonts w:hint="eastAsia" w:asciiTheme="minorEastAsia" w:hAnsiTheme="minorEastAsia" w:eastAsiaTheme="minorEastAsia" w:cstheme="minorEastAsia"/>
          <w:sz w:val="24"/>
          <w:szCs w:val="24"/>
          <w:lang w:eastAsia="zh-CN"/>
        </w:rPr>
        <w:t>。</w:t>
      </w:r>
    </w:p>
    <w:p w14:paraId="14FBBD8B">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b/>
          <w:bCs/>
          <w:snapToGrid w:val="0"/>
          <w:color w:val="000000"/>
          <w:sz w:val="24"/>
          <w:szCs w:val="24"/>
          <w:lang w:val="en-US" w:eastAsia="zh-CN" w:bidi="ar-SA"/>
        </w:rPr>
        <w:t>2、</w:t>
      </w:r>
      <w:r>
        <w:rPr>
          <w:rFonts w:hint="eastAsia" w:asciiTheme="minorEastAsia" w:hAnsiTheme="minorEastAsia" w:eastAsiaTheme="minorEastAsia" w:cstheme="minorEastAsia"/>
          <w:b/>
          <w:bCs/>
          <w:sz w:val="24"/>
          <w:szCs w:val="24"/>
          <w:lang w:val="en-US" w:eastAsia="zh-CN"/>
        </w:rPr>
        <w:t>本次预算编制范围：</w:t>
      </w:r>
      <w:r>
        <w:rPr>
          <w:rFonts w:hint="eastAsia" w:asciiTheme="minorEastAsia" w:hAnsiTheme="minorEastAsia" w:eastAsiaTheme="minorEastAsia" w:cstheme="minorEastAsia"/>
          <w:sz w:val="24"/>
          <w:szCs w:val="24"/>
          <w:lang w:val="en-US" w:eastAsia="zh-CN"/>
        </w:rPr>
        <w:t>二层电子阅览室墙面、地面、顶棚出新、二至八层书库内部楼梯间更换防火门、每层卫生间墙面、地面出新、安装工程以及地上式箱泵一体化泵站等。</w:t>
      </w:r>
    </w:p>
    <w:p w14:paraId="223A47FE">
      <w:pPr>
        <w:numPr>
          <w:ilvl w:val="0"/>
          <w:numId w:val="0"/>
        </w:numPr>
        <w:bidi w:val="0"/>
        <w:spacing w:line="360" w:lineRule="auto"/>
        <w:rPr>
          <w:rFonts w:hint="eastAsia" w:asciiTheme="minorEastAsia" w:hAnsiTheme="minorEastAsia" w:eastAsiaTheme="minorEastAsia" w:cstheme="minorEastAsia"/>
          <w:b/>
          <w:bCs/>
          <w:sz w:val="24"/>
          <w:szCs w:val="24"/>
          <w:lang w:val="en-US" w:eastAsia="zh-CN"/>
        </w:rPr>
      </w:pPr>
      <w:r>
        <w:rPr>
          <w:rFonts w:hint="eastAsia" w:asciiTheme="minorEastAsia" w:hAnsiTheme="minorEastAsia" w:eastAsiaTheme="minorEastAsia" w:cstheme="minorEastAsia"/>
          <w:b/>
          <w:bCs/>
          <w:sz w:val="24"/>
          <w:szCs w:val="24"/>
        </w:rPr>
        <w:t>二、工程预算价编制依据：</w:t>
      </w:r>
      <w:r>
        <w:rPr>
          <w:rFonts w:hint="eastAsia" w:asciiTheme="minorEastAsia" w:hAnsiTheme="minorEastAsia" w:eastAsiaTheme="minorEastAsia" w:cstheme="minorEastAsia"/>
          <w:b/>
          <w:bCs/>
          <w:sz w:val="24"/>
          <w:szCs w:val="24"/>
          <w:lang w:val="en-US" w:eastAsia="zh-CN"/>
        </w:rPr>
        <w:t xml:space="preserve">     </w:t>
      </w:r>
    </w:p>
    <w:p w14:paraId="3EDAF100">
      <w:pPr>
        <w:numPr>
          <w:ilvl w:val="0"/>
          <w:numId w:val="0"/>
        </w:numPr>
        <w:bidi w:val="0"/>
        <w:spacing w:line="360" w:lineRule="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lang w:val="en-US" w:eastAsia="zh-CN"/>
        </w:rPr>
        <w:t>美华建筑设计有限公司设计</w:t>
      </w:r>
      <w:r>
        <w:rPr>
          <w:rFonts w:hint="eastAsia" w:asciiTheme="minorEastAsia" w:hAnsiTheme="minorEastAsia" w:eastAsiaTheme="minorEastAsia" w:cstheme="minorEastAsia"/>
          <w:sz w:val="24"/>
          <w:szCs w:val="24"/>
        </w:rPr>
        <w:t>的施工图纸</w:t>
      </w:r>
      <w:r>
        <w:rPr>
          <w:rFonts w:hint="eastAsia" w:asciiTheme="minorEastAsia" w:hAnsiTheme="minorEastAsia" w:eastAsiaTheme="minorEastAsia" w:cstheme="minorEastAsia"/>
          <w:sz w:val="24"/>
          <w:szCs w:val="24"/>
          <w:lang w:eastAsia="zh-CN"/>
        </w:rPr>
        <w:t>。</w:t>
      </w:r>
    </w:p>
    <w:p w14:paraId="000D129D">
      <w:pPr>
        <w:numPr>
          <w:ilvl w:val="0"/>
          <w:numId w:val="0"/>
        </w:num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《江西省房屋建筑与装饰工程消耗量定额及统一基价表》（2017版）。</w:t>
      </w:r>
    </w:p>
    <w:p w14:paraId="6617A225">
      <w:pPr>
        <w:numPr>
          <w:ilvl w:val="0"/>
          <w:numId w:val="0"/>
        </w:num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3、</w:t>
      </w:r>
      <w:r>
        <w:rPr>
          <w:rFonts w:hint="eastAsia" w:asciiTheme="minorEastAsia" w:hAnsiTheme="minorEastAsia" w:eastAsiaTheme="minorEastAsia" w:cstheme="minorEastAsia"/>
          <w:sz w:val="24"/>
          <w:szCs w:val="24"/>
        </w:rPr>
        <w:t>《江西省通用安装工程消耗量定额及统一基价表》(2017版)</w:t>
      </w:r>
      <w:r>
        <w:rPr>
          <w:rFonts w:hint="eastAsia" w:asciiTheme="minorEastAsia" w:hAnsiTheme="minorEastAsia" w:eastAsiaTheme="minorEastAsia" w:cstheme="minorEastAsia"/>
          <w:sz w:val="24"/>
          <w:szCs w:val="24"/>
          <w:lang w:eastAsia="zh-CN"/>
        </w:rPr>
        <w:t>。</w:t>
      </w:r>
    </w:p>
    <w:p w14:paraId="687788BC">
      <w:pPr>
        <w:numPr>
          <w:ilvl w:val="0"/>
          <w:numId w:val="0"/>
        </w:numPr>
        <w:bidi w:val="0"/>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4、</w:t>
      </w:r>
      <w:r>
        <w:rPr>
          <w:rFonts w:hint="eastAsia" w:asciiTheme="minorEastAsia" w:hAnsiTheme="minorEastAsia" w:eastAsiaTheme="minorEastAsia" w:cstheme="minorEastAsia"/>
          <w:sz w:val="24"/>
          <w:szCs w:val="24"/>
        </w:rPr>
        <w:t>《建设工程工程量清单计价规范》（GB/T 50500-2024）。</w:t>
      </w:r>
    </w:p>
    <w:p w14:paraId="62D5F7D2">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5、《关于实施建筑业营改增后调整全省建设工程现行计价规则和依据的通知》赣建价[2016]3号文件；</w:t>
      </w:r>
    </w:p>
    <w:p w14:paraId="1D3FC2EE">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6、税金执行赣建价〔2019〕1号文件（关于调整江西省建设工程计价依据增值税税率）；</w:t>
      </w:r>
    </w:p>
    <w:p w14:paraId="4A96D6A9">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7、</w:t>
      </w:r>
      <w:r>
        <w:rPr>
          <w:rFonts w:hint="eastAsia" w:asciiTheme="minorEastAsia" w:hAnsiTheme="minorEastAsia" w:eastAsiaTheme="minorEastAsia" w:cstheme="minorEastAsia"/>
          <w:sz w:val="24"/>
          <w:szCs w:val="24"/>
        </w:rPr>
        <w:t>工程</w:t>
      </w:r>
      <w:r>
        <w:rPr>
          <w:rFonts w:hint="eastAsia" w:asciiTheme="minorEastAsia" w:hAnsiTheme="minorEastAsia" w:eastAsiaTheme="minorEastAsia" w:cstheme="minorEastAsia"/>
          <w:sz w:val="24"/>
          <w:szCs w:val="24"/>
          <w:lang w:val="en-US" w:eastAsia="zh-CN"/>
        </w:rPr>
        <w:t>材料价格采用《江西省建设工程材料及设备市场综合价格》2026年第4期九江市信息价，九江市信息价中没有的价格结合江西省信息价、市场询价</w:t>
      </w:r>
      <w:r>
        <w:rPr>
          <w:rFonts w:hint="eastAsia" w:asciiTheme="minorEastAsia" w:hAnsiTheme="minorEastAsia" w:eastAsiaTheme="minorEastAsia" w:cstheme="minorEastAsia"/>
          <w:sz w:val="24"/>
          <w:szCs w:val="24"/>
        </w:rPr>
        <w:t>(含材料价格、杂运费、采购与保管费)</w:t>
      </w:r>
      <w:r>
        <w:rPr>
          <w:rFonts w:hint="eastAsia" w:asciiTheme="minorEastAsia" w:hAnsiTheme="minorEastAsia" w:eastAsiaTheme="minorEastAsia" w:cstheme="minorEastAsia"/>
          <w:sz w:val="24"/>
          <w:szCs w:val="24"/>
          <w:lang w:val="en-US" w:eastAsia="zh-CN"/>
        </w:rPr>
        <w:t>综合考虑。</w:t>
      </w:r>
    </w:p>
    <w:p w14:paraId="46234D27">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8、关于浔阳校区图书馆大楼安全升级改造项目工程联系函回复。</w:t>
      </w:r>
    </w:p>
    <w:p w14:paraId="02F902A4">
      <w:pPr>
        <w:numPr>
          <w:ilvl w:val="0"/>
          <w:numId w:val="0"/>
        </w:numPr>
        <w:bidi w:val="0"/>
        <w:spacing w:line="360" w:lineRule="auto"/>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napToGrid w:val="0"/>
          <w:color w:val="000000"/>
          <w:sz w:val="24"/>
          <w:szCs w:val="24"/>
          <w:lang w:val="en-US" w:eastAsia="en-US" w:bidi="ar-SA"/>
        </w:rPr>
        <w:t>三、</w:t>
      </w:r>
      <w:r>
        <w:rPr>
          <w:rFonts w:hint="eastAsia" w:asciiTheme="minorEastAsia" w:hAnsiTheme="minorEastAsia" w:eastAsiaTheme="minorEastAsia" w:cstheme="minorEastAsia"/>
          <w:b/>
          <w:bCs/>
          <w:sz w:val="24"/>
          <w:szCs w:val="24"/>
        </w:rPr>
        <w:t>工程计算范围及编制情况：</w:t>
      </w:r>
    </w:p>
    <w:p w14:paraId="328EFC35">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napToGrid w:val="0"/>
          <w:color w:val="000000"/>
          <w:sz w:val="24"/>
          <w:szCs w:val="24"/>
          <w:lang w:val="en-US" w:eastAsia="zh-CN" w:bidi="ar-SA"/>
        </w:rPr>
        <w:t>1、</w:t>
      </w:r>
      <w:r>
        <w:rPr>
          <w:rFonts w:hint="eastAsia" w:asciiTheme="minorEastAsia" w:hAnsiTheme="minorEastAsia" w:eastAsiaTheme="minorEastAsia" w:cstheme="minorEastAsia"/>
          <w:sz w:val="24"/>
          <w:szCs w:val="24"/>
          <w:lang w:val="en-US" w:eastAsia="zh-CN"/>
        </w:rPr>
        <w:t>建筑垃圾外运按5km计算，结算按实调整；</w:t>
      </w:r>
    </w:p>
    <w:p w14:paraId="380CE784">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napToGrid w:val="0"/>
          <w:color w:val="000000"/>
          <w:sz w:val="24"/>
          <w:szCs w:val="24"/>
          <w:lang w:val="en-US" w:eastAsia="zh-CN" w:bidi="ar-SA"/>
        </w:rPr>
        <w:t>2、</w:t>
      </w:r>
      <w:r>
        <w:rPr>
          <w:rFonts w:hint="eastAsia" w:asciiTheme="minorEastAsia" w:hAnsiTheme="minorEastAsia" w:eastAsiaTheme="minorEastAsia" w:cstheme="minorEastAsia"/>
          <w:sz w:val="24"/>
          <w:szCs w:val="24"/>
          <w:lang w:val="en-US" w:eastAsia="zh-CN"/>
        </w:rPr>
        <w:t>玻璃门按铝合金5+9A+5钢化玻璃门计算；</w:t>
      </w:r>
    </w:p>
    <w:p w14:paraId="34294885">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napToGrid w:val="0"/>
          <w:color w:val="000000"/>
          <w:sz w:val="24"/>
          <w:szCs w:val="24"/>
          <w:lang w:val="en-US" w:eastAsia="zh-CN" w:bidi="ar-SA"/>
        </w:rPr>
        <w:t>3、</w:t>
      </w:r>
      <w:r>
        <w:rPr>
          <w:rFonts w:hint="eastAsia" w:asciiTheme="minorEastAsia" w:hAnsiTheme="minorEastAsia" w:eastAsiaTheme="minorEastAsia" w:cstheme="minorEastAsia"/>
          <w:sz w:val="24"/>
          <w:szCs w:val="24"/>
          <w:lang w:val="en-US" w:eastAsia="zh-CN"/>
        </w:rPr>
        <w:t>卫生间墩台墙面按1.2m高计算；</w:t>
      </w:r>
    </w:p>
    <w:p w14:paraId="6A4E9E3D">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napToGrid w:val="0"/>
          <w:color w:val="000000"/>
          <w:sz w:val="24"/>
          <w:szCs w:val="24"/>
          <w:lang w:val="en-US" w:eastAsia="zh-CN" w:bidi="ar-SA"/>
        </w:rPr>
        <w:t>4、</w:t>
      </w:r>
      <w:r>
        <w:rPr>
          <w:rFonts w:hint="eastAsia" w:asciiTheme="minorEastAsia" w:hAnsiTheme="minorEastAsia" w:eastAsiaTheme="minorEastAsia" w:cstheme="minorEastAsia"/>
          <w:sz w:val="24"/>
          <w:szCs w:val="24"/>
          <w:lang w:val="en-US" w:eastAsia="zh-CN"/>
        </w:rPr>
        <w:t>门窗页岩砖封闭墙面按抹20mm砂浆、无机涂料计算；</w:t>
      </w:r>
    </w:p>
    <w:p w14:paraId="41D29E6B">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napToGrid w:val="0"/>
          <w:color w:val="000000"/>
          <w:sz w:val="24"/>
          <w:szCs w:val="24"/>
          <w:lang w:val="en-US" w:eastAsia="zh-CN" w:bidi="ar-SA"/>
        </w:rPr>
        <w:t>5、</w:t>
      </w:r>
      <w:r>
        <w:rPr>
          <w:rFonts w:hint="eastAsia" w:asciiTheme="minorEastAsia" w:hAnsiTheme="minorEastAsia" w:eastAsiaTheme="minorEastAsia" w:cstheme="minorEastAsia"/>
          <w:sz w:val="24"/>
          <w:szCs w:val="24"/>
          <w:lang w:val="en-US" w:eastAsia="zh-CN"/>
        </w:rPr>
        <w:t>给排水系统均从主立管开始计算，消火栓系统从室内外接驳处开始计算，均按图纸计算到位；</w:t>
      </w:r>
    </w:p>
    <w:p w14:paraId="147C29FE">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napToGrid w:val="0"/>
          <w:color w:val="000000"/>
          <w:sz w:val="24"/>
          <w:szCs w:val="24"/>
          <w:lang w:val="en-US" w:eastAsia="zh-CN" w:bidi="ar-SA"/>
        </w:rPr>
        <w:t>6、</w:t>
      </w:r>
      <w:r>
        <w:rPr>
          <w:rFonts w:hint="eastAsia" w:asciiTheme="minorEastAsia" w:hAnsiTheme="minorEastAsia" w:eastAsiaTheme="minorEastAsia" w:cstheme="minorEastAsia"/>
          <w:sz w:val="24"/>
          <w:szCs w:val="24"/>
          <w:lang w:val="en-US" w:eastAsia="zh-CN"/>
        </w:rPr>
        <w:t>给排水立管穿楼板处按设计回复未计算楼板开洞，消火栓立管穿楼板处均按图纸计算楼板开洞、堵洞；</w:t>
      </w:r>
    </w:p>
    <w:p w14:paraId="5C84737F">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napToGrid w:val="0"/>
          <w:color w:val="000000"/>
          <w:sz w:val="24"/>
          <w:szCs w:val="24"/>
          <w:lang w:val="en-US" w:eastAsia="zh-CN" w:bidi="ar-SA"/>
        </w:rPr>
        <w:t>7、</w:t>
      </w:r>
      <w:r>
        <w:rPr>
          <w:rFonts w:hint="eastAsia" w:asciiTheme="minorEastAsia" w:hAnsiTheme="minorEastAsia" w:eastAsiaTheme="minorEastAsia" w:cstheme="minorEastAsia"/>
          <w:sz w:val="24"/>
          <w:szCs w:val="24"/>
          <w:lang w:val="en-US" w:eastAsia="zh-CN"/>
        </w:rPr>
        <w:t>电气系统从总配电箱开始计算，风扇及风扇调速开关主材按利旧计算；</w:t>
      </w:r>
    </w:p>
    <w:p w14:paraId="76D05B85">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napToGrid w:val="0"/>
          <w:color w:val="000000"/>
          <w:sz w:val="24"/>
          <w:szCs w:val="24"/>
          <w:lang w:val="en-US" w:eastAsia="zh-CN" w:bidi="ar-SA"/>
        </w:rPr>
        <w:t>8、</w:t>
      </w:r>
      <w:r>
        <w:rPr>
          <w:rFonts w:hint="eastAsia" w:asciiTheme="minorEastAsia" w:hAnsiTheme="minorEastAsia" w:eastAsiaTheme="minorEastAsia" w:cstheme="minorEastAsia"/>
          <w:sz w:val="24"/>
          <w:szCs w:val="24"/>
          <w:lang w:val="en-US" w:eastAsia="zh-CN"/>
        </w:rPr>
        <w:t>弱电系统从二层电子阅览室弱电箱开始计算；</w:t>
      </w:r>
    </w:p>
    <w:p w14:paraId="1A10DBF2">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napToGrid w:val="0"/>
          <w:color w:val="000000"/>
          <w:sz w:val="24"/>
          <w:szCs w:val="24"/>
          <w:lang w:val="en-US" w:eastAsia="zh-CN" w:bidi="ar-SA"/>
        </w:rPr>
        <w:t>9、</w:t>
      </w:r>
      <w:r>
        <w:rPr>
          <w:rFonts w:hint="eastAsia" w:asciiTheme="minorEastAsia" w:hAnsiTheme="minorEastAsia" w:eastAsiaTheme="minorEastAsia" w:cstheme="minorEastAsia"/>
          <w:sz w:val="24"/>
          <w:szCs w:val="24"/>
          <w:lang w:val="en-US" w:eastAsia="zh-CN"/>
        </w:rPr>
        <w:t>消防报警系统按图纸计算消控室新增设备，独立式感烟探测器不在计算范围，水箱液位显示线计算至墙外1.5m；</w:t>
      </w:r>
    </w:p>
    <w:p w14:paraId="7C76ABA6">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napToGrid w:val="0"/>
          <w:color w:val="000000"/>
          <w:sz w:val="24"/>
          <w:szCs w:val="24"/>
          <w:lang w:val="en-US" w:eastAsia="zh-CN" w:bidi="ar-SA"/>
        </w:rPr>
        <w:t>10、</w:t>
      </w:r>
      <w:r>
        <w:rPr>
          <w:rFonts w:hint="eastAsia" w:asciiTheme="minorEastAsia" w:hAnsiTheme="minorEastAsia" w:eastAsiaTheme="minorEastAsia" w:cstheme="minorEastAsia"/>
          <w:sz w:val="24"/>
          <w:szCs w:val="24"/>
          <w:lang w:val="en-US" w:eastAsia="zh-CN"/>
        </w:rPr>
        <w:t>电气、给排水、消火栓系统的现状拆除部分，拆除工程量均按图纸新建工程量计算，结算按实调整；</w:t>
      </w:r>
    </w:p>
    <w:p w14:paraId="3BD5B6C9">
      <w:pPr>
        <w:numPr>
          <w:ilvl w:val="0"/>
          <w:numId w:val="0"/>
        </w:numPr>
        <w:bidi w:val="0"/>
        <w:spacing w:line="360" w:lineRule="auto"/>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napToGrid w:val="0"/>
          <w:color w:val="000000"/>
          <w:sz w:val="24"/>
          <w:szCs w:val="24"/>
          <w:lang w:val="en-US" w:eastAsia="zh-CN" w:bidi="ar-SA"/>
        </w:rPr>
        <w:t>11、</w:t>
      </w:r>
      <w:r>
        <w:rPr>
          <w:rFonts w:hint="eastAsia" w:asciiTheme="minorEastAsia" w:hAnsiTheme="minorEastAsia" w:eastAsiaTheme="minorEastAsia" w:cstheme="minorEastAsia"/>
          <w:sz w:val="24"/>
          <w:szCs w:val="24"/>
          <w:lang w:val="en-US" w:eastAsia="zh-CN"/>
        </w:rPr>
        <w:t>弱电、消防报警及应急照明系统均为新增内容，未计算拆除。</w:t>
      </w:r>
    </w:p>
    <w:p w14:paraId="4B807F8B">
      <w:pPr>
        <w:widowControl w:val="0"/>
        <w:kinsoku/>
        <w:autoSpaceDE/>
        <w:autoSpaceDN/>
        <w:spacing w:line="360" w:lineRule="auto"/>
        <w:textAlignment w:val="auto"/>
        <w:rPr>
          <w:color w:val="auto"/>
          <w:sz w:val="24"/>
          <w:szCs w:val="24"/>
          <w:highlight w:val="none"/>
        </w:rPr>
      </w:pPr>
      <w:r>
        <w:rPr>
          <w:rFonts w:hint="eastAsia" w:ascii="宋体" w:hAnsi="宋体" w:cs="宋体"/>
          <w:b/>
          <w:sz w:val="24"/>
          <w:lang w:eastAsia="zh-CN"/>
        </w:rPr>
        <w:t>注：</w:t>
      </w:r>
      <w:bookmarkStart w:id="0" w:name="_Toc104885486"/>
      <w:bookmarkStart w:id="1" w:name="_Toc104885440"/>
      <w:r>
        <w:rPr>
          <w:rFonts w:hint="eastAsia" w:ascii="宋体" w:hAnsi="宋体" w:cs="宋体"/>
          <w:b/>
          <w:sz w:val="24"/>
          <w:lang w:eastAsia="zh-CN"/>
        </w:rPr>
        <w:t>以上技术要求</w:t>
      </w:r>
      <w:r>
        <w:rPr>
          <w:rFonts w:hint="eastAsia" w:ascii="宋体" w:hAnsi="宋体" w:eastAsia="宋体" w:cs="宋体"/>
          <w:b/>
          <w:sz w:val="24"/>
          <w:lang w:eastAsia="zh-CN"/>
        </w:rPr>
        <w:t>供应商</w:t>
      </w:r>
      <w:r>
        <w:rPr>
          <w:rFonts w:hint="eastAsia" w:ascii="宋体" w:hAnsi="宋体" w:cs="宋体"/>
          <w:b/>
          <w:sz w:val="24"/>
          <w:lang w:eastAsia="zh-CN"/>
        </w:rPr>
        <w:t>必须完全响应，否则作无效响应文件处理。</w:t>
      </w:r>
      <w:bookmarkEnd w:id="0"/>
      <w:bookmarkEnd w:id="1"/>
    </w:p>
    <w:p w14:paraId="4FB4DCEB">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华文宋体">
    <w:panose1 w:val="02010600040101010101"/>
    <w:charset w:val="86"/>
    <w:family w:val="auto"/>
    <w:pitch w:val="default"/>
    <w:sig w:usb0="00000287" w:usb1="080F0000" w:usb2="00000000" w:usb3="00000000" w:csb0="0004009F" w:csb1="DFD7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9C66E6"/>
    <w:rsid w:val="060630DA"/>
    <w:rsid w:val="179C66E6"/>
    <w:rsid w:val="203D487E"/>
    <w:rsid w:val="39317417"/>
    <w:rsid w:val="664A7B2F"/>
    <w:rsid w:val="6FA152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3"/>
    <w:basedOn w:val="1"/>
    <w:next w:val="1"/>
    <w:semiHidden/>
    <w:unhideWhenUsed/>
    <w:qFormat/>
    <w:uiPriority w:val="0"/>
    <w:pPr>
      <w:spacing w:before="0" w:beforeAutospacing="0" w:after="0" w:afterAutospacing="0" w:line="360" w:lineRule="auto"/>
      <w:jc w:val="left"/>
      <w:outlineLvl w:val="2"/>
    </w:pPr>
    <w:rPr>
      <w:rFonts w:hint="eastAsia" w:ascii="宋体" w:hAnsi="宋体" w:eastAsia="宋体" w:cs="宋体"/>
      <w:b/>
      <w:kern w:val="0"/>
      <w:sz w:val="27"/>
      <w:szCs w:val="27"/>
      <w:lang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pPr>
      <w:spacing w:after="120" w:afterLines="0" w:afterAutospacing="0"/>
    </w:pPr>
  </w:style>
  <w:style w:type="paragraph" w:styleId="4">
    <w:name w:val="toc 1"/>
    <w:basedOn w:val="1"/>
    <w:next w:val="1"/>
    <w:qFormat/>
    <w:uiPriority w:val="0"/>
    <w:rPr>
      <w:rFonts w:ascii="微软雅黑" w:hAnsi="微软雅黑" w:eastAsia="华文宋体" w:cs="Times New Roman"/>
      <w:kern w:val="2"/>
      <w:sz w:val="24"/>
      <w:szCs w:val="22"/>
      <w:lang w:eastAsia="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2026-06-29T10:11:00Z</dcterms:created>
  <dc:creator>jxhwt</dc:creator>
  <cp:lastModifiedBy>jxhwt</cp:lastModifiedBy>
  <dcterms:modified xsi:type="dcterms:W3CDTF">2026-06-29T10:11:48Z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F159E64076DE46658C9F8D2C7486084E_11</vt:lpwstr>
  </property>
  <property fmtid="{D5CDD505-2E9C-101B-9397-08002B2CF9AE}" pid="4" name="KSOTemplateDocerSaveRecord">
    <vt:lpwstr>eyJoZGlkIjoiMTJiNjhmMTU0ODk4ODM3ZmIwMzIzMWQ2NGUzODhlOWQiLCJ1c2VySWQiOiIzNDg3MDcyOTIifQ==</vt:lpwstr>
  </property>
</Properties>
</file>