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505F6C">
      <w:pPr>
        <w:pStyle w:val="2"/>
        <w:numPr>
          <w:ilvl w:val="0"/>
          <w:numId w:val="0"/>
        </w:numPr>
        <w:rPr>
          <w:rFonts w:hint="eastAsia" w:ascii="仿宋" w:hAnsi="仿宋" w:eastAsia="仿宋" w:cs="仿宋"/>
          <w:color w:val="000000" w:themeColor="text1"/>
          <w:highlight w:val="none"/>
          <w14:textFill>
            <w14:solidFill>
              <w14:schemeClr w14:val="tx1"/>
            </w14:solidFill>
          </w14:textFill>
        </w:rPr>
      </w:pPr>
      <w:bookmarkStart w:id="0" w:name="_Toc29249"/>
      <w:bookmarkStart w:id="1" w:name="_Toc22086"/>
      <w:bookmarkStart w:id="2" w:name="_Toc26857"/>
      <w:r>
        <w:rPr>
          <w:rFonts w:hint="eastAsia" w:ascii="仿宋" w:hAnsi="仿宋" w:eastAsia="仿宋" w:cs="仿宋"/>
          <w:b/>
          <w:bCs/>
          <w:color w:val="000000" w:themeColor="text1"/>
          <w:kern w:val="28"/>
          <w:sz w:val="32"/>
          <w:szCs w:val="32"/>
          <w:highlight w:val="none"/>
          <w:lang w:val="en-US" w:eastAsia="zh-CN" w:bidi="ar-SA"/>
          <w14:textFill>
            <w14:solidFill>
              <w14:schemeClr w14:val="tx1"/>
            </w14:solidFill>
          </w14:textFill>
        </w:rPr>
        <w:t>二、</w:t>
      </w:r>
      <w:r>
        <w:rPr>
          <w:rFonts w:hint="eastAsia" w:ascii="仿宋" w:hAnsi="仿宋" w:eastAsia="仿宋" w:cs="仿宋"/>
          <w:color w:val="000000" w:themeColor="text1"/>
          <w:highlight w:val="none"/>
          <w14:textFill>
            <w14:solidFill>
              <w14:schemeClr w14:val="tx1"/>
            </w14:solidFill>
          </w14:textFill>
        </w:rPr>
        <w:t>技术指标及要求</w:t>
      </w:r>
      <w:bookmarkEnd w:id="0"/>
      <w:bookmarkEnd w:id="1"/>
      <w:bookmarkEnd w:id="2"/>
    </w:p>
    <w:p w14:paraId="55DA1C66">
      <w:pPr>
        <w:numPr>
          <w:ilvl w:val="0"/>
          <w:numId w:val="0"/>
        </w:numPr>
        <w:spacing w:line="360" w:lineRule="auto"/>
        <w:rPr>
          <w:rFonts w:hint="eastAsia" w:ascii="仿宋" w:hAnsi="仿宋" w:eastAsia="仿宋"/>
          <w:b/>
          <w:bCs/>
          <w:color w:val="000000" w:themeColor="text1"/>
          <w:sz w:val="24"/>
          <w:szCs w:val="24"/>
          <w:highlight w:val="none"/>
          <w:vertAlign w:val="baseline"/>
          <w14:textFill>
            <w14:solidFill>
              <w14:schemeClr w14:val="tx1"/>
            </w14:solidFill>
          </w14:textFill>
        </w:rPr>
      </w:pPr>
      <w:r>
        <w:rPr>
          <w:rFonts w:hint="eastAsia" w:ascii="仿宋" w:hAnsi="仿宋" w:eastAsia="仿宋"/>
          <w:b/>
          <w:bCs/>
          <w:color w:val="000000" w:themeColor="text1"/>
          <w:sz w:val="24"/>
          <w:szCs w:val="24"/>
          <w:highlight w:val="none"/>
          <w:vertAlign w:val="baseline"/>
          <w14:textFill>
            <w14:solidFill>
              <w14:schemeClr w14:val="tx1"/>
            </w14:solidFill>
          </w14:textFill>
        </w:rPr>
        <w:t>1、</w:t>
      </w:r>
      <w:r>
        <w:rPr>
          <w:rFonts w:hint="eastAsia" w:ascii="仿宋" w:hAnsi="仿宋" w:eastAsia="仿宋"/>
          <w:b/>
          <w:bCs/>
          <w:color w:val="000000" w:themeColor="text1"/>
          <w:sz w:val="24"/>
          <w:szCs w:val="24"/>
          <w:highlight w:val="none"/>
          <w:vertAlign w:val="baseline"/>
          <w:lang w:val="en-US" w:eastAsia="zh-CN"/>
          <w14:textFill>
            <w14:solidFill>
              <w14:schemeClr w14:val="tx1"/>
            </w14:solidFill>
          </w14:textFill>
        </w:rPr>
        <w:t>纸质图书</w:t>
      </w:r>
      <w:r>
        <w:rPr>
          <w:rFonts w:hint="eastAsia" w:ascii="仿宋" w:hAnsi="仿宋" w:eastAsia="仿宋"/>
          <w:b/>
          <w:bCs/>
          <w:color w:val="000000" w:themeColor="text1"/>
          <w:sz w:val="24"/>
          <w:szCs w:val="24"/>
          <w:highlight w:val="none"/>
          <w:vertAlign w:val="baseline"/>
          <w14:textFill>
            <w14:solidFill>
              <w14:schemeClr w14:val="tx1"/>
            </w14:solidFill>
          </w14:textFill>
        </w:rPr>
        <w:t>采购要求</w:t>
      </w:r>
    </w:p>
    <w:p w14:paraId="4D0106D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14:textFill>
            <w14:solidFill>
              <w14:schemeClr w14:val="tx1"/>
            </w14:solidFill>
          </w14:textFill>
        </w:rPr>
        <w:t>1.1供应商所提供的图书的价格为包干价，包括运费、税费、售后服务费以及加工服务各环节涉及到的材料费（包含磁条、书标、条形码等）及人工费等为完成本项目所涉及的所有费用和税金。</w:t>
      </w:r>
    </w:p>
    <w:p w14:paraId="2832FCF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14:textFill>
            <w14:solidFill>
              <w14:schemeClr w14:val="tx1"/>
            </w14:solidFill>
          </w14:textFill>
        </w:rPr>
        <w:t>1.2供应商必须从合同签定当天起及时进行订购处理，并按</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采购人</w:t>
      </w:r>
      <w:r>
        <w:rPr>
          <w:rFonts w:hint="eastAsia" w:ascii="仿宋" w:hAnsi="仿宋" w:eastAsia="仿宋"/>
          <w:color w:val="000000" w:themeColor="text1"/>
          <w:sz w:val="24"/>
          <w:szCs w:val="24"/>
          <w:highlight w:val="none"/>
          <w:vertAlign w:val="baseline"/>
          <w14:textFill>
            <w14:solidFill>
              <w14:schemeClr w14:val="tx1"/>
            </w14:solidFill>
          </w14:textFill>
        </w:rPr>
        <w:t>要求将加工好的图书及时发送到采购人指定地点，工作内容包括：拆包清点、图书管理系统验收、加盖馆藏章、粘贴磁条、粘贴条码并覆膜、编目数据处理、粘贴书标并覆膜、典藏分配库室、排架及上架等。</w:t>
      </w:r>
    </w:p>
    <w:p w14:paraId="383A555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14:textFill>
            <w14:solidFill>
              <w14:schemeClr w14:val="tx1"/>
            </w14:solidFill>
          </w14:textFill>
        </w:rPr>
        <w:t>1.3</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纸质</w:t>
      </w:r>
      <w:r>
        <w:rPr>
          <w:rFonts w:hint="eastAsia" w:ascii="仿宋" w:hAnsi="仿宋" w:eastAsia="仿宋"/>
          <w:color w:val="000000" w:themeColor="text1"/>
          <w:sz w:val="24"/>
          <w:szCs w:val="24"/>
          <w:highlight w:val="none"/>
          <w:vertAlign w:val="baseline"/>
          <w14:textFill>
            <w14:solidFill>
              <w14:schemeClr w14:val="tx1"/>
            </w14:solidFill>
          </w14:textFill>
        </w:rPr>
        <w:t>图书采购实洋为</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1600000</w:t>
      </w:r>
      <w:r>
        <w:rPr>
          <w:rFonts w:hint="eastAsia" w:ascii="仿宋" w:hAnsi="仿宋" w:eastAsia="仿宋"/>
          <w:color w:val="000000" w:themeColor="text1"/>
          <w:sz w:val="24"/>
          <w:szCs w:val="24"/>
          <w:highlight w:val="none"/>
          <w:vertAlign w:val="baseline"/>
          <w14:textFill>
            <w14:solidFill>
              <w14:schemeClr w14:val="tx1"/>
            </w14:solidFill>
          </w14:textFill>
        </w:rPr>
        <w:t>元，以中图法分类中的T（工业技术）、U（交通运输）、O（数理科学/化学）、V（航空、航天）、X（环境科学、安全科学）</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w:t>
      </w:r>
      <w:r>
        <w:rPr>
          <w:rFonts w:hint="eastAsia" w:ascii="仿宋" w:hAnsi="仿宋" w:eastAsia="仿宋"/>
          <w:color w:val="000000" w:themeColor="text1"/>
          <w:sz w:val="24"/>
          <w:szCs w:val="24"/>
          <w:highlight w:val="none"/>
          <w:vertAlign w:val="baseline"/>
          <w14:textFill>
            <w14:solidFill>
              <w14:schemeClr w14:val="tx1"/>
            </w14:solidFill>
          </w14:textFill>
        </w:rPr>
        <w:t>G（文化、科学、教育）、N（自然科学总论）、P（天文学、地球科学）为主</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占比不低于60%，</w:t>
      </w:r>
      <w:r>
        <w:rPr>
          <w:rFonts w:hint="eastAsia" w:ascii="仿宋" w:hAnsi="仿宋" w:eastAsia="仿宋"/>
          <w:color w:val="000000" w:themeColor="text1"/>
          <w:sz w:val="24"/>
          <w:szCs w:val="24"/>
          <w:highlight w:val="none"/>
          <w:vertAlign w:val="baseline"/>
          <w14:textFill>
            <w14:solidFill>
              <w14:schemeClr w14:val="tx1"/>
            </w14:solidFill>
          </w14:textFill>
        </w:rPr>
        <w:t>复本量为</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3-8</w:t>
      </w:r>
      <w:r>
        <w:rPr>
          <w:rFonts w:hint="eastAsia" w:ascii="仿宋" w:hAnsi="仿宋" w:eastAsia="仿宋"/>
          <w:color w:val="000000" w:themeColor="text1"/>
          <w:sz w:val="24"/>
          <w:szCs w:val="24"/>
          <w:highlight w:val="none"/>
          <w:vertAlign w:val="baseline"/>
          <w14:textFill>
            <w14:solidFill>
              <w14:schemeClr w14:val="tx1"/>
            </w14:solidFill>
          </w14:textFill>
        </w:rPr>
        <w:t>册，总量不少于</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10.6</w:t>
      </w:r>
      <w:r>
        <w:rPr>
          <w:rFonts w:hint="eastAsia" w:ascii="仿宋" w:hAnsi="仿宋" w:eastAsia="仿宋"/>
          <w:color w:val="000000" w:themeColor="text1"/>
          <w:sz w:val="24"/>
          <w:szCs w:val="24"/>
          <w:highlight w:val="none"/>
          <w:vertAlign w:val="baseline"/>
          <w14:textFill>
            <w14:solidFill>
              <w14:schemeClr w14:val="tx1"/>
            </w14:solidFill>
          </w14:textFill>
        </w:rPr>
        <w:t>万册。采购图书必须是各正规出版社2012年以后出版全新、正版中文图书。</w:t>
      </w:r>
    </w:p>
    <w:p w14:paraId="333A884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14:textFill>
            <w14:solidFill>
              <w14:schemeClr w14:val="tx1"/>
            </w14:solidFill>
          </w14:textFill>
        </w:rPr>
        <w:t>1.4</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供应商</w:t>
      </w:r>
      <w:r>
        <w:rPr>
          <w:rFonts w:hint="eastAsia" w:ascii="仿宋" w:hAnsi="仿宋" w:eastAsia="仿宋"/>
          <w:color w:val="000000" w:themeColor="text1"/>
          <w:sz w:val="24"/>
          <w:szCs w:val="24"/>
          <w:highlight w:val="none"/>
          <w:vertAlign w:val="baseline"/>
          <w14:textFill>
            <w14:solidFill>
              <w14:schemeClr w14:val="tx1"/>
            </w14:solidFill>
          </w14:textFill>
        </w:rPr>
        <w:t>须承诺中标后在合同期间组织采购人参加至少一次包括全国大型图书集散地现采、出版社现采和全国大型图书展销会或订货会在内的现采活动，并安排技术人员配备采集器等必要设备，解决好现场采访的组织协调和技术问题。须提供现场采购查重系统，能够即时提供完整的现场采购书目并生成MARC格式，以便采购人方便地生成预订图书目录数据库。</w:t>
      </w:r>
    </w:p>
    <w:p w14:paraId="188D9F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14:textFill>
            <w14:solidFill>
              <w14:schemeClr w14:val="tx1"/>
            </w14:solidFill>
          </w14:textFill>
        </w:rPr>
        <w:t>1.5图书采购以现场采购与订单采购相结合的方式，</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供应商</w:t>
      </w:r>
      <w:r>
        <w:rPr>
          <w:rFonts w:hint="eastAsia" w:ascii="仿宋" w:hAnsi="仿宋" w:eastAsia="仿宋"/>
          <w:color w:val="000000" w:themeColor="text1"/>
          <w:sz w:val="24"/>
          <w:szCs w:val="24"/>
          <w:highlight w:val="none"/>
          <w:vertAlign w:val="baseline"/>
          <w14:textFill>
            <w14:solidFill>
              <w14:schemeClr w14:val="tx1"/>
            </w14:solidFill>
          </w14:textFill>
        </w:rPr>
        <w:t>应具有供货渠道和全品种供货的能力。</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成交供应商</w:t>
      </w:r>
      <w:r>
        <w:rPr>
          <w:rFonts w:hint="eastAsia" w:ascii="仿宋" w:hAnsi="仿宋" w:eastAsia="仿宋"/>
          <w:color w:val="000000" w:themeColor="text1"/>
          <w:sz w:val="24"/>
          <w:szCs w:val="24"/>
          <w:highlight w:val="none"/>
          <w:vertAlign w:val="baseline"/>
          <w14:textFill>
            <w14:solidFill>
              <w14:schemeClr w14:val="tx1"/>
            </w14:solidFill>
          </w14:textFill>
        </w:rPr>
        <w:t>须按采购人要求提供相应专题书目，能按采购人专业文献建设需要和馆藏要求组织预订书目数据供采购人挑选。</w:t>
      </w:r>
    </w:p>
    <w:p w14:paraId="3F12E16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14:textFill>
            <w14:solidFill>
              <w14:schemeClr w14:val="tx1"/>
            </w14:solidFill>
          </w14:textFill>
        </w:rPr>
        <w:t>1.6必须对采购人立户建立订单数据库，对每次订单进行查重，对发现订重的图书，若未经确认，一律由</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成交供应商</w:t>
      </w:r>
      <w:r>
        <w:rPr>
          <w:rFonts w:hint="eastAsia" w:ascii="仿宋" w:hAnsi="仿宋" w:eastAsia="仿宋"/>
          <w:color w:val="000000" w:themeColor="text1"/>
          <w:sz w:val="24"/>
          <w:szCs w:val="24"/>
          <w:highlight w:val="none"/>
          <w:vertAlign w:val="baseline"/>
          <w14:textFill>
            <w14:solidFill>
              <w14:schemeClr w14:val="tx1"/>
            </w14:solidFill>
          </w14:textFill>
        </w:rPr>
        <w:t>承担各项经济损失。</w:t>
      </w:r>
    </w:p>
    <w:p w14:paraId="66B5ABF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14:textFill>
            <w14:solidFill>
              <w14:schemeClr w14:val="tx1"/>
            </w14:solidFill>
          </w14:textFill>
        </w:rPr>
        <w:t>1.7在图书采购环节中，</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成交供应商</w:t>
      </w:r>
      <w:r>
        <w:rPr>
          <w:rFonts w:hint="eastAsia" w:ascii="仿宋" w:hAnsi="仿宋" w:eastAsia="仿宋"/>
          <w:color w:val="000000" w:themeColor="text1"/>
          <w:sz w:val="24"/>
          <w:szCs w:val="24"/>
          <w:highlight w:val="none"/>
          <w:vertAlign w:val="baseline"/>
          <w14:textFill>
            <w14:solidFill>
              <w14:schemeClr w14:val="tx1"/>
            </w14:solidFill>
          </w14:textFill>
        </w:rPr>
        <w:t>必须保证书目数据的题名、作者、出版社、出版时间、ISBN等信息的准确性，且无政治立场、意识形态、历史争议、民族宗教等方面的问题,及时发现并处理图书采购过程中存在的意识形态安全隐患。</w:t>
      </w:r>
    </w:p>
    <w:p w14:paraId="6C940E3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14:textFill>
            <w14:solidFill>
              <w14:schemeClr w14:val="tx1"/>
            </w14:solidFill>
          </w14:textFill>
        </w:rPr>
        <w:t>1.8</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成交供应商</w:t>
      </w:r>
      <w:r>
        <w:rPr>
          <w:rFonts w:hint="eastAsia" w:ascii="仿宋" w:hAnsi="仿宋" w:eastAsia="仿宋"/>
          <w:color w:val="000000" w:themeColor="text1"/>
          <w:sz w:val="24"/>
          <w:szCs w:val="24"/>
          <w:highlight w:val="none"/>
          <w:vertAlign w:val="baseline"/>
          <w14:textFill>
            <w14:solidFill>
              <w14:schemeClr w14:val="tx1"/>
            </w14:solidFill>
          </w14:textFill>
        </w:rPr>
        <w:t>必须按采购人规定要求加工图书</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加工要求同“4、图书加工要求”</w:t>
      </w:r>
      <w:r>
        <w:rPr>
          <w:rFonts w:hint="eastAsia" w:ascii="仿宋" w:hAnsi="仿宋" w:eastAsia="仿宋"/>
          <w:color w:val="000000" w:themeColor="text1"/>
          <w:sz w:val="24"/>
          <w:szCs w:val="24"/>
          <w:highlight w:val="none"/>
          <w:vertAlign w:val="baseline"/>
          <w14:textFill>
            <w14:solidFill>
              <w14:schemeClr w14:val="tx1"/>
            </w14:solidFill>
          </w14:textFill>
        </w:rPr>
        <w:t>，并</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在</w:t>
      </w:r>
      <w:r>
        <w:rPr>
          <w:rFonts w:hint="eastAsia" w:ascii="仿宋" w:hAnsi="仿宋" w:eastAsia="仿宋"/>
          <w:color w:val="000000" w:themeColor="text1"/>
          <w:sz w:val="24"/>
          <w:szCs w:val="24"/>
          <w:highlight w:val="none"/>
          <w:vertAlign w:val="baseline"/>
          <w14:textFill>
            <w14:solidFill>
              <w14:schemeClr w14:val="tx1"/>
            </w14:solidFill>
          </w14:textFill>
        </w:rPr>
        <w:t>合同签订后</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三</w:t>
      </w:r>
      <w:r>
        <w:rPr>
          <w:rFonts w:hint="eastAsia" w:ascii="仿宋" w:hAnsi="仿宋" w:eastAsia="仿宋"/>
          <w:color w:val="000000" w:themeColor="text1"/>
          <w:sz w:val="24"/>
          <w:szCs w:val="24"/>
          <w:highlight w:val="none"/>
          <w:vertAlign w:val="baseline"/>
          <w14:textFill>
            <w14:solidFill>
              <w14:schemeClr w14:val="tx1"/>
            </w14:solidFill>
          </w14:textFill>
        </w:rPr>
        <w:t>个月内免费将图书运送至库房指定位置，分类</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上架</w:t>
      </w:r>
      <w:r>
        <w:rPr>
          <w:rFonts w:hint="eastAsia" w:ascii="仿宋" w:hAnsi="仿宋" w:eastAsia="仿宋"/>
          <w:color w:val="000000" w:themeColor="text1"/>
          <w:sz w:val="24"/>
          <w:szCs w:val="24"/>
          <w:highlight w:val="none"/>
          <w:vertAlign w:val="baseline"/>
          <w14:textFill>
            <w14:solidFill>
              <w14:schemeClr w14:val="tx1"/>
            </w14:solidFill>
          </w14:textFill>
        </w:rPr>
        <w:t>。</w:t>
      </w:r>
    </w:p>
    <w:p w14:paraId="59B406B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14:textFill>
            <w14:solidFill>
              <w14:schemeClr w14:val="tx1"/>
            </w14:solidFill>
          </w14:textFill>
        </w:rPr>
        <w:t>1.9</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成交供应商</w:t>
      </w:r>
      <w:r>
        <w:rPr>
          <w:rFonts w:hint="eastAsia" w:ascii="仿宋" w:hAnsi="仿宋" w:eastAsia="仿宋"/>
          <w:color w:val="000000" w:themeColor="text1"/>
          <w:sz w:val="24"/>
          <w:szCs w:val="24"/>
          <w:highlight w:val="none"/>
          <w:vertAlign w:val="baseline"/>
          <w14:textFill>
            <w14:solidFill>
              <w14:schemeClr w14:val="tx1"/>
            </w14:solidFill>
          </w14:textFill>
        </w:rPr>
        <w:t>必须按采购人订购的图书品种、数量及时供货，除推迟出版或出版社缺货或发生影响合同履行的不可抗力情况以外，如果供应商没有按照合同规定或采购人同意延长的时间交货，每延期一天，供应商须向采购人按订购图书款总额的0.</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05</w:t>
      </w:r>
      <w:r>
        <w:rPr>
          <w:rFonts w:hint="eastAsia" w:ascii="仿宋" w:hAnsi="仿宋" w:eastAsia="仿宋"/>
          <w:color w:val="000000" w:themeColor="text1"/>
          <w:sz w:val="24"/>
          <w:szCs w:val="24"/>
          <w:highlight w:val="none"/>
          <w:vertAlign w:val="baseline"/>
          <w14:textFill>
            <w14:solidFill>
              <w14:schemeClr w14:val="tx1"/>
            </w14:solidFill>
          </w14:textFill>
        </w:rPr>
        <w:t>％交付滞纳金</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因此</w:t>
      </w:r>
      <w:r>
        <w:rPr>
          <w:rFonts w:hint="eastAsia" w:ascii="仿宋" w:hAnsi="仿宋" w:eastAsia="仿宋"/>
          <w:color w:val="000000" w:themeColor="text1"/>
          <w:sz w:val="24"/>
          <w:szCs w:val="24"/>
          <w:highlight w:val="none"/>
          <w:vertAlign w:val="baseline"/>
          <w14:textFill>
            <w14:solidFill>
              <w14:schemeClr w14:val="tx1"/>
            </w14:solidFill>
          </w14:textFill>
        </w:rPr>
        <w:t>造成的损失由</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成交</w:t>
      </w:r>
      <w:r>
        <w:rPr>
          <w:rFonts w:hint="eastAsia" w:ascii="仿宋" w:hAnsi="仿宋" w:eastAsia="仿宋"/>
          <w:color w:val="000000" w:themeColor="text1"/>
          <w:sz w:val="24"/>
          <w:szCs w:val="24"/>
          <w:highlight w:val="none"/>
          <w:vertAlign w:val="baseline"/>
          <w14:textFill>
            <w14:solidFill>
              <w14:schemeClr w14:val="tx1"/>
            </w14:solidFill>
          </w14:textFill>
        </w:rPr>
        <w:t>供应商承担。采购人有权采取相应的补救措施（如直接向出版商邮购图书或向其他供货商补订图书），由此给采购人造成的各项损失或增加的各项费用（如折扣损失、邮费、数据费、加工费）等均由违约的</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成交供应商</w:t>
      </w:r>
      <w:r>
        <w:rPr>
          <w:rFonts w:hint="eastAsia" w:ascii="仿宋" w:hAnsi="仿宋" w:eastAsia="仿宋"/>
          <w:color w:val="000000" w:themeColor="text1"/>
          <w:sz w:val="24"/>
          <w:szCs w:val="24"/>
          <w:highlight w:val="none"/>
          <w:vertAlign w:val="baseline"/>
          <w14:textFill>
            <w14:solidFill>
              <w14:schemeClr w14:val="tx1"/>
            </w14:solidFill>
          </w14:textFill>
        </w:rPr>
        <w:t>承担。</w:t>
      </w:r>
    </w:p>
    <w:p w14:paraId="74306A3F">
      <w:pPr>
        <w:numPr>
          <w:ilvl w:val="0"/>
          <w:numId w:val="0"/>
        </w:numPr>
        <w:spacing w:line="360" w:lineRule="auto"/>
        <w:rPr>
          <w:rFonts w:hint="eastAsia" w:ascii="仿宋" w:hAnsi="仿宋" w:eastAsia="仿宋"/>
          <w:b/>
          <w:bCs/>
          <w:color w:val="000000" w:themeColor="text1"/>
          <w:sz w:val="24"/>
          <w:szCs w:val="24"/>
          <w:highlight w:val="none"/>
          <w:vertAlign w:val="baseline"/>
          <w14:textFill>
            <w14:solidFill>
              <w14:schemeClr w14:val="tx1"/>
            </w14:solidFill>
          </w14:textFill>
        </w:rPr>
      </w:pPr>
      <w:r>
        <w:rPr>
          <w:rFonts w:hint="eastAsia" w:ascii="仿宋" w:hAnsi="仿宋" w:eastAsia="仿宋"/>
          <w:b/>
          <w:bCs/>
          <w:color w:val="000000" w:themeColor="text1"/>
          <w:sz w:val="24"/>
          <w:szCs w:val="24"/>
          <w:highlight w:val="none"/>
          <w:vertAlign w:val="baseline"/>
          <w14:textFill>
            <w14:solidFill>
              <w14:schemeClr w14:val="tx1"/>
            </w14:solidFill>
          </w14:textFill>
        </w:rPr>
        <w:t>2、图书质量要求</w:t>
      </w:r>
    </w:p>
    <w:p w14:paraId="32BC8F1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14:textFill>
            <w14:solidFill>
              <w14:schemeClr w14:val="tx1"/>
            </w14:solidFill>
          </w14:textFill>
        </w:rPr>
        <w:t>2.1供应商必须保证所供应的图书是经国家新闻出版署批准发行的正式出版物，不得夹杂盗版图书及其他类型非法出版物。如发现所供图书含有盗版图书或其他类型非法出版物，采购人有权拒付全部货款，立即终止合同并没收全部履约保证金，由此引起的一切经济损失和法律责任由</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成交供应商</w:t>
      </w:r>
      <w:r>
        <w:rPr>
          <w:rFonts w:hint="eastAsia" w:ascii="仿宋" w:hAnsi="仿宋" w:eastAsia="仿宋"/>
          <w:color w:val="000000" w:themeColor="text1"/>
          <w:sz w:val="24"/>
          <w:szCs w:val="24"/>
          <w:highlight w:val="none"/>
          <w:vertAlign w:val="baseline"/>
          <w14:textFill>
            <w14:solidFill>
              <w14:schemeClr w14:val="tx1"/>
            </w14:solidFill>
          </w14:textFill>
        </w:rPr>
        <w:t>承担。</w:t>
      </w:r>
    </w:p>
    <w:p w14:paraId="2C4C106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14:textFill>
            <w14:solidFill>
              <w14:schemeClr w14:val="tx1"/>
            </w14:solidFill>
          </w14:textFill>
        </w:rPr>
        <w:t>2.2不符合采购人馆藏及学科专业要求的图书包括但不限于：页数少于100页、开本小于32开、单册码洋超过150元、活页装订、挂图、乐谱、袋装书、影印版图书、试卷、外文图书、装帧怪异的图书、纯光盘载体、线装图书等。供应商在备货前应通知采购人进行确认；因供应商未及时通知而造成的所有损失，由供应商承担。</w:t>
      </w:r>
    </w:p>
    <w:p w14:paraId="22E13D0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14:textFill>
            <w14:solidFill>
              <w14:schemeClr w14:val="tx1"/>
            </w14:solidFill>
          </w14:textFill>
        </w:rPr>
        <w:t>2.3到书的书号、书名、版次、册数等必须与书目清单相符。如发现因出版社信息、预订信息不完整造成的不适合本馆收藏以及供应商原因造成的重订、错定等差错时，</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供应商</w:t>
      </w:r>
      <w:r>
        <w:rPr>
          <w:rFonts w:hint="eastAsia" w:ascii="仿宋" w:hAnsi="仿宋" w:eastAsia="仿宋"/>
          <w:color w:val="000000" w:themeColor="text1"/>
          <w:sz w:val="24"/>
          <w:szCs w:val="24"/>
          <w:highlight w:val="none"/>
          <w:vertAlign w:val="baseline"/>
          <w14:textFill>
            <w14:solidFill>
              <w14:schemeClr w14:val="tx1"/>
            </w14:solidFill>
          </w14:textFill>
        </w:rPr>
        <w:t>应保证无条件退货。因包装和运输过程造成的图书质量问题或经济损失，由</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供应商</w:t>
      </w:r>
      <w:r>
        <w:rPr>
          <w:rFonts w:hint="eastAsia" w:ascii="仿宋" w:hAnsi="仿宋" w:eastAsia="仿宋"/>
          <w:color w:val="000000" w:themeColor="text1"/>
          <w:sz w:val="24"/>
          <w:szCs w:val="24"/>
          <w:highlight w:val="none"/>
          <w:vertAlign w:val="baseline"/>
          <w14:textFill>
            <w14:solidFill>
              <w14:schemeClr w14:val="tx1"/>
            </w14:solidFill>
          </w14:textFill>
        </w:rPr>
        <w:t>承担。</w:t>
      </w:r>
    </w:p>
    <w:p w14:paraId="28FDB0D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14:textFill>
            <w14:solidFill>
              <w14:schemeClr w14:val="tx1"/>
            </w14:solidFill>
          </w14:textFill>
        </w:rPr>
        <w:t xml:space="preserve">2.4 </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供应商</w:t>
      </w:r>
      <w:r>
        <w:rPr>
          <w:rFonts w:hint="eastAsia" w:ascii="仿宋" w:hAnsi="仿宋" w:eastAsia="仿宋"/>
          <w:color w:val="000000" w:themeColor="text1"/>
          <w:sz w:val="24"/>
          <w:szCs w:val="24"/>
          <w:highlight w:val="none"/>
          <w:vertAlign w:val="baseline"/>
          <w14:textFill>
            <w14:solidFill>
              <w14:schemeClr w14:val="tx1"/>
            </w14:solidFill>
          </w14:textFill>
        </w:rPr>
        <w:t>应对有印刷、装订等质量问题和多订、重订的图书进行免费调换或退货，对于出现与订单不符和有污损、图文不清、开线、开胶、缺页、倒页、缺附件等质量不合格的图书，无论加工与否一律予以退换，不能以已加工为理由拒绝，由此造成的损失及费用由</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供应商</w:t>
      </w:r>
      <w:r>
        <w:rPr>
          <w:rFonts w:hint="eastAsia" w:ascii="仿宋" w:hAnsi="仿宋" w:eastAsia="仿宋"/>
          <w:color w:val="000000" w:themeColor="text1"/>
          <w:sz w:val="24"/>
          <w:szCs w:val="24"/>
          <w:highlight w:val="none"/>
          <w:vertAlign w:val="baseline"/>
          <w14:textFill>
            <w14:solidFill>
              <w14:schemeClr w14:val="tx1"/>
            </w14:solidFill>
          </w14:textFill>
        </w:rPr>
        <w:t>承担。</w:t>
      </w:r>
    </w:p>
    <w:p w14:paraId="1F389DEA">
      <w:pPr>
        <w:numPr>
          <w:ilvl w:val="0"/>
          <w:numId w:val="0"/>
        </w:numPr>
        <w:spacing w:line="360" w:lineRule="auto"/>
        <w:rPr>
          <w:rFonts w:hint="eastAsia" w:ascii="仿宋" w:hAnsi="仿宋" w:eastAsia="仿宋"/>
          <w:b/>
          <w:bCs/>
          <w:color w:val="000000" w:themeColor="text1"/>
          <w:sz w:val="24"/>
          <w:szCs w:val="24"/>
          <w:highlight w:val="none"/>
          <w:vertAlign w:val="baseline"/>
          <w14:textFill>
            <w14:solidFill>
              <w14:schemeClr w14:val="tx1"/>
            </w14:solidFill>
          </w14:textFill>
        </w:rPr>
      </w:pPr>
      <w:r>
        <w:rPr>
          <w:rFonts w:hint="eastAsia" w:ascii="仿宋" w:hAnsi="仿宋" w:eastAsia="仿宋"/>
          <w:b/>
          <w:bCs/>
          <w:color w:val="000000" w:themeColor="text1"/>
          <w:sz w:val="24"/>
          <w:szCs w:val="24"/>
          <w:highlight w:val="none"/>
          <w:vertAlign w:val="baseline"/>
          <w14:textFill>
            <w14:solidFill>
              <w14:schemeClr w14:val="tx1"/>
            </w14:solidFill>
          </w14:textFill>
        </w:rPr>
        <w:t>3、图书服务要求</w:t>
      </w:r>
    </w:p>
    <w:p w14:paraId="5D555DF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14:textFill>
            <w14:solidFill>
              <w14:schemeClr w14:val="tx1"/>
            </w14:solidFill>
          </w14:textFill>
        </w:rPr>
        <w:t>3.</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1成交</w:t>
      </w:r>
      <w:r>
        <w:rPr>
          <w:rFonts w:hint="eastAsia" w:ascii="仿宋" w:hAnsi="仿宋" w:eastAsia="仿宋"/>
          <w:color w:val="000000" w:themeColor="text1"/>
          <w:sz w:val="24"/>
          <w:szCs w:val="24"/>
          <w:highlight w:val="none"/>
          <w:vertAlign w:val="baseline"/>
          <w14:textFill>
            <w14:solidFill>
              <w14:schemeClr w14:val="tx1"/>
            </w14:solidFill>
          </w14:textFill>
        </w:rPr>
        <w:t>供应商根据自身情况，结合采购方的实际要求，对售前售中售后服务内容，书目数据，新书到馆周期，免费加工项目，其他服务，各环节质量保证措施等作出说明和承诺。</w:t>
      </w:r>
    </w:p>
    <w:p w14:paraId="42D26CC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14:textFill>
            <w14:solidFill>
              <w14:schemeClr w14:val="tx1"/>
            </w14:solidFill>
          </w14:textFill>
        </w:rPr>
        <w:t>3.</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2成交</w:t>
      </w:r>
      <w:r>
        <w:rPr>
          <w:rFonts w:hint="eastAsia" w:ascii="仿宋" w:hAnsi="仿宋" w:eastAsia="仿宋"/>
          <w:color w:val="000000" w:themeColor="text1"/>
          <w:sz w:val="24"/>
          <w:szCs w:val="24"/>
          <w:highlight w:val="none"/>
          <w:vertAlign w:val="baseline"/>
          <w14:textFill>
            <w14:solidFill>
              <w14:schemeClr w14:val="tx1"/>
            </w14:solidFill>
          </w14:textFill>
        </w:rPr>
        <w:t>供应商应具备图书馆馆配工作的条件和经验，应满足采购人提出的到全国大型书市、各级图书展览会或指定地点现场采购图书的要求。</w:t>
      </w:r>
    </w:p>
    <w:p w14:paraId="0B1071D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14:textFill>
            <w14:solidFill>
              <w14:schemeClr w14:val="tx1"/>
            </w14:solidFill>
          </w14:textFill>
        </w:rPr>
        <w:t>3.</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3</w:t>
      </w:r>
      <w:r>
        <w:rPr>
          <w:rFonts w:hint="eastAsia" w:ascii="仿宋" w:hAnsi="仿宋" w:eastAsia="仿宋"/>
          <w:color w:val="000000" w:themeColor="text1"/>
          <w:sz w:val="24"/>
          <w:szCs w:val="24"/>
          <w:highlight w:val="none"/>
          <w:vertAlign w:val="baseline"/>
          <w14:textFill>
            <w14:solidFill>
              <w14:schemeClr w14:val="tx1"/>
            </w14:solidFill>
          </w14:textFill>
        </w:rPr>
        <w:t>推动师生阅读、建设书香校园，</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成交</w:t>
      </w:r>
      <w:r>
        <w:rPr>
          <w:rFonts w:hint="eastAsia" w:ascii="仿宋" w:hAnsi="仿宋" w:eastAsia="仿宋"/>
          <w:color w:val="000000" w:themeColor="text1"/>
          <w:sz w:val="24"/>
          <w:szCs w:val="24"/>
          <w:highlight w:val="none"/>
          <w:vertAlign w:val="baseline"/>
          <w14:textFill>
            <w14:solidFill>
              <w14:schemeClr w14:val="tx1"/>
            </w14:solidFill>
          </w14:textFill>
        </w:rPr>
        <w:t>供应商须到校</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至少</w:t>
      </w:r>
      <w:r>
        <w:rPr>
          <w:rFonts w:hint="eastAsia" w:ascii="仿宋" w:hAnsi="仿宋" w:eastAsia="仿宋"/>
          <w:color w:val="000000" w:themeColor="text1"/>
          <w:sz w:val="24"/>
          <w:szCs w:val="24"/>
          <w:highlight w:val="none"/>
          <w:vertAlign w:val="baseline"/>
          <w14:textFill>
            <w14:solidFill>
              <w14:schemeClr w14:val="tx1"/>
            </w14:solidFill>
          </w14:textFill>
        </w:rPr>
        <w:t>开展一次好书推广活动。</w:t>
      </w:r>
    </w:p>
    <w:p w14:paraId="39501EE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b/>
          <w:bCs/>
          <w:color w:val="000000" w:themeColor="text1"/>
          <w:sz w:val="24"/>
          <w:szCs w:val="24"/>
          <w:highlight w:val="none"/>
          <w:vertAlign w:val="baseline"/>
          <w:lang w:val="en-US" w:eastAsia="zh-CN"/>
          <w14:textFill>
            <w14:solidFill>
              <w14:schemeClr w14:val="tx1"/>
            </w14:solidFill>
          </w14:textFill>
        </w:rPr>
      </w:pP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3.4 为更好管理图书附带的资料，供应商须免费提供随书资源数据库，该库需满足：（1）不仅可以管理传统光盘资源，还包括书附二维码，链接等（2）提供知识点检索；（3）与opac对接，提供opac扩展功能；</w:t>
      </w:r>
      <w:r>
        <w:rPr>
          <w:rFonts w:hint="eastAsia" w:ascii="仿宋" w:hAnsi="仿宋" w:eastAsia="仿宋"/>
          <w:b/>
          <w:bCs/>
          <w:color w:val="000000" w:themeColor="text1"/>
          <w:sz w:val="24"/>
          <w:szCs w:val="24"/>
          <w:highlight w:val="none"/>
          <w:vertAlign w:val="baseline"/>
          <w:lang w:val="en-US" w:eastAsia="zh-CN"/>
          <w14:textFill>
            <w14:solidFill>
              <w14:schemeClr w14:val="tx1"/>
            </w14:solidFill>
          </w14:textFill>
        </w:rPr>
        <w:t>（响应文件中提供数据库网址、功能截图并加盖供应商公章。）</w:t>
      </w:r>
    </w:p>
    <w:p w14:paraId="4F0C4E7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pP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3.5可提供纸电一体化数字化平台供采购人使用，</w:t>
      </w:r>
      <w:r>
        <w:rPr>
          <w:rFonts w:hint="eastAsia" w:ascii="仿宋" w:hAnsi="仿宋" w:eastAsia="仿宋" w:cs="Times New Roman"/>
          <w:color w:val="000000" w:themeColor="text1"/>
          <w:sz w:val="24"/>
          <w:highlight w:val="none"/>
          <w:lang w:val="en-US" w:eastAsia="zh-CN"/>
          <w14:textFill>
            <w14:solidFill>
              <w14:schemeClr w14:val="tx1"/>
            </w14:solidFill>
          </w14:textFill>
        </w:rPr>
        <w:t>平台</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具有新书专区、重磅推荐、纸电同步、征订采书模块；具有精品图书专题栏目；支持纸电在线阅读、推荐；管理员可添加：同类馆参考设置、重点书目筛选设置（按出版社）、学科信息；图书可自动进行查重。</w:t>
      </w:r>
      <w:r>
        <w:rPr>
          <w:rFonts w:hint="eastAsia" w:ascii="仿宋" w:hAnsi="仿宋" w:eastAsia="仿宋"/>
          <w:b/>
          <w:bCs/>
          <w:color w:val="000000" w:themeColor="text1"/>
          <w:sz w:val="24"/>
          <w:szCs w:val="24"/>
          <w:highlight w:val="none"/>
          <w:vertAlign w:val="baseline"/>
          <w:lang w:val="en-US" w:eastAsia="zh-CN"/>
          <w14:textFill>
            <w14:solidFill>
              <w14:schemeClr w14:val="tx1"/>
            </w14:solidFill>
          </w14:textFill>
        </w:rPr>
        <w:t>（响应文件中提供数据库网址、功能截图并加盖供应商公章。）</w:t>
      </w:r>
    </w:p>
    <w:p w14:paraId="63C238A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2" w:firstLineChars="200"/>
        <w:jc w:val="left"/>
        <w:textAlignment w:val="auto"/>
        <w:rPr>
          <w:rFonts w:hint="default" w:ascii="仿宋" w:hAnsi="仿宋" w:eastAsia="仿宋"/>
          <w:b/>
          <w:bCs/>
          <w:color w:val="000000" w:themeColor="text1"/>
          <w:sz w:val="24"/>
          <w:szCs w:val="24"/>
          <w:highlight w:val="none"/>
          <w:vertAlign w:val="baseline"/>
          <w:lang w:val="en-US" w:eastAsia="zh-CN"/>
          <w14:textFill>
            <w14:solidFill>
              <w14:schemeClr w14:val="tx1"/>
            </w14:solidFill>
          </w14:textFill>
        </w:rPr>
      </w:pPr>
      <w:r>
        <w:rPr>
          <w:rFonts w:hint="eastAsia" w:ascii="仿宋" w:hAnsi="仿宋" w:eastAsia="仿宋"/>
          <w:b/>
          <w:bCs/>
          <w:color w:val="000000" w:themeColor="text1"/>
          <w:sz w:val="24"/>
          <w:szCs w:val="24"/>
          <w:highlight w:val="none"/>
          <w:vertAlign w:val="baseline"/>
          <w:lang w:val="en-US" w:eastAsia="zh-CN"/>
          <w14:textFill>
            <w14:solidFill>
              <w14:schemeClr w14:val="tx1"/>
            </w14:solidFill>
          </w14:textFill>
        </w:rPr>
        <w:t>3.6供应商需为图书馆提供一次本馆现有图书的回溯加工，数量为80000册，回溯加工具体技术要求同“4、图书加工要求”。该项服务采购人不另行支付费用。</w:t>
      </w:r>
    </w:p>
    <w:p w14:paraId="6168D561">
      <w:pPr>
        <w:numPr>
          <w:ilvl w:val="0"/>
          <w:numId w:val="0"/>
        </w:numPr>
        <w:spacing w:line="360" w:lineRule="auto"/>
        <w:rPr>
          <w:rFonts w:hint="eastAsia" w:ascii="仿宋" w:hAnsi="仿宋" w:eastAsia="仿宋"/>
          <w:b/>
          <w:bCs/>
          <w:color w:val="000000" w:themeColor="text1"/>
          <w:sz w:val="24"/>
          <w:szCs w:val="24"/>
          <w:highlight w:val="none"/>
          <w:vertAlign w:val="baseline"/>
          <w14:textFill>
            <w14:solidFill>
              <w14:schemeClr w14:val="tx1"/>
            </w14:solidFill>
          </w14:textFill>
        </w:rPr>
      </w:pPr>
      <w:r>
        <w:rPr>
          <w:rFonts w:hint="eastAsia" w:ascii="仿宋" w:hAnsi="仿宋" w:eastAsia="仿宋"/>
          <w:b/>
          <w:bCs/>
          <w:color w:val="000000" w:themeColor="text1"/>
          <w:sz w:val="24"/>
          <w:szCs w:val="24"/>
          <w:highlight w:val="none"/>
          <w:vertAlign w:val="baseline"/>
          <w14:textFill>
            <w14:solidFill>
              <w14:schemeClr w14:val="tx1"/>
            </w14:solidFill>
          </w14:textFill>
        </w:rPr>
        <w:t>4、图书加工要求</w:t>
      </w:r>
    </w:p>
    <w:p w14:paraId="62373C6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4.1图书加工要求采购人所采购的图书，成交供应商须按采购人要求提供加工和分类、编目服务，</w:t>
      </w:r>
      <w:r>
        <w:rPr>
          <w:rFonts w:hint="eastAsia" w:ascii="仿宋" w:hAnsi="仿宋" w:eastAsia="仿宋"/>
          <w:color w:val="000000" w:themeColor="text1"/>
          <w:sz w:val="24"/>
          <w:szCs w:val="24"/>
          <w:highlight w:val="none"/>
          <w:vertAlign w:val="baseline"/>
          <w14:textFill>
            <w14:solidFill>
              <w14:schemeClr w14:val="tx1"/>
            </w14:solidFill>
          </w14:textFill>
        </w:rPr>
        <w:t>具体要求如下：</w:t>
      </w:r>
    </w:p>
    <w:p w14:paraId="172F2AB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lang w:eastAsia="zh-CN"/>
          <w14:textFill>
            <w14:solidFill>
              <w14:schemeClr w14:val="tx1"/>
            </w14:solidFill>
          </w14:textFill>
        </w:rPr>
        <w:t>（</w:t>
      </w:r>
      <w:r>
        <w:rPr>
          <w:rFonts w:hint="eastAsia" w:ascii="仿宋" w:hAnsi="仿宋" w:eastAsia="仿宋"/>
          <w:color w:val="000000" w:themeColor="text1"/>
          <w:sz w:val="24"/>
          <w:szCs w:val="24"/>
          <w:highlight w:val="none"/>
          <w:vertAlign w:val="baseline"/>
          <w14:textFill>
            <w14:solidFill>
              <w14:schemeClr w14:val="tx1"/>
            </w14:solidFill>
          </w14:textFill>
        </w:rPr>
        <w:t>1）磁条安装：所有图书必须一律安装</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永久性磁条</w:t>
      </w:r>
      <w:r>
        <w:rPr>
          <w:rFonts w:hint="eastAsia" w:ascii="仿宋" w:hAnsi="仿宋" w:eastAsia="仿宋"/>
          <w:color w:val="000000" w:themeColor="text1"/>
          <w:sz w:val="24"/>
          <w:szCs w:val="24"/>
          <w:highlight w:val="none"/>
          <w:vertAlign w:val="baseline"/>
          <w14:textFill>
            <w14:solidFill>
              <w14:schemeClr w14:val="tx1"/>
            </w14:solidFill>
          </w14:textFill>
        </w:rPr>
        <w:t>；一般每本书贴磁条 1 根，正文页码大于 300 页的，粘贴磁条 2 根；粘贴位置没有固定页码，但要求粘贴在书脊隐蔽处，以不易发现为准。</w:t>
      </w:r>
    </w:p>
    <w:p w14:paraId="2785E40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lang w:eastAsia="zh-CN"/>
          <w14:textFill>
            <w14:solidFill>
              <w14:schemeClr w14:val="tx1"/>
            </w14:solidFill>
          </w14:textFill>
        </w:rPr>
      </w:pPr>
      <w:r>
        <w:rPr>
          <w:rFonts w:hint="eastAsia" w:ascii="仿宋" w:hAnsi="仿宋" w:eastAsia="仿宋"/>
          <w:color w:val="000000" w:themeColor="text1"/>
          <w:sz w:val="24"/>
          <w:szCs w:val="24"/>
          <w:highlight w:val="none"/>
          <w:vertAlign w:val="baseline"/>
          <w:lang w:eastAsia="zh-CN"/>
          <w14:textFill>
            <w14:solidFill>
              <w14:schemeClr w14:val="tx1"/>
            </w14:solidFill>
          </w14:textFill>
        </w:rPr>
        <w:t>（2）加盖馆藏章：加盖两枚馆藏章，位置分别书名页及正文第七页，盖章要求端正、清晰准确。馆藏章为红色印章，印模由图书馆提供，供应商负责刻印，并保证与印模一致。</w:t>
      </w:r>
    </w:p>
    <w:p w14:paraId="42DEE92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lang w:eastAsia="zh-CN"/>
          <w14:textFill>
            <w14:solidFill>
              <w14:schemeClr w14:val="tx1"/>
            </w14:solidFill>
          </w14:textFill>
        </w:rPr>
      </w:pPr>
      <w:r>
        <w:rPr>
          <w:rFonts w:hint="eastAsia" w:ascii="仿宋" w:hAnsi="仿宋" w:eastAsia="仿宋"/>
          <w:color w:val="000000" w:themeColor="text1"/>
          <w:sz w:val="24"/>
          <w:szCs w:val="24"/>
          <w:highlight w:val="none"/>
          <w:vertAlign w:val="baseline"/>
          <w:lang w:eastAsia="zh-CN"/>
          <w14:textFill>
            <w14:solidFill>
              <w14:schemeClr w14:val="tx1"/>
            </w14:solidFill>
          </w14:textFill>
        </w:rPr>
        <w:t>（3）粘贴条形码：在书名页右上角打印本书条码号一个，并在本页及最后背页各贴一枚条码，每张条形码外必须覆盖一张略大于条形码的保护膜；条形码编号按采购人提供号码段及样式，由成交供应商负责印制。</w:t>
      </w:r>
    </w:p>
    <w:p w14:paraId="3CFAA52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lang w:eastAsia="zh-CN"/>
          <w14:textFill>
            <w14:solidFill>
              <w14:schemeClr w14:val="tx1"/>
            </w14:solidFill>
          </w14:textFill>
        </w:rPr>
      </w:pPr>
      <w:r>
        <w:rPr>
          <w:rFonts w:hint="eastAsia" w:ascii="仿宋" w:hAnsi="仿宋" w:eastAsia="仿宋"/>
          <w:color w:val="000000" w:themeColor="text1"/>
          <w:sz w:val="24"/>
          <w:szCs w:val="24"/>
          <w:highlight w:val="none"/>
          <w:vertAlign w:val="baseline"/>
          <w:lang w:eastAsia="zh-CN"/>
          <w14:textFill>
            <w14:solidFill>
              <w14:schemeClr w14:val="tx1"/>
            </w14:solidFill>
          </w14:textFill>
        </w:rPr>
        <w:t>（4）粘贴书标并覆膜：按我馆现有馆藏样式制作书标，粘贴位置在书脊离底2厘米处，每张书标外必须覆盖一张略大于书标的保护膜。</w:t>
      </w:r>
    </w:p>
    <w:p w14:paraId="2AF49ED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lang w:eastAsia="zh-CN"/>
          <w14:textFill>
            <w14:solidFill>
              <w14:schemeClr w14:val="tx1"/>
            </w14:solidFill>
          </w14:textFill>
        </w:rPr>
      </w:pPr>
      <w:r>
        <w:rPr>
          <w:rFonts w:hint="eastAsia" w:ascii="仿宋" w:hAnsi="仿宋" w:eastAsia="仿宋"/>
          <w:color w:val="000000" w:themeColor="text1"/>
          <w:sz w:val="24"/>
          <w:szCs w:val="24"/>
          <w:highlight w:val="none"/>
          <w:vertAlign w:val="baseline"/>
          <w:lang w:eastAsia="zh-CN"/>
          <w14:textFill>
            <w14:solidFill>
              <w14:schemeClr w14:val="tx1"/>
            </w14:solidFill>
          </w14:textFill>
        </w:rPr>
        <w:t>（5）图书分类：要求使用超星文献管理系统进行图书编目，按中图法（第五版）分类，一般分至7</w:t>
      </w: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-8</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级，生成带种次号的索书号。</w:t>
      </w:r>
    </w:p>
    <w:p w14:paraId="70988D2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lang w:eastAsia="zh-CN"/>
          <w14:textFill>
            <w14:solidFill>
              <w14:schemeClr w14:val="tx1"/>
            </w14:solidFill>
          </w14:textFill>
        </w:rPr>
        <w:t>（6）</w:t>
      </w:r>
      <w:r>
        <w:rPr>
          <w:rFonts w:hint="eastAsia" w:ascii="仿宋" w:hAnsi="仿宋" w:eastAsia="仿宋"/>
          <w:color w:val="000000" w:themeColor="text1"/>
          <w:sz w:val="24"/>
          <w:szCs w:val="24"/>
          <w:highlight w:val="none"/>
          <w:vertAlign w:val="baseline"/>
          <w14:textFill>
            <w14:solidFill>
              <w14:schemeClr w14:val="tx1"/>
            </w14:solidFill>
          </w14:textFill>
        </w:rPr>
        <w:t>图书编目：编目数据应以《中国文献著录规则》和《中国机读目录格式》为著录依据，数据格式应与 CALIS 编目数据库的格式保持一致，著录级别达到详细级和完备级， CNMARC 数据差错率应低于 1‰。</w:t>
      </w:r>
    </w:p>
    <w:p w14:paraId="0E782B6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lang w:eastAsia="zh-CN"/>
          <w14:textFill>
            <w14:solidFill>
              <w14:schemeClr w14:val="tx1"/>
            </w14:solidFill>
          </w14:textFill>
        </w:rPr>
      </w:pPr>
      <w:r>
        <w:rPr>
          <w:rFonts w:hint="eastAsia" w:ascii="仿宋" w:hAnsi="仿宋" w:eastAsia="仿宋"/>
          <w:color w:val="000000" w:themeColor="text1"/>
          <w:sz w:val="24"/>
          <w:szCs w:val="24"/>
          <w:highlight w:val="none"/>
          <w:vertAlign w:val="baseline"/>
          <w:lang w:eastAsia="zh-CN"/>
          <w14:textFill>
            <w14:solidFill>
              <w14:schemeClr w14:val="tx1"/>
            </w14:solidFill>
          </w14:textFill>
        </w:rPr>
        <w:t>（7）打印含书名、ISBN、价格、索书号等信息的馆藏明细两份。</w:t>
      </w:r>
    </w:p>
    <w:p w14:paraId="6A1E6E4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lang w:eastAsia="zh-CN"/>
          <w14:textFill>
            <w14:solidFill>
              <w14:schemeClr w14:val="tx1"/>
            </w14:solidFill>
          </w14:textFill>
        </w:rPr>
      </w:pP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4.2图书上架</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要求</w:t>
      </w:r>
    </w:p>
    <w:p w14:paraId="48237B4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s="Times New Roman"/>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lang w:eastAsia="zh-CN"/>
          <w14:textFill>
            <w14:solidFill>
              <w14:schemeClr w14:val="tx1"/>
            </w14:solidFill>
          </w14:textFill>
        </w:rPr>
        <w:t>所有图书严格按照索书号（由分类号和种次号组成）排列，先比较分类号，再比较种次号。每格书架要预留1/4至1/3的空位，且通常按从左到右、从上到下、“S”形迂回的顺序排列。每个书架上</w:t>
      </w:r>
      <w:r>
        <w:rPr>
          <w:rFonts w:hint="eastAsia" w:ascii="仿宋" w:hAnsi="仿宋" w:eastAsia="仿宋" w:cs="Times New Roman"/>
          <w:color w:val="000000" w:themeColor="text1"/>
          <w:sz w:val="24"/>
          <w:szCs w:val="24"/>
          <w:highlight w:val="none"/>
          <w:vertAlign w:val="baseline"/>
          <w14:textFill>
            <w14:solidFill>
              <w14:schemeClr w14:val="tx1"/>
            </w14:solidFill>
          </w14:textFill>
        </w:rPr>
        <w:t>的标签需按照该书架的图书分类号范围打印并粘贴好。</w:t>
      </w:r>
    </w:p>
    <w:p w14:paraId="430E7F8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pP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4.3编目人员要求：</w:t>
      </w:r>
    </w:p>
    <w:p w14:paraId="386B62F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jc w:val="left"/>
        <w:textAlignment w:val="auto"/>
        <w:rPr>
          <w:rFonts w:hint="default" w:ascii="仿宋" w:hAnsi="仿宋" w:eastAsia="仿宋" w:cs="Times New Roman"/>
          <w:b/>
          <w:bCs/>
          <w:color w:val="000000" w:themeColor="text1"/>
          <w:sz w:val="24"/>
          <w:szCs w:val="24"/>
          <w:highlight w:val="none"/>
          <w:vertAlign w:val="baseline"/>
          <w:lang w:val="en-US" w:eastAsia="zh-CN"/>
          <w14:textFill>
            <w14:solidFill>
              <w14:schemeClr w14:val="tx1"/>
            </w14:solidFill>
          </w14:textFill>
        </w:rPr>
      </w:pPr>
      <w:r>
        <w:rPr>
          <w:rFonts w:hint="eastAsia" w:ascii="仿宋" w:hAnsi="仿宋" w:eastAsia="仿宋" w:cs="Times New Roman"/>
          <w:color w:val="000000" w:themeColor="text1"/>
          <w:sz w:val="24"/>
          <w:szCs w:val="24"/>
          <w:highlight w:val="none"/>
          <w:vertAlign w:val="baseline"/>
          <w:lang w:val="en-US" w:eastAsia="zh-CN"/>
          <w14:textFill>
            <w14:solidFill>
              <w14:schemeClr w14:val="tx1"/>
            </w14:solidFill>
          </w14:textFill>
        </w:rPr>
        <w:t>供应商应至少安排3名有培训合格证的图书编目人员或者3名具有图书馆编目资质证书人员服务本项目。</w:t>
      </w:r>
      <w:r>
        <w:rPr>
          <w:rFonts w:hint="eastAsia" w:ascii="仿宋" w:hAnsi="仿宋" w:eastAsia="仿宋" w:cs="Times New Roman"/>
          <w:b/>
          <w:bCs/>
          <w:color w:val="000000" w:themeColor="text1"/>
          <w:sz w:val="24"/>
          <w:szCs w:val="24"/>
          <w:highlight w:val="none"/>
          <w:vertAlign w:val="baseline"/>
          <w:lang w:val="en-US" w:eastAsia="zh-CN"/>
          <w14:textFill>
            <w14:solidFill>
              <w14:schemeClr w14:val="tx1"/>
            </w14:solidFill>
          </w14:textFill>
        </w:rPr>
        <w:t>（响应文件中提供图书编目人员相应证书扫描件）</w:t>
      </w:r>
    </w:p>
    <w:p w14:paraId="1F19C0BA">
      <w:pPr>
        <w:numPr>
          <w:ilvl w:val="0"/>
          <w:numId w:val="0"/>
        </w:numPr>
        <w:spacing w:line="360" w:lineRule="auto"/>
        <w:rPr>
          <w:rFonts w:hint="eastAsia" w:ascii="仿宋" w:hAnsi="仿宋" w:eastAsia="仿宋"/>
          <w:b/>
          <w:bCs/>
          <w:color w:val="000000" w:themeColor="text1"/>
          <w:sz w:val="24"/>
          <w:szCs w:val="24"/>
          <w:highlight w:val="none"/>
          <w:vertAlign w:val="baseline"/>
          <w14:textFill>
            <w14:solidFill>
              <w14:schemeClr w14:val="tx1"/>
            </w14:solidFill>
          </w14:textFill>
        </w:rPr>
      </w:pPr>
      <w:r>
        <w:rPr>
          <w:rFonts w:hint="eastAsia" w:ascii="仿宋" w:hAnsi="仿宋" w:eastAsia="仿宋"/>
          <w:b/>
          <w:bCs/>
          <w:color w:val="000000" w:themeColor="text1"/>
          <w:sz w:val="24"/>
          <w:szCs w:val="24"/>
          <w:highlight w:val="none"/>
          <w:vertAlign w:val="baseline"/>
          <w14:textFill>
            <w14:solidFill>
              <w14:schemeClr w14:val="tx1"/>
            </w14:solidFill>
          </w14:textFill>
        </w:rPr>
        <w:t>5、采购渠道要求</w:t>
      </w:r>
    </w:p>
    <w:p w14:paraId="01353B13">
      <w:pPr>
        <w:numPr>
          <w:ilvl w:val="0"/>
          <w:numId w:val="0"/>
        </w:numPr>
        <w:spacing w:line="360" w:lineRule="auto"/>
        <w:ind w:firstLine="480" w:firstLineChars="200"/>
        <w:rPr>
          <w:rFonts w:hint="eastAsia" w:ascii="仿宋" w:hAnsi="仿宋" w:eastAsia="仿宋" w:cs="Times New Roman"/>
          <w:color w:val="000000" w:themeColor="text1"/>
          <w:sz w:val="24"/>
          <w:szCs w:val="24"/>
          <w:highlight w:val="none"/>
          <w:vertAlign w:val="baseline"/>
          <w:lang w:val="en-US" w:eastAsia="zh-CN"/>
          <w14:textFill>
            <w14:solidFill>
              <w14:schemeClr w14:val="tx1"/>
            </w14:solidFill>
          </w14:textFill>
        </w:rPr>
      </w:pPr>
      <w:r>
        <w:rPr>
          <w:rFonts w:hint="eastAsia" w:ascii="仿宋" w:hAnsi="仿宋" w:eastAsia="仿宋" w:cs="Times New Roman"/>
          <w:color w:val="000000" w:themeColor="text1"/>
          <w:sz w:val="24"/>
          <w:szCs w:val="24"/>
          <w:highlight w:val="none"/>
          <w:vertAlign w:val="baseline"/>
          <w:lang w:val="en-US" w:eastAsia="zh-CN"/>
          <w14:textFill>
            <w14:solidFill>
              <w14:schemeClr w14:val="tx1"/>
            </w14:solidFill>
          </w14:textFill>
        </w:rPr>
        <w:t>自2021年1月1日（含）起至投标截止时间前，供应商须与以下60家出版社中的至少30家存在合作关系：</w:t>
      </w:r>
      <w:r>
        <w:rPr>
          <w:rFonts w:hint="eastAsia" w:ascii="仿宋" w:hAnsi="仿宋" w:eastAsia="仿宋" w:cs="Times New Roman"/>
          <w:color w:val="000000" w:themeColor="text1"/>
          <w:sz w:val="24"/>
          <w:szCs w:val="24"/>
          <w:highlight w:val="none"/>
          <w:vertAlign w:val="baseline"/>
          <w:lang w:val="en-US" w:eastAsia="zh-CN"/>
          <w14:textFill>
            <w14:solidFill>
              <w14:schemeClr w14:val="tx1"/>
            </w14:solidFill>
          </w14:textFill>
        </w:rPr>
        <w:br w:type="textWrapping"/>
      </w:r>
      <w:r>
        <w:rPr>
          <w:rFonts w:hint="eastAsia" w:ascii="仿宋" w:hAnsi="仿宋" w:eastAsia="仿宋" w:cs="Times New Roman"/>
          <w:color w:val="000000" w:themeColor="text1"/>
          <w:sz w:val="24"/>
          <w:szCs w:val="24"/>
          <w:highlight w:val="none"/>
          <w:vertAlign w:val="baseline"/>
          <w:lang w:val="en-US" w:eastAsia="zh-CN"/>
          <w14:textFill>
            <w14:solidFill>
              <w14:schemeClr w14:val="tx1"/>
            </w14:solidFill>
          </w14:textFill>
        </w:rPr>
        <w:t>北京大学出版社、清华大学出版社、中国人民大学出版社、冶金工业出版社、高等教育出版社、机械工业出版社、人民邮电出版社、化学工业出版社、电子工业出版社、科学出版社、北京理工大学出版社、北京邮电大学出版社、中国海洋大学出版社、中国传媒大学出版社、复旦大学出版社、上海财经大学出版社、同济大学出版社、上海交通大学出版社、南京大学出版社、浙江大学出版社、武汉大学出版社、华南理工大学出版社、武汉理工大学出版社、华中科技大学出版社、西南财经大学出版社、西安交通大学出版社、东北师范大学出版社、东北财经大学出版社、东南大学出版社、中国地质大学出版社、中国矿业大学出版社、西北工业大学出版社、哈尔滨工业大学出版社、华东理工大学出版社、中国科学技术大学出版社、外语教学与研究出版社、上海外语教育出版社、中国水利水电出版社、中国环境出版社、江西高校出版社、中国科学技术出版社、中国时代经济出版社、中国财政经济出版社、中国大百科全书出版社、测绘出版社、中国农业出版社、中国环境科学出版社、中国电力出版社、中国轻工业出版社、人民出版社、法律出版社、吉林出版集团有限责任公司、经济科学出版社、中信出版社、湖南科学技术出版社、江苏科学技术出版社、人民交通出版社、上海科学技术出版社、教育科学出版社、人民教育出版社。</w:t>
      </w:r>
    </w:p>
    <w:p w14:paraId="5FD603C3">
      <w:pPr>
        <w:numPr>
          <w:ilvl w:val="0"/>
          <w:numId w:val="0"/>
        </w:numPr>
        <w:spacing w:line="360" w:lineRule="auto"/>
        <w:ind w:firstLine="482" w:firstLineChars="200"/>
        <w:rPr>
          <w:rFonts w:hint="default" w:ascii="仿宋" w:hAnsi="仿宋" w:eastAsia="仿宋" w:cs="Times New Roman"/>
          <w:b/>
          <w:bCs/>
          <w:color w:val="000000" w:themeColor="text1"/>
          <w:sz w:val="24"/>
          <w:szCs w:val="24"/>
          <w:highlight w:val="none"/>
          <w:vertAlign w:val="baseline"/>
          <w:lang w:val="en-US" w:eastAsia="zh-CN"/>
          <w14:textFill>
            <w14:solidFill>
              <w14:schemeClr w14:val="tx1"/>
            </w14:solidFill>
          </w14:textFill>
        </w:rPr>
      </w:pPr>
      <w:r>
        <w:rPr>
          <w:rFonts w:hint="eastAsia" w:ascii="仿宋" w:hAnsi="仿宋" w:eastAsia="仿宋" w:cs="Times New Roman"/>
          <w:b/>
          <w:bCs/>
          <w:color w:val="000000" w:themeColor="text1"/>
          <w:sz w:val="24"/>
          <w:szCs w:val="24"/>
          <w:highlight w:val="none"/>
          <w:vertAlign w:val="baseline"/>
          <w:lang w:val="en-US" w:eastAsia="zh-CN"/>
          <w14:textFill>
            <w14:solidFill>
              <w14:schemeClr w14:val="tx1"/>
            </w14:solidFill>
          </w14:textFill>
        </w:rPr>
        <w:t>针对上述出版社中的前10家，响应文件中须提供出版社授权证明文件</w:t>
      </w:r>
      <w:r>
        <w:rPr>
          <w:rFonts w:hint="eastAsia" w:ascii="仿宋" w:hAnsi="仿宋" w:eastAsia="仿宋" w:cs="Times New Roman"/>
          <w:b/>
          <w:bCs/>
          <w:color w:val="000000" w:themeColor="text1"/>
          <w:sz w:val="24"/>
          <w:highlight w:val="none"/>
          <w:lang w:val="en-US" w:eastAsia="zh-CN"/>
          <w14:textFill>
            <w14:solidFill>
              <w14:schemeClr w14:val="tx1"/>
            </w14:solidFill>
          </w14:textFill>
        </w:rPr>
        <w:t>或合作协议扫描件。否则响应无效。</w:t>
      </w:r>
    </w:p>
    <w:p w14:paraId="1515EE32">
      <w:pPr>
        <w:numPr>
          <w:ilvl w:val="0"/>
          <w:numId w:val="0"/>
        </w:numPr>
        <w:spacing w:line="360" w:lineRule="auto"/>
        <w:ind w:firstLine="482" w:firstLineChars="200"/>
        <w:rPr>
          <w:rFonts w:hint="eastAsia" w:ascii="仿宋" w:hAnsi="仿宋" w:eastAsia="仿宋" w:cs="Times New Roman"/>
          <w:color w:val="000000" w:themeColor="text1"/>
          <w:sz w:val="24"/>
          <w:szCs w:val="24"/>
          <w:highlight w:val="none"/>
          <w:vertAlign w:val="baseline"/>
          <w:lang w:val="en-US" w:eastAsia="zh-CN"/>
          <w14:textFill>
            <w14:solidFill>
              <w14:schemeClr w14:val="tx1"/>
            </w14:solidFill>
          </w14:textFill>
        </w:rPr>
      </w:pPr>
      <w:r>
        <w:rPr>
          <w:rFonts w:hint="eastAsia" w:ascii="仿宋" w:hAnsi="仿宋" w:eastAsia="仿宋" w:cs="Times New Roman"/>
          <w:b/>
          <w:bCs/>
          <w:color w:val="000000" w:themeColor="text1"/>
          <w:sz w:val="24"/>
          <w:szCs w:val="24"/>
          <w:highlight w:val="none"/>
          <w:vertAlign w:val="baseline"/>
          <w:lang w:val="en-US" w:eastAsia="zh-CN"/>
          <w14:textFill>
            <w14:solidFill>
              <w14:schemeClr w14:val="tx1"/>
            </w14:solidFill>
          </w14:textFill>
        </w:rPr>
        <w:t>除上述前10家出版社外，响应文件还须提供至少20家其他出版社的授权证明文件</w:t>
      </w:r>
      <w:r>
        <w:rPr>
          <w:rFonts w:hint="eastAsia" w:ascii="仿宋" w:hAnsi="仿宋" w:eastAsia="仿宋" w:cs="Times New Roman"/>
          <w:b/>
          <w:bCs/>
          <w:color w:val="000000" w:themeColor="text1"/>
          <w:sz w:val="24"/>
          <w:highlight w:val="none"/>
          <w:lang w:val="en-US" w:eastAsia="zh-CN"/>
          <w14:textFill>
            <w14:solidFill>
              <w14:schemeClr w14:val="tx1"/>
            </w14:solidFill>
          </w14:textFill>
        </w:rPr>
        <w:t>或合作协议扫描件。否则响应无效。</w:t>
      </w:r>
    </w:p>
    <w:p w14:paraId="7B31F143">
      <w:pPr>
        <w:numPr>
          <w:ilvl w:val="0"/>
          <w:numId w:val="0"/>
        </w:numPr>
        <w:spacing w:line="360" w:lineRule="auto"/>
        <w:rPr>
          <w:rFonts w:hint="eastAsia" w:ascii="仿宋" w:hAnsi="仿宋" w:eastAsia="仿宋"/>
          <w:b/>
          <w:bCs/>
          <w:color w:val="000000" w:themeColor="text1"/>
          <w:sz w:val="24"/>
          <w:szCs w:val="24"/>
          <w:highlight w:val="none"/>
          <w:vertAlign w:val="baseline"/>
          <w14:textFill>
            <w14:solidFill>
              <w14:schemeClr w14:val="tx1"/>
            </w14:solidFill>
          </w14:textFill>
        </w:rPr>
      </w:pPr>
      <w:r>
        <w:rPr>
          <w:rFonts w:hint="eastAsia" w:ascii="仿宋" w:hAnsi="仿宋" w:eastAsia="仿宋"/>
          <w:b/>
          <w:bCs/>
          <w:color w:val="000000" w:themeColor="text1"/>
          <w:sz w:val="24"/>
          <w:szCs w:val="24"/>
          <w:highlight w:val="none"/>
          <w:vertAlign w:val="baseline"/>
          <w14:textFill>
            <w14:solidFill>
              <w14:schemeClr w14:val="tx1"/>
            </w14:solidFill>
          </w14:textFill>
        </w:rPr>
        <w:t>6、</w:t>
      </w:r>
      <w:r>
        <w:rPr>
          <w:rFonts w:hint="eastAsia" w:ascii="仿宋" w:hAnsi="仿宋" w:eastAsia="仿宋"/>
          <w:b/>
          <w:bCs/>
          <w:color w:val="000000" w:themeColor="text1"/>
          <w:sz w:val="24"/>
          <w:szCs w:val="24"/>
          <w:highlight w:val="none"/>
          <w:vertAlign w:val="baseline"/>
          <w:lang w:val="en-US" w:eastAsia="zh-CN"/>
          <w14:textFill>
            <w14:solidFill>
              <w14:schemeClr w14:val="tx1"/>
            </w14:solidFill>
          </w14:textFill>
        </w:rPr>
        <w:t>合作</w:t>
      </w:r>
      <w:r>
        <w:rPr>
          <w:rFonts w:hint="eastAsia" w:ascii="仿宋" w:hAnsi="仿宋" w:eastAsia="仿宋"/>
          <w:b/>
          <w:bCs/>
          <w:color w:val="000000" w:themeColor="text1"/>
          <w:sz w:val="24"/>
          <w:szCs w:val="24"/>
          <w:highlight w:val="none"/>
          <w:vertAlign w:val="baseline"/>
          <w14:textFill>
            <w14:solidFill>
              <w14:schemeClr w14:val="tx1"/>
            </w14:solidFill>
          </w14:textFill>
        </w:rPr>
        <w:t>要求</w:t>
      </w:r>
    </w:p>
    <w:p w14:paraId="3BC528D5">
      <w:pPr>
        <w:numPr>
          <w:ilvl w:val="0"/>
          <w:numId w:val="0"/>
        </w:numPr>
        <w:spacing w:line="360" w:lineRule="auto"/>
        <w:ind w:firstLine="480" w:firstLineChars="200"/>
        <w:rPr>
          <w:rFonts w:hint="eastAsia" w:ascii="仿宋" w:hAnsi="仿宋" w:eastAsia="仿宋"/>
          <w:color w:val="000000" w:themeColor="text1"/>
          <w:sz w:val="24"/>
          <w:szCs w:val="24"/>
          <w:highlight w:val="none"/>
          <w:vertAlign w:val="baseline"/>
          <w14:textFill>
            <w14:solidFill>
              <w14:schemeClr w14:val="tx1"/>
            </w14:solidFill>
          </w14:textFill>
        </w:rPr>
      </w:pPr>
      <w:r>
        <w:rPr>
          <w:rFonts w:hint="eastAsia" w:ascii="仿宋" w:hAnsi="仿宋" w:eastAsia="仿宋"/>
          <w:color w:val="000000" w:themeColor="text1"/>
          <w:sz w:val="24"/>
          <w:szCs w:val="24"/>
          <w:highlight w:val="none"/>
          <w:vertAlign w:val="baseline"/>
          <w14:textFill>
            <w14:solidFill>
              <w14:schemeClr w14:val="tx1"/>
            </w14:solidFill>
          </w14:textFill>
        </w:rPr>
        <w:t>自2021年1月1日起至开标前止（以合同签订日期为准），</w:t>
      </w:r>
      <w:r>
        <w:rPr>
          <w:rFonts w:hint="eastAsia" w:ascii="仿宋" w:hAnsi="仿宋" w:eastAsia="仿宋"/>
          <w:color w:val="000000" w:themeColor="text1"/>
          <w:sz w:val="24"/>
          <w:szCs w:val="24"/>
          <w:highlight w:val="none"/>
          <w:vertAlign w:val="baseline"/>
          <w:lang w:eastAsia="zh-CN"/>
          <w14:textFill>
            <w14:solidFill>
              <w14:schemeClr w14:val="tx1"/>
            </w14:solidFill>
          </w14:textFill>
        </w:rPr>
        <w:t>供应商</w:t>
      </w:r>
      <w:r>
        <w:rPr>
          <w:rFonts w:hint="eastAsia" w:ascii="仿宋" w:hAnsi="仿宋" w:eastAsia="仿宋"/>
          <w:color w:val="000000" w:themeColor="text1"/>
          <w:sz w:val="24"/>
          <w:szCs w:val="24"/>
          <w:highlight w:val="none"/>
          <w:vertAlign w:val="baseline"/>
          <w14:textFill>
            <w14:solidFill>
              <w14:schemeClr w14:val="tx1"/>
            </w14:solidFill>
          </w14:textFill>
        </w:rPr>
        <w:t>须同时满足以下要求：</w:t>
      </w:r>
    </w:p>
    <w:p w14:paraId="4DDEE230">
      <w:pPr>
        <w:numPr>
          <w:ilvl w:val="0"/>
          <w:numId w:val="1"/>
        </w:numPr>
        <w:spacing w:line="360" w:lineRule="auto"/>
        <w:ind w:firstLine="480" w:firstLineChars="200"/>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pP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合作规模：至少与10家不同的国内图书馆建立有合作关系；</w:t>
      </w:r>
    </w:p>
    <w:p w14:paraId="5B3EEABD">
      <w:pPr>
        <w:numPr>
          <w:ilvl w:val="0"/>
          <w:numId w:val="1"/>
        </w:numPr>
        <w:spacing w:line="360" w:lineRule="auto"/>
        <w:ind w:firstLine="480" w:firstLineChars="200"/>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pPr>
      <w:r>
        <w:rPr>
          <w:rFonts w:hint="eastAsia" w:ascii="仿宋" w:hAnsi="仿宋" w:eastAsia="仿宋"/>
          <w:color w:val="000000" w:themeColor="text1"/>
          <w:sz w:val="24"/>
          <w:szCs w:val="24"/>
          <w:highlight w:val="none"/>
          <w:vertAlign w:val="baseline"/>
          <w:lang w:val="en-US" w:eastAsia="zh-CN"/>
          <w14:textFill>
            <w14:solidFill>
              <w14:schemeClr w14:val="tx1"/>
            </w14:solidFill>
          </w14:textFill>
        </w:rPr>
        <w:t>针对上述每一家合作图书馆，供应商均须提供至少一个销售案例；</w:t>
      </w:r>
    </w:p>
    <w:p w14:paraId="115CFE64">
      <w:pPr>
        <w:numPr>
          <w:ilvl w:val="0"/>
          <w:numId w:val="0"/>
        </w:numPr>
        <w:ind w:firstLine="482" w:firstLineChars="200"/>
        <w:rPr>
          <w:rFonts w:hint="eastAsia"/>
          <w:color w:val="000000" w:themeColor="text1"/>
          <w:highlight w:val="none"/>
          <w14:textFill>
            <w14:solidFill>
              <w14:schemeClr w14:val="tx1"/>
            </w14:solidFill>
          </w14:textFill>
        </w:rPr>
      </w:pPr>
      <w:r>
        <w:rPr>
          <w:rFonts w:hint="eastAsia" w:ascii="仿宋" w:hAnsi="仿宋" w:eastAsia="仿宋"/>
          <w:b/>
          <w:bCs/>
          <w:color w:val="000000" w:themeColor="text1"/>
          <w:sz w:val="24"/>
          <w:szCs w:val="24"/>
          <w:highlight w:val="none"/>
          <w:vertAlign w:val="baseline"/>
          <w:lang w:val="en-US" w:eastAsia="zh-CN"/>
          <w14:textFill>
            <w14:solidFill>
              <w14:schemeClr w14:val="tx1"/>
            </w14:solidFill>
          </w14:textFill>
        </w:rPr>
        <w:t>证明材料：响应文件提供相应的证明材料复印件，包括：中标通知书、供货合同、验收报告。否则响应无效。</w:t>
      </w:r>
    </w:p>
    <w:p w14:paraId="2FAA8D12">
      <w:pPr>
        <w:numPr>
          <w:ilvl w:val="0"/>
          <w:numId w:val="0"/>
        </w:numPr>
        <w:rPr>
          <w:rFonts w:hint="eastAsia"/>
          <w:color w:val="000000" w:themeColor="text1"/>
          <w:highlight w:val="none"/>
          <w14:textFill>
            <w14:solidFill>
              <w14:schemeClr w14:val="tx1"/>
            </w14:solidFill>
          </w14:textFill>
        </w:rPr>
      </w:pPr>
    </w:p>
    <w:p w14:paraId="791242C8">
      <w:pPr>
        <w:bidi w:val="0"/>
        <w:rPr>
          <w:rFonts w:hint="eastAsia" w:ascii="仿宋" w:hAnsi="仿宋" w:eastAsia="仿宋" w:cs="仿宋"/>
          <w:color w:val="000000" w:themeColor="text1"/>
          <w:highlight w:val="none"/>
          <w14:textFill>
            <w14:solidFill>
              <w14:schemeClr w14:val="tx1"/>
            </w14:solidFill>
          </w14:textFill>
        </w:rPr>
      </w:pPr>
    </w:p>
    <w:p w14:paraId="7EDA6957">
      <w:pPr>
        <w:spacing w:line="360" w:lineRule="auto"/>
        <w:rPr>
          <w:rFonts w:hint="eastAsia" w:ascii="仿宋" w:hAnsi="仿宋" w:eastAsia="仿宋" w:cs="仿宋"/>
          <w:b/>
          <w:color w:val="000000" w:themeColor="text1"/>
          <w:sz w:val="28"/>
          <w:szCs w:val="28"/>
          <w:highlight w:val="none"/>
          <w14:textFill>
            <w14:solidFill>
              <w14:schemeClr w14:val="tx1"/>
            </w14:solidFill>
          </w14:textFill>
        </w:rPr>
      </w:pPr>
      <w:r>
        <w:rPr>
          <w:rFonts w:hint="eastAsia" w:ascii="仿宋" w:hAnsi="仿宋" w:eastAsia="仿宋" w:cs="仿宋"/>
          <w:b/>
          <w:color w:val="000000" w:themeColor="text1"/>
          <w:sz w:val="28"/>
          <w:szCs w:val="28"/>
          <w:highlight w:val="none"/>
          <w14:textFill>
            <w14:solidFill>
              <w14:schemeClr w14:val="tx1"/>
            </w14:solidFill>
          </w14:textFill>
        </w:rPr>
        <w:t>注：以上所有技术指标为实质性要求，须全部满足或优于，否则视为无效响应文件。</w:t>
      </w:r>
    </w:p>
    <w:p w14:paraId="5E627CCE">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B8CDCCD"/>
    <w:multiLevelType w:val="singleLevel"/>
    <w:tmpl w:val="FB8CDCCD"/>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08689C"/>
    <w:rsid w:val="140868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Subtitle"/>
    <w:basedOn w:val="1"/>
    <w:next w:val="1"/>
    <w:qFormat/>
    <w:uiPriority w:val="11"/>
    <w:pPr>
      <w:spacing w:line="312" w:lineRule="auto"/>
      <w:jc w:val="center"/>
      <w:outlineLvl w:val="1"/>
    </w:pPr>
    <w:rPr>
      <w:rFonts w:ascii="Cambria" w:hAnsi="Cambria"/>
      <w:b/>
      <w:bCs/>
      <w:kern w:val="28"/>
      <w:sz w:val="32"/>
      <w:szCs w:val="3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2026-06-29T09:06:00Z</dcterms:created>
  <dc:creator>Administrator</dc:creator>
  <cp:lastModifiedBy>Administrator</cp:lastModifiedBy>
  <dcterms:modified xsi:type="dcterms:W3CDTF">2026-06-29T09:06:36Z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5920FEFB1E6842D294CE534F73513483_11</vt:lpwstr>
  </property>
  <property fmtid="{D5CDD505-2E9C-101B-9397-08002B2CF9AE}" pid="4" name="KSOTemplateDocerSaveRecord">
    <vt:lpwstr>eyJoZGlkIjoiZjBkMDJkOGIwYmY1ODZmMDE5ZmY1MmM3ZGFiMWE0ODUiLCJ1c2VySWQiOiIyODc4NDg0MTkifQ==</vt:lpwstr>
  </property>
</Properties>
</file>