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FFCB6">
      <w:pPr>
        <w:pStyle w:val="2"/>
        <w:pageBreakBefore w:val="0"/>
        <w:widowControl/>
        <w:kinsoku/>
        <w:wordWrap/>
        <w:overflowPunct/>
        <w:topLinePunct w:val="0"/>
        <w:autoSpaceDE w:val="0"/>
        <w:autoSpaceDN w:val="0"/>
        <w:bidi w:val="0"/>
        <w:adjustRightInd w:val="0"/>
        <w:snapToGrid w:val="0"/>
        <w:jc w:val="center"/>
        <w:textAlignment w:val="baseline"/>
        <w:rPr>
          <w:rFonts w:hint="eastAsia"/>
          <w:color w:val="auto"/>
          <w:highlight w:val="none"/>
          <w:lang w:eastAsia="zh-CN"/>
        </w:rPr>
      </w:pPr>
      <w:bookmarkStart w:id="0" w:name="_Toc507597381"/>
      <w:bookmarkStart w:id="1" w:name="_Toc5473"/>
      <w:r>
        <w:rPr>
          <w:rFonts w:hint="eastAsia"/>
          <w:color w:val="auto"/>
          <w:highlight w:val="none"/>
          <w:lang w:eastAsia="zh-CN"/>
        </w:rPr>
        <w:t>二、采购要求</w:t>
      </w:r>
      <w:bookmarkEnd w:id="0"/>
      <w:bookmarkEnd w:id="1"/>
    </w:p>
    <w:p w14:paraId="6460EDEF">
      <w:pPr>
        <w:keepNext w:val="0"/>
        <w:keepLines w:val="0"/>
        <w:pageBreakBefore w:val="0"/>
        <w:wordWrap/>
        <w:overflowPunct/>
        <w:topLinePunct w:val="0"/>
        <w:bidi w:val="0"/>
        <w:spacing w:line="500" w:lineRule="exact"/>
        <w:outlineLvl w:val="2"/>
        <w:rPr>
          <w:rFonts w:hint="eastAsia" w:ascii="宋体" w:hAnsi="宋体" w:eastAsia="宋体" w:cs="宋体"/>
          <w:b/>
          <w:bCs/>
          <w:color w:val="auto"/>
          <w:sz w:val="24"/>
          <w:szCs w:val="24"/>
          <w:highlight w:val="none"/>
          <w:lang w:val="en-US" w:eastAsia="zh-CN"/>
        </w:rPr>
      </w:pPr>
      <w:bookmarkStart w:id="2" w:name="bookmark82"/>
      <w:bookmarkEnd w:id="2"/>
      <w:bookmarkStart w:id="3" w:name="_Toc23204"/>
      <w:r>
        <w:rPr>
          <w:rFonts w:hint="eastAsia" w:ascii="宋体" w:hAnsi="宋体" w:eastAsia="宋体" w:cs="宋体"/>
          <w:b/>
          <w:bCs/>
          <w:color w:val="auto"/>
          <w:sz w:val="24"/>
          <w:szCs w:val="24"/>
          <w:highlight w:val="none"/>
          <w:lang w:eastAsia="zh-CN"/>
        </w:rPr>
        <w:t>（一）技术规格（工程需求）</w:t>
      </w:r>
      <w:bookmarkEnd w:id="3"/>
    </w:p>
    <w:p w14:paraId="21E45E81">
      <w:pPr>
        <w:keepNext w:val="0"/>
        <w:keepLines w:val="0"/>
        <w:pageBreakBefore w:val="0"/>
        <w:widowControl/>
        <w:wordWrap/>
        <w:overflowPunct/>
        <w:topLinePunct w:val="0"/>
        <w:autoSpaceDE w:val="0"/>
        <w:autoSpaceDN w:val="0"/>
        <w:bidi w:val="0"/>
        <w:adjustRightInd w:val="0"/>
        <w:snapToGrid w:val="0"/>
        <w:spacing w:line="500" w:lineRule="exact"/>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1、项目概况</w:t>
      </w:r>
    </w:p>
    <w:p w14:paraId="0E1C01D1">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jc w:val="both"/>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en-US" w:eastAsia="zh-CN"/>
        </w:rPr>
        <w:t>江西财经大学枫林园</w:t>
      </w:r>
      <w:r>
        <w:rPr>
          <w:rFonts w:hint="eastAsia" w:ascii="宋体" w:hAnsi="宋体" w:eastAsia="宋体" w:cs="宋体"/>
          <w:color w:val="auto"/>
          <w:sz w:val="24"/>
          <w:szCs w:val="24"/>
          <w:highlight w:val="none"/>
          <w:lang w:val="zh-CN"/>
        </w:rPr>
        <w:t>白云楼历经二十余年办学使用，目前卫生间设施老化严重，大小便池、水龙头及管道普遍破损漏水；自来水</w:t>
      </w:r>
      <w:r>
        <w:rPr>
          <w:rFonts w:hint="eastAsia" w:ascii="宋体" w:hAnsi="宋体" w:eastAsia="宋体" w:cs="宋体"/>
          <w:color w:val="auto"/>
          <w:sz w:val="24"/>
          <w:szCs w:val="24"/>
          <w:highlight w:val="none"/>
          <w:lang w:val="en-US" w:eastAsia="zh-CN"/>
        </w:rPr>
        <w:t>存</w:t>
      </w:r>
      <w:r>
        <w:rPr>
          <w:rFonts w:hint="eastAsia" w:ascii="宋体" w:hAnsi="宋体" w:eastAsia="宋体" w:cs="宋体"/>
          <w:color w:val="auto"/>
          <w:sz w:val="24"/>
          <w:szCs w:val="24"/>
          <w:highlight w:val="none"/>
          <w:lang w:val="zh-CN"/>
        </w:rPr>
        <w:t>有异味，无法满足日常</w:t>
      </w:r>
      <w:r>
        <w:rPr>
          <w:rFonts w:hint="eastAsia" w:ascii="宋体" w:hAnsi="宋体" w:eastAsia="宋体" w:cs="宋体"/>
          <w:color w:val="auto"/>
          <w:sz w:val="24"/>
          <w:szCs w:val="24"/>
          <w:highlight w:val="none"/>
          <w:lang w:val="en-US" w:eastAsia="zh-CN"/>
        </w:rPr>
        <w:t>用水</w:t>
      </w:r>
      <w:r>
        <w:rPr>
          <w:rFonts w:hint="eastAsia" w:ascii="宋体" w:hAnsi="宋体" w:eastAsia="宋体" w:cs="宋体"/>
          <w:color w:val="auto"/>
          <w:sz w:val="24"/>
          <w:szCs w:val="24"/>
          <w:highlight w:val="none"/>
          <w:lang w:val="zh-CN"/>
        </w:rPr>
        <w:t>需求，严重影响教学和生活。本项目</w:t>
      </w:r>
      <w:r>
        <w:rPr>
          <w:rFonts w:hint="eastAsia" w:ascii="宋体" w:hAnsi="宋体" w:eastAsia="宋体" w:cs="宋体"/>
          <w:color w:val="auto"/>
          <w:sz w:val="24"/>
          <w:szCs w:val="24"/>
          <w:highlight w:val="none"/>
          <w:lang w:val="en-US" w:eastAsia="zh-CN"/>
        </w:rPr>
        <w:t>拟</w:t>
      </w:r>
      <w:r>
        <w:rPr>
          <w:rFonts w:hint="eastAsia" w:ascii="宋体" w:hAnsi="宋体" w:eastAsia="宋体" w:cs="宋体"/>
          <w:color w:val="auto"/>
          <w:sz w:val="24"/>
          <w:szCs w:val="24"/>
          <w:highlight w:val="none"/>
          <w:lang w:val="zh-CN"/>
        </w:rPr>
        <w:t>通过一次性整体维修改造，彻底消除白云楼卫生间的漏水隐患和设施老旧问题，恢复卫生间的正常使用功能，</w:t>
      </w:r>
      <w:r>
        <w:rPr>
          <w:rFonts w:hint="eastAsia" w:ascii="宋体" w:hAnsi="宋体" w:eastAsia="宋体" w:cs="宋体"/>
          <w:color w:val="auto"/>
          <w:sz w:val="24"/>
          <w:szCs w:val="24"/>
          <w:highlight w:val="none"/>
          <w:lang w:val="en-US" w:eastAsia="zh-CN"/>
        </w:rPr>
        <w:t>以满足</w:t>
      </w:r>
      <w:r>
        <w:rPr>
          <w:rFonts w:hint="eastAsia" w:ascii="宋体" w:hAnsi="宋体" w:eastAsia="宋体" w:cs="宋体"/>
          <w:color w:val="auto"/>
          <w:sz w:val="24"/>
          <w:szCs w:val="24"/>
          <w:highlight w:val="none"/>
          <w:lang w:val="zh-CN"/>
        </w:rPr>
        <w:t>师生</w:t>
      </w:r>
      <w:r>
        <w:rPr>
          <w:rFonts w:hint="eastAsia" w:ascii="宋体" w:hAnsi="宋体" w:eastAsia="宋体" w:cs="宋体"/>
          <w:color w:val="auto"/>
          <w:sz w:val="24"/>
          <w:szCs w:val="24"/>
          <w:highlight w:val="none"/>
          <w:lang w:val="en-US" w:eastAsia="zh-CN"/>
        </w:rPr>
        <w:t>日常用水</w:t>
      </w:r>
      <w:r>
        <w:rPr>
          <w:rFonts w:hint="eastAsia" w:ascii="宋体" w:hAnsi="宋体" w:eastAsia="宋体" w:cs="宋体"/>
          <w:color w:val="auto"/>
          <w:sz w:val="24"/>
          <w:szCs w:val="24"/>
          <w:highlight w:val="none"/>
          <w:lang w:val="zh-CN"/>
        </w:rPr>
        <w:t>需求</w:t>
      </w:r>
      <w:r>
        <w:rPr>
          <w:rFonts w:hint="eastAsia" w:ascii="宋体" w:hAnsi="宋体" w:eastAsia="宋体" w:cs="宋体"/>
          <w:color w:val="auto"/>
          <w:sz w:val="24"/>
          <w:szCs w:val="24"/>
          <w:highlight w:val="none"/>
          <w:lang w:val="en-US" w:eastAsia="zh-CN"/>
        </w:rPr>
        <w:t>和</w:t>
      </w:r>
      <w:r>
        <w:rPr>
          <w:rFonts w:hint="eastAsia" w:ascii="宋体" w:hAnsi="宋体" w:eastAsia="宋体" w:cs="宋体"/>
          <w:color w:val="auto"/>
          <w:sz w:val="24"/>
          <w:szCs w:val="24"/>
          <w:highlight w:val="none"/>
          <w:lang w:val="zh-CN"/>
        </w:rPr>
        <w:t>提供良好</w:t>
      </w:r>
      <w:r>
        <w:rPr>
          <w:rFonts w:hint="eastAsia" w:ascii="宋体" w:hAnsi="宋体" w:eastAsia="宋体" w:cs="宋体"/>
          <w:color w:val="auto"/>
          <w:sz w:val="24"/>
          <w:szCs w:val="24"/>
          <w:highlight w:val="none"/>
          <w:lang w:val="en-US" w:eastAsia="zh-CN"/>
        </w:rPr>
        <w:t>工作和学习</w:t>
      </w:r>
      <w:r>
        <w:rPr>
          <w:rFonts w:hint="eastAsia" w:ascii="宋体" w:hAnsi="宋体" w:eastAsia="宋体" w:cs="宋体"/>
          <w:color w:val="auto"/>
          <w:sz w:val="24"/>
          <w:szCs w:val="24"/>
          <w:highlight w:val="none"/>
          <w:lang w:val="zh-CN"/>
        </w:rPr>
        <w:t>环境，从而保障出国留学预备学院正常的教学秩序和师生基本生活便利，提升校园公共服务设施品质。</w:t>
      </w:r>
      <w:r>
        <w:rPr>
          <w:rFonts w:hint="eastAsia" w:ascii="宋体" w:hAnsi="宋体" w:eastAsia="宋体" w:cs="宋体"/>
          <w:color w:val="auto"/>
          <w:sz w:val="24"/>
          <w:szCs w:val="24"/>
          <w:highlight w:val="none"/>
          <w:lang w:val="en-US" w:eastAsia="zh-CN"/>
        </w:rPr>
        <w:t>项目</w:t>
      </w:r>
      <w:r>
        <w:rPr>
          <w:rFonts w:hint="eastAsia" w:ascii="宋体" w:hAnsi="宋体" w:eastAsia="宋体" w:cs="宋体"/>
          <w:color w:val="auto"/>
          <w:sz w:val="24"/>
          <w:szCs w:val="24"/>
          <w:highlight w:val="none"/>
          <w:lang w:val="zh-CN"/>
        </w:rPr>
        <w:t>内容：对全部10个卫生间（490㎡）实施整体翻新，包括墙地顶更新与防水加强，拆除更换老化洁具管道</w:t>
      </w:r>
      <w:r>
        <w:rPr>
          <w:rFonts w:hint="eastAsia" w:ascii="宋体" w:hAnsi="宋体" w:eastAsia="宋体" w:cs="宋体"/>
          <w:color w:val="auto"/>
          <w:sz w:val="24"/>
          <w:szCs w:val="24"/>
          <w:highlight w:val="none"/>
          <w:lang w:val="en-US" w:eastAsia="zh-CN"/>
        </w:rPr>
        <w:t>等设施</w:t>
      </w:r>
      <w:r>
        <w:rPr>
          <w:rFonts w:hint="eastAsia" w:ascii="宋体" w:hAnsi="宋体" w:eastAsia="宋体" w:cs="宋体"/>
          <w:color w:val="auto"/>
          <w:sz w:val="24"/>
          <w:szCs w:val="24"/>
          <w:highlight w:val="none"/>
          <w:lang w:val="zh-CN"/>
        </w:rPr>
        <w:t>并全面防</w:t>
      </w:r>
      <w:r>
        <w:rPr>
          <w:rFonts w:hint="eastAsia" w:ascii="宋体" w:hAnsi="宋体" w:eastAsia="宋体" w:cs="宋体"/>
          <w:color w:val="auto"/>
          <w:sz w:val="24"/>
          <w:szCs w:val="24"/>
          <w:highlight w:val="none"/>
          <w:lang w:val="en-US" w:eastAsia="zh-CN"/>
        </w:rPr>
        <w:t>漏</w:t>
      </w:r>
      <w:r>
        <w:rPr>
          <w:rFonts w:hint="eastAsia" w:ascii="宋体" w:hAnsi="宋体" w:eastAsia="宋体" w:cs="宋体"/>
          <w:color w:val="auto"/>
          <w:sz w:val="24"/>
          <w:szCs w:val="24"/>
          <w:highlight w:val="none"/>
          <w:lang w:val="zh-CN"/>
        </w:rPr>
        <w:t>，同步全面改造自来水设施，彻底消除异味与供水问题。</w:t>
      </w:r>
    </w:p>
    <w:p w14:paraId="35AF05E0">
      <w:pPr>
        <w:keepNext w:val="0"/>
        <w:keepLines w:val="0"/>
        <w:pageBreakBefore w:val="0"/>
        <w:widowControl/>
        <w:wordWrap/>
        <w:overflowPunct/>
        <w:topLinePunct w:val="0"/>
        <w:autoSpaceDE w:val="0"/>
        <w:autoSpaceDN w:val="0"/>
        <w:bidi w:val="0"/>
        <w:adjustRightInd w:val="0"/>
        <w:snapToGrid w:val="0"/>
        <w:spacing w:line="500" w:lineRule="exact"/>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2、工程服务需求</w:t>
      </w:r>
    </w:p>
    <w:p w14:paraId="47A37F79">
      <w:pPr>
        <w:keepNext w:val="0"/>
        <w:keepLines w:val="0"/>
        <w:pageBreakBefore w:val="0"/>
        <w:widowControl/>
        <w:wordWrap/>
        <w:overflowPunct/>
        <w:topLinePunct w:val="0"/>
        <w:autoSpaceDE w:val="0"/>
        <w:autoSpaceDN w:val="0"/>
        <w:bidi w:val="0"/>
        <w:adjustRightInd w:val="0"/>
        <w:snapToGrid w:val="0"/>
        <w:spacing w:line="500" w:lineRule="exact"/>
        <w:textAlignment w:val="baseline"/>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2.1 </w:t>
      </w:r>
      <w:r>
        <w:rPr>
          <w:rFonts w:hint="eastAsia" w:ascii="宋体" w:hAnsi="宋体" w:eastAsia="宋体" w:cs="宋体"/>
          <w:b/>
          <w:bCs/>
          <w:color w:val="auto"/>
          <w:sz w:val="24"/>
          <w:szCs w:val="24"/>
          <w:highlight w:val="none"/>
        </w:rPr>
        <w:t>工程量清单</w:t>
      </w:r>
      <w:r>
        <w:rPr>
          <w:rFonts w:hint="eastAsia" w:ascii="宋体" w:hAnsi="宋体" w:eastAsia="宋体" w:cs="宋体"/>
          <w:b/>
          <w:bCs/>
          <w:color w:val="auto"/>
          <w:sz w:val="24"/>
          <w:szCs w:val="24"/>
          <w:highlight w:val="none"/>
          <w:lang w:val="en-US" w:eastAsia="zh-CN"/>
        </w:rPr>
        <w:t>和施工图纸</w:t>
      </w:r>
    </w:p>
    <w:p w14:paraId="5EE0F532">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详见</w:t>
      </w:r>
      <w:r>
        <w:rPr>
          <w:rFonts w:hint="eastAsia" w:ascii="宋体" w:hAnsi="宋体" w:eastAsia="宋体" w:cs="宋体"/>
          <w:color w:val="auto"/>
          <w:sz w:val="24"/>
          <w:szCs w:val="24"/>
          <w:highlight w:val="none"/>
          <w:lang w:val="en-US" w:eastAsia="zh-CN"/>
        </w:rPr>
        <w:t>附件</w:t>
      </w:r>
      <w:r>
        <w:rPr>
          <w:rFonts w:hint="eastAsia" w:ascii="宋体" w:hAnsi="宋体" w:eastAsia="宋体" w:cs="宋体"/>
          <w:color w:val="auto"/>
          <w:sz w:val="24"/>
          <w:szCs w:val="24"/>
          <w:highlight w:val="none"/>
          <w:lang w:val="zh-CN"/>
        </w:rPr>
        <w:t>。</w:t>
      </w:r>
    </w:p>
    <w:p w14:paraId="18EEC589">
      <w:pPr>
        <w:keepNext w:val="0"/>
        <w:keepLines w:val="0"/>
        <w:pageBreakBefore w:val="0"/>
        <w:widowControl/>
        <w:wordWrap/>
        <w:overflowPunct/>
        <w:topLinePunct w:val="0"/>
        <w:autoSpaceDE w:val="0"/>
        <w:autoSpaceDN w:val="0"/>
        <w:bidi w:val="0"/>
        <w:adjustRightInd w:val="0"/>
        <w:snapToGrid w:val="0"/>
        <w:spacing w:line="500" w:lineRule="exact"/>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2.2 预算编制要求</w:t>
      </w:r>
    </w:p>
    <w:p w14:paraId="45A1C884">
      <w:pPr>
        <w:keepNext w:val="0"/>
        <w:keepLines w:val="0"/>
        <w:pageBreakBefore w:val="0"/>
        <w:widowControl/>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 xml:space="preserve">2.2.1 </w:t>
      </w:r>
      <w:r>
        <w:rPr>
          <w:rFonts w:hint="eastAsia" w:ascii="宋体" w:hAnsi="宋体" w:eastAsia="宋体" w:cs="宋体"/>
          <w:b/>
          <w:color w:val="auto"/>
          <w:sz w:val="24"/>
          <w:szCs w:val="24"/>
          <w:highlight w:val="none"/>
        </w:rPr>
        <w:t>编制依据</w:t>
      </w:r>
    </w:p>
    <w:p w14:paraId="21DE7909">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（1）《建设工程造价咨询规范》（GB/T51095-2015）；</w:t>
      </w:r>
    </w:p>
    <w:p w14:paraId="6ED617EC">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（2）《建设工程最高投标限价编审规程》（CECA/GC6-2011）；</w:t>
      </w:r>
    </w:p>
    <w:p w14:paraId="2660A7C8">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（3）赣建城镇〔2025〕30号文“关于贯彻执行《建设工程工程量清单计价标准》（GB/T 50500-2024）及九项专业工程工程量计算标准的通知”；</w:t>
      </w:r>
    </w:p>
    <w:p w14:paraId="65115E9F">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（4）赣建城镇〔2025〕50号文“关于贯彻执行2024版《建设工程工程量清单计价标准》及配套工程量计算标准的实施意见”；</w:t>
      </w:r>
    </w:p>
    <w:p w14:paraId="6667F817">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（5）《江西省建筑工程消耗量定额及统一基价表（2017年）》、《江西省装饰装修工程消耗量定额及统一基价表（2017年）》、《江西省通用安装工程消耗量定额及统一计价表（2017年）》；</w:t>
      </w:r>
    </w:p>
    <w:p w14:paraId="3DA56DA3">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（6）施工图纸；</w:t>
      </w:r>
    </w:p>
    <w:p w14:paraId="0E6BD38B">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（7）工程所在地的信息价：2026年第5期《南昌市建设工程造价信息》南昌地区价格，无信息价材料按市场价；</w:t>
      </w:r>
    </w:p>
    <w:p w14:paraId="09606354">
      <w:pPr>
        <w:keepNext w:val="0"/>
        <w:keepLines w:val="0"/>
        <w:pageBreakBefore w:val="0"/>
        <w:widowControl/>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color w:val="auto"/>
          <w:sz w:val="24"/>
          <w:szCs w:val="24"/>
          <w:highlight w:val="none"/>
          <w:lang w:val="zh-CN"/>
        </w:rPr>
      </w:pPr>
      <w:r>
        <w:rPr>
          <w:rFonts w:hint="eastAsia" w:ascii="宋体" w:hAnsi="宋体" w:eastAsia="宋体" w:cs="宋体"/>
          <w:b/>
          <w:color w:val="auto"/>
          <w:sz w:val="24"/>
          <w:szCs w:val="24"/>
          <w:highlight w:val="none"/>
          <w:lang w:val="en-US" w:eastAsia="zh-CN"/>
        </w:rPr>
        <w:t xml:space="preserve">2.2.2 </w:t>
      </w:r>
      <w:r>
        <w:rPr>
          <w:rFonts w:hint="eastAsia" w:ascii="宋体" w:hAnsi="宋体" w:eastAsia="宋体" w:cs="宋体"/>
          <w:b/>
          <w:color w:val="auto"/>
          <w:sz w:val="24"/>
          <w:szCs w:val="24"/>
          <w:highlight w:val="none"/>
          <w:lang w:val="zh-CN"/>
        </w:rPr>
        <w:t>编制说明：</w:t>
      </w:r>
    </w:p>
    <w:p w14:paraId="535F5D81">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（1）卫生间地砖、墙砖均做美缝处理；</w:t>
      </w:r>
    </w:p>
    <w:p w14:paraId="0C930498">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（2）工程所用砼及砂浆均为现拌；</w:t>
      </w:r>
    </w:p>
    <w:p w14:paraId="137E9728">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（3）门窗工程中门窗五金及各种配件均已包含在主材单价中考虑，门套单独计算；</w:t>
      </w:r>
    </w:p>
    <w:p w14:paraId="192258E8">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（4）吊顶均按照铝扣板及铝条收口条进行收边计算；</w:t>
      </w:r>
    </w:p>
    <w:p w14:paraId="698DD63A">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（5）本项目无大型机械进出场及安拆费；</w:t>
      </w:r>
    </w:p>
    <w:p w14:paraId="18485424">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（6）卫生间套管及预留孔洞按新增计算到位；</w:t>
      </w:r>
    </w:p>
    <w:p w14:paraId="19693E6D">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（7）镜前灯工程量已包含在成品带LED灯防雾镜报价中；</w:t>
      </w:r>
    </w:p>
    <w:p w14:paraId="18D70827">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（8）饮水机利旧使用，不计算新增费用。</w:t>
      </w:r>
    </w:p>
    <w:p w14:paraId="5F981150">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（9）其余安装部分已按照图纸计算到位；</w:t>
      </w:r>
    </w:p>
    <w:p w14:paraId="67DD14C2">
      <w:pPr>
        <w:keepNext w:val="0"/>
        <w:keepLines w:val="0"/>
        <w:pageBreakBefore w:val="0"/>
        <w:widowControl/>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bCs/>
          <w:color w:val="auto"/>
          <w:sz w:val="24"/>
          <w:szCs w:val="24"/>
          <w:highlight w:val="none"/>
          <w:lang w:val="zh-CN"/>
        </w:rPr>
      </w:pPr>
      <w:r>
        <w:rPr>
          <w:rFonts w:hint="eastAsia" w:ascii="宋体" w:hAnsi="宋体" w:eastAsia="宋体" w:cs="宋体"/>
          <w:b/>
          <w:bCs/>
          <w:color w:val="auto"/>
          <w:sz w:val="24"/>
          <w:szCs w:val="24"/>
          <w:highlight w:val="none"/>
          <w:lang w:val="zh-CN"/>
        </w:rPr>
        <w:t>（10）本工程暂列金额暂按70000元计取。</w:t>
      </w:r>
    </w:p>
    <w:p w14:paraId="58CBE754">
      <w:pPr>
        <w:keepNext w:val="0"/>
        <w:keepLines w:val="0"/>
        <w:pageBreakBefore w:val="0"/>
        <w:widowControl/>
        <w:wordWrap/>
        <w:overflowPunct/>
        <w:topLinePunct w:val="0"/>
        <w:autoSpaceDE w:val="0"/>
        <w:autoSpaceDN w:val="0"/>
        <w:bidi w:val="0"/>
        <w:adjustRightInd w:val="0"/>
        <w:snapToGrid w:val="0"/>
        <w:spacing w:line="500" w:lineRule="exact"/>
        <w:ind w:firstLine="482" w:firstLineChars="200"/>
        <w:textAlignment w:val="baseline"/>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2.2.3其他事项说明</w:t>
      </w:r>
    </w:p>
    <w:p w14:paraId="667A39A4">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本工程最高投标限价文件编制使用的主材，参考了以下品牌计价，具体如下：</w:t>
      </w:r>
    </w:p>
    <w:p w14:paraId="7A0244BB">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（1）建筑、装饰材料：</w:t>
      </w:r>
    </w:p>
    <w:p w14:paraId="4413B950">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①防水材料品牌为：科顺、东方雨虹、卓宝；</w:t>
      </w:r>
    </w:p>
    <w:p w14:paraId="43B903CF">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②抗裂砂浆品牌为：中德新亚、奥牌、杨泰；</w:t>
      </w:r>
    </w:p>
    <w:p w14:paraId="2BD3FC8F">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③内墙腻子、乳胶漆、涂料品牌为：多乐士、华润、三棵树；</w:t>
      </w:r>
    </w:p>
    <w:p w14:paraId="7E8CC40D">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④实木门品牌为：美心、梦天MTMT、盼盼；</w:t>
      </w:r>
    </w:p>
    <w:p w14:paraId="794A1936">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⑤墙、地砖品牌为：马可波罗、蒙娜丽莎、斯米克、诺贝尔（要求为优等品）；</w:t>
      </w:r>
    </w:p>
    <w:p w14:paraId="2AB61B70">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⑥铝扣板品牌为：奥普、名族、镁乐、南京银虎；</w:t>
      </w:r>
    </w:p>
    <w:p w14:paraId="2747640B">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⑦PVC塑胶地板品牌为：LG、阿姆斯壮、得喜（要求为同心透质）；</w:t>
      </w:r>
    </w:p>
    <w:p w14:paraId="78D5B0FE">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⑧一代抗倍特板品牌为：富美家、威盛亚、雅美家。</w:t>
      </w:r>
    </w:p>
    <w:p w14:paraId="38F3E68D">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（2）安装材料：</w:t>
      </w:r>
    </w:p>
    <w:p w14:paraId="7FE086CF">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 xml:space="preserve">①卫浴洁具及配件品牌为：安华、惠达、英皇、恒洁、 法恩莎（含大便器、小便器、洗脸盆、龙头花洒、阀门 ）；  </w:t>
      </w:r>
    </w:p>
    <w:p w14:paraId="63A0C05D">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②灯具品牌为：飞利浦、雷士、欧普、佛山照明、三雄极光（格栅灯盘要求为亚光铝）；</w:t>
      </w:r>
    </w:p>
    <w:p w14:paraId="290091B8">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③插座、开关品牌为：ABB、西门子、施耐德；</w:t>
      </w:r>
    </w:p>
    <w:p w14:paraId="15E302D5">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④塑料排水管材（PP-R、PVC、 PE、PP-C、UPVC、HDPE管材 ）品牌为：金德、日丰、联塑、顾地；</w:t>
      </w:r>
    </w:p>
    <w:p w14:paraId="40F067B1">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⑤电线电缆品牌为：浙江万马、赣昌、太平洋；</w:t>
      </w:r>
    </w:p>
    <w:p w14:paraId="61C6C19F">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⑥LED光源品牌参考：飞利浦、雷士、欧普、佛山照明、三雄极光；</w:t>
      </w:r>
    </w:p>
    <w:p w14:paraId="20FEE62D">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⑦电工线管\线槽品牌参考：福建亚通、福建华亚、佛山塑料；</w:t>
      </w:r>
    </w:p>
    <w:p w14:paraId="6DD11806">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⑧信息插座品牌参考：清华同方、TCL、华为；</w:t>
      </w:r>
    </w:p>
    <w:p w14:paraId="0993898E">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⑨摄像头品牌参考：海康威视、大华、宇视；</w:t>
      </w:r>
    </w:p>
    <w:p w14:paraId="7C10CB4C">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lang w:val="zh-CN"/>
        </w:rPr>
        <w:t>⑩皮线光缆品牌参考：一舟，普天天纪或普天汉飞、广东欢联；</w:t>
      </w:r>
    </w:p>
    <w:p w14:paraId="2B542416">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zh-CN"/>
        </w:rPr>
      </w:pPr>
      <w:r>
        <w:rPr>
          <w:rFonts w:hint="eastAsia" w:ascii="微软雅黑" w:hAnsi="微软雅黑" w:eastAsia="微软雅黑" w:cs="微软雅黑"/>
          <w:color w:val="auto"/>
          <w:sz w:val="24"/>
          <w:szCs w:val="24"/>
          <w:highlight w:val="none"/>
          <w:lang w:val="zh-CN"/>
        </w:rPr>
        <w:t>⑪</w:t>
      </w:r>
      <w:r>
        <w:rPr>
          <w:rFonts w:hint="eastAsia" w:ascii="宋体" w:hAnsi="宋体" w:eastAsia="宋体" w:cs="宋体"/>
          <w:color w:val="auto"/>
          <w:sz w:val="24"/>
          <w:szCs w:val="24"/>
          <w:highlight w:val="none"/>
          <w:lang w:val="zh-CN"/>
        </w:rPr>
        <w:t>焊接钢管、无缝钢管、镀锌钢管及配件品牌参考：上海劳动、浙江华岐、浙江金洲、天津友发。</w:t>
      </w:r>
    </w:p>
    <w:p w14:paraId="61E03DA3">
      <w:pPr>
        <w:keepNext w:val="0"/>
        <w:keepLines w:val="0"/>
        <w:pageBreakBefore w:val="0"/>
        <w:widowControl/>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 xml:space="preserve">2.2.4 </w:t>
      </w:r>
      <w:r>
        <w:rPr>
          <w:rFonts w:hint="eastAsia" w:ascii="宋体" w:hAnsi="宋体" w:eastAsia="宋体" w:cs="宋体"/>
          <w:b/>
          <w:bCs/>
          <w:color w:val="auto"/>
          <w:sz w:val="24"/>
          <w:szCs w:val="24"/>
          <w:highlight w:val="none"/>
        </w:rPr>
        <w:t>编制要求：</w:t>
      </w:r>
    </w:p>
    <w:p w14:paraId="710778D4">
      <w:pPr>
        <w:keepNext w:val="0"/>
        <w:keepLines w:val="0"/>
        <w:pageBreakBefore w:val="0"/>
        <w:widowControl/>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（1）安全</w:t>
      </w:r>
      <w:r>
        <w:rPr>
          <w:rFonts w:hint="eastAsia" w:ascii="宋体" w:hAnsi="宋体" w:eastAsia="宋体" w:cs="宋体"/>
          <w:b/>
          <w:bCs/>
          <w:color w:val="auto"/>
          <w:sz w:val="24"/>
          <w:szCs w:val="24"/>
          <w:highlight w:val="none"/>
          <w:lang w:val="en-US" w:eastAsia="zh-CN"/>
        </w:rPr>
        <w:t>生产措施</w:t>
      </w:r>
      <w:r>
        <w:rPr>
          <w:rFonts w:hint="eastAsia" w:ascii="宋体" w:hAnsi="宋体" w:eastAsia="宋体" w:cs="宋体"/>
          <w:b/>
          <w:bCs/>
          <w:color w:val="auto"/>
          <w:sz w:val="24"/>
          <w:szCs w:val="24"/>
          <w:highlight w:val="none"/>
        </w:rPr>
        <w:t>费、</w:t>
      </w:r>
      <w:r>
        <w:rPr>
          <w:rFonts w:hint="eastAsia" w:ascii="宋体" w:hAnsi="宋体" w:eastAsia="宋体" w:cs="宋体"/>
          <w:b/>
          <w:bCs/>
          <w:color w:val="auto"/>
          <w:sz w:val="24"/>
          <w:szCs w:val="24"/>
          <w:highlight w:val="none"/>
          <w:lang w:val="en-US" w:eastAsia="zh-CN"/>
        </w:rPr>
        <w:t>增值税</w:t>
      </w:r>
      <w:r>
        <w:rPr>
          <w:rFonts w:hint="eastAsia" w:ascii="宋体" w:hAnsi="宋体" w:eastAsia="宋体" w:cs="宋体"/>
          <w:b/>
          <w:bCs/>
          <w:color w:val="auto"/>
          <w:sz w:val="24"/>
          <w:szCs w:val="24"/>
          <w:highlight w:val="none"/>
        </w:rPr>
        <w:t>税金及采购人给定的暂列金额和暂估价为不可竞争费用，不能优惠让利，否则视为无效响应；</w:t>
      </w:r>
    </w:p>
    <w:p w14:paraId="74A5E851">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（2）响应报价中的可竞争费用的有关项目不得出现零或负报价；</w:t>
      </w:r>
    </w:p>
    <w:p w14:paraId="37A930B5">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（3）如果供应商报价中有通过不平衡报价方式获取超额利润的项目，在工程量调整时，采购人都有权对其不合理综合单价进行调整；</w:t>
      </w:r>
    </w:p>
    <w:p w14:paraId="2E9C0AB6">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（4）响应文件须完全响应采购文件工程量清单中的项目编码、项目名称、项目特征、计量单位、数量，</w:t>
      </w:r>
      <w:r>
        <w:rPr>
          <w:rFonts w:hint="eastAsia" w:ascii="宋体" w:hAnsi="宋体" w:eastAsia="宋体" w:cs="宋体"/>
          <w:b/>
          <w:bCs/>
          <w:color w:val="auto"/>
          <w:sz w:val="24"/>
          <w:szCs w:val="24"/>
          <w:highlight w:val="none"/>
        </w:rPr>
        <w:t>否则视为无效响应</w:t>
      </w:r>
      <w:r>
        <w:rPr>
          <w:rFonts w:hint="eastAsia" w:ascii="宋体" w:hAnsi="宋体" w:eastAsia="宋体" w:cs="宋体"/>
          <w:color w:val="auto"/>
          <w:sz w:val="24"/>
          <w:szCs w:val="24"/>
          <w:highlight w:val="none"/>
          <w:lang w:eastAsia="zh-CN"/>
        </w:rPr>
        <w:t>；</w:t>
      </w:r>
    </w:p>
    <w:p w14:paraId="3F321573">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（5）分部分项工程量清单中对工程项目的项目特征及具体做法只作重点描述，详细情况见施工图纸设计、技术说明及相关标准图集，组价时应结合</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现场勘察情况，包含完成所有工序工作内容的全部费用，清单描述不能作为</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漏项、漏量的借口</w:t>
      </w:r>
      <w:r>
        <w:rPr>
          <w:rFonts w:hint="eastAsia" w:ascii="宋体" w:hAnsi="宋体" w:eastAsia="宋体" w:cs="宋体"/>
          <w:color w:val="auto"/>
          <w:sz w:val="24"/>
          <w:szCs w:val="24"/>
          <w:highlight w:val="none"/>
          <w:lang w:eastAsia="zh-CN"/>
        </w:rPr>
        <w:t>；</w:t>
      </w:r>
    </w:p>
    <w:p w14:paraId="75124B70">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（6）其它约定：</w:t>
      </w:r>
    </w:p>
    <w:p w14:paraId="6DDC72E1">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①施工用电：采购人提供电源，用电费用由成交供应商承担，若自行发电，差价另计。</w:t>
      </w:r>
    </w:p>
    <w:p w14:paraId="269524F9">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②施工用水：采购人提供供水点，用水费用由成交供应商承担。</w:t>
      </w:r>
    </w:p>
    <w:p w14:paraId="2B0C695C">
      <w:pPr>
        <w:keepNext w:val="0"/>
        <w:keepLines w:val="0"/>
        <w:pageBreakBefore w:val="0"/>
        <w:widowControl/>
        <w:wordWrap/>
        <w:overflowPunct/>
        <w:topLinePunct w:val="0"/>
        <w:autoSpaceDE w:val="0"/>
        <w:autoSpaceDN w:val="0"/>
        <w:bidi w:val="0"/>
        <w:adjustRightInd w:val="0"/>
        <w:snapToGrid w:val="0"/>
        <w:spacing w:line="500" w:lineRule="exact"/>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3、</w:t>
      </w:r>
      <w:r>
        <w:rPr>
          <w:rFonts w:hint="eastAsia" w:ascii="宋体" w:hAnsi="宋体" w:eastAsia="宋体" w:cs="宋体"/>
          <w:b/>
          <w:bCs/>
          <w:color w:val="auto"/>
          <w:sz w:val="24"/>
          <w:szCs w:val="24"/>
          <w:highlight w:val="none"/>
        </w:rPr>
        <w:t>结算原则</w:t>
      </w:r>
    </w:p>
    <w:p w14:paraId="410AEEF7">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3.1 按发包人认可且验收合格的实际工作量结算。</w:t>
      </w:r>
    </w:p>
    <w:p w14:paraId="5BC5D482">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3.2 </w:t>
      </w:r>
      <w:r>
        <w:rPr>
          <w:rFonts w:hint="eastAsia" w:ascii="宋体" w:hAnsi="宋体" w:eastAsia="宋体" w:cs="宋体"/>
          <w:color w:val="auto"/>
          <w:sz w:val="24"/>
          <w:szCs w:val="24"/>
          <w:highlight w:val="none"/>
        </w:rPr>
        <w:t>由于各方原因无法实施的分部分项工程且投标综合单价严重低于招标控制价综合单价的部分，按采购人招标控制价的综合单价进行扣减。</w:t>
      </w:r>
    </w:p>
    <w:p w14:paraId="05DFE6E0">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3.3 </w:t>
      </w:r>
      <w:r>
        <w:rPr>
          <w:rFonts w:hint="eastAsia" w:ascii="宋体" w:hAnsi="宋体" w:eastAsia="宋体" w:cs="宋体"/>
          <w:color w:val="auto"/>
          <w:sz w:val="24"/>
          <w:szCs w:val="24"/>
          <w:highlight w:val="none"/>
        </w:rPr>
        <w:t>变更项目计价原则：</w:t>
      </w:r>
    </w:p>
    <w:p w14:paraId="0E7FD4A8">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①招标控制价及工程量清单有的项目，按照原报价清单计价。</w:t>
      </w:r>
    </w:p>
    <w:p w14:paraId="47FBD9F2">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②招标控制价及工程量清单有相类似的项目，参照相类似的项目报价清单计价。</w:t>
      </w:r>
    </w:p>
    <w:p w14:paraId="23EF2D1A">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③若招标控制价及工程量清单中缺项或新增项目重新组价。计价按江西省相关费用定额套价，材料价格执行招标当月《南昌市建设工程造价信息》；若无相关定额或信息价可参照的分项，由采购人、监理及成交供应商进行市场询价确定。重新组价项目均按成交价与控制价的下浮计算的同比列下浮，计算下浮比例时应当扣除z值(暂列金额、暂估价)。</w:t>
      </w:r>
    </w:p>
    <w:p w14:paraId="04FF11AA">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3.4 </w:t>
      </w:r>
      <w:r>
        <w:rPr>
          <w:rFonts w:hint="eastAsia" w:ascii="宋体" w:hAnsi="宋体" w:eastAsia="宋体" w:cs="宋体"/>
          <w:color w:val="auto"/>
          <w:sz w:val="24"/>
          <w:szCs w:val="24"/>
          <w:highlight w:val="none"/>
        </w:rPr>
        <w:t>供应商所报最后报价在合同执行过程中是固定不变的，不得以任何理由予以变更，供应商所报最后报价在合同实施期间不因市场变化因素而变动。如果因供应商原因引起的报价失误在</w:t>
      </w:r>
      <w:r>
        <w:rPr>
          <w:rFonts w:hint="eastAsia" w:ascii="宋体" w:hAnsi="宋体" w:eastAsia="宋体" w:cs="宋体"/>
          <w:color w:val="auto"/>
          <w:sz w:val="24"/>
          <w:szCs w:val="24"/>
          <w:highlight w:val="none"/>
          <w:lang w:val="en-US" w:eastAsia="zh-CN"/>
        </w:rPr>
        <w:t>谈判</w:t>
      </w:r>
      <w:r>
        <w:rPr>
          <w:rFonts w:hint="eastAsia" w:ascii="宋体" w:hAnsi="宋体" w:eastAsia="宋体" w:cs="宋体"/>
          <w:color w:val="auto"/>
          <w:sz w:val="24"/>
          <w:szCs w:val="24"/>
          <w:highlight w:val="none"/>
        </w:rPr>
        <w:t>时被接受，其后果由供应商自行负责。</w:t>
      </w:r>
    </w:p>
    <w:p w14:paraId="06CCE627">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3.5 </w:t>
      </w:r>
      <w:r>
        <w:rPr>
          <w:rFonts w:hint="eastAsia" w:ascii="宋体" w:hAnsi="宋体" w:eastAsia="宋体" w:cs="宋体"/>
          <w:color w:val="auto"/>
          <w:sz w:val="24"/>
          <w:szCs w:val="24"/>
          <w:highlight w:val="none"/>
        </w:rPr>
        <w:t>签证变更中有相同或类似响应清单的项目，执行响应清单结算综合单价。响应清单结算综合单价=响应文件工程量清单综合单价×(1-最终报价下浮系数)。其中：最终报价下浮系数=[1-（最终报价-</w:t>
      </w:r>
      <w:r>
        <w:rPr>
          <w:rFonts w:hint="eastAsia" w:ascii="宋体" w:hAnsi="宋体" w:eastAsia="宋体" w:cs="宋体"/>
          <w:color w:val="auto"/>
          <w:sz w:val="24"/>
          <w:szCs w:val="24"/>
          <w:highlight w:val="none"/>
          <w:lang w:val="en-US" w:eastAsia="zh-CN"/>
        </w:rPr>
        <w:t>安全生产措施</w:t>
      </w:r>
      <w:r>
        <w:rPr>
          <w:rFonts w:hint="eastAsia" w:ascii="宋体" w:hAnsi="宋体" w:eastAsia="宋体" w:cs="宋体"/>
          <w:color w:val="auto"/>
          <w:sz w:val="24"/>
          <w:szCs w:val="24"/>
          <w:highlight w:val="none"/>
        </w:rPr>
        <w:t>费-暂列金额-暂估价）/（首次报价-</w:t>
      </w:r>
      <w:r>
        <w:rPr>
          <w:rFonts w:hint="eastAsia" w:ascii="宋体" w:hAnsi="宋体" w:eastAsia="宋体" w:cs="宋体"/>
          <w:color w:val="auto"/>
          <w:sz w:val="24"/>
          <w:szCs w:val="24"/>
          <w:highlight w:val="none"/>
          <w:lang w:val="en-US" w:eastAsia="zh-CN"/>
        </w:rPr>
        <w:t>安全生产措施</w:t>
      </w:r>
      <w:r>
        <w:rPr>
          <w:rFonts w:hint="eastAsia" w:ascii="宋体" w:hAnsi="宋体" w:eastAsia="宋体" w:cs="宋体"/>
          <w:color w:val="auto"/>
          <w:sz w:val="24"/>
          <w:szCs w:val="24"/>
          <w:highlight w:val="none"/>
        </w:rPr>
        <w:t>费-暂列金额-暂估价）]×100%。施工过程中经双方认可的签证或变更，上调幅度不得超过合同总价的10%。</w:t>
      </w:r>
    </w:p>
    <w:p w14:paraId="2A4056AE">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3.6 </w:t>
      </w:r>
      <w:r>
        <w:rPr>
          <w:rFonts w:hint="eastAsia" w:ascii="宋体" w:hAnsi="宋体" w:eastAsia="宋体" w:cs="宋体"/>
          <w:color w:val="auto"/>
          <w:sz w:val="24"/>
          <w:szCs w:val="24"/>
          <w:highlight w:val="none"/>
        </w:rPr>
        <w:t>本工程暂列项目及暂列金的启用，需建设项目管理单位、监理及全过程结算审计单位（如有）一同到现场确核查后，按照需要才能启动，未实施的项目在结算款中扣除。</w:t>
      </w:r>
    </w:p>
    <w:p w14:paraId="2B7F6529">
      <w:pPr>
        <w:keepNext w:val="0"/>
        <w:keepLines w:val="0"/>
        <w:pageBreakBefore w:val="0"/>
        <w:widowControl/>
        <w:wordWrap/>
        <w:overflowPunct/>
        <w:topLinePunct w:val="0"/>
        <w:autoSpaceDE w:val="0"/>
        <w:autoSpaceDN w:val="0"/>
        <w:bidi w:val="0"/>
        <w:adjustRightInd w:val="0"/>
        <w:snapToGrid w:val="0"/>
        <w:spacing w:line="500" w:lineRule="exact"/>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4、项目管理</w:t>
      </w:r>
      <w:r>
        <w:rPr>
          <w:rFonts w:hint="eastAsia" w:ascii="宋体" w:hAnsi="宋体" w:eastAsia="宋体" w:cs="宋体"/>
          <w:b/>
          <w:bCs/>
          <w:color w:val="auto"/>
          <w:sz w:val="24"/>
          <w:szCs w:val="24"/>
          <w:highlight w:val="none"/>
        </w:rPr>
        <w:t>人员要求</w:t>
      </w:r>
    </w:p>
    <w:p w14:paraId="7F2372CB">
      <w:pPr>
        <w:keepNext w:val="0"/>
        <w:keepLines w:val="0"/>
        <w:pageBreakBefore w:val="0"/>
        <w:widowControl/>
        <w:wordWrap/>
        <w:overflowPunct/>
        <w:topLinePunct w:val="0"/>
        <w:autoSpaceDE w:val="0"/>
        <w:autoSpaceDN w:val="0"/>
        <w:bidi w:val="0"/>
        <w:adjustRightInd w:val="0"/>
        <w:snapToGrid w:val="0"/>
        <w:spacing w:line="500" w:lineRule="exact"/>
        <w:ind w:firstLine="456" w:firstLineChars="200"/>
        <w:textAlignment w:val="baseline"/>
        <w:rPr>
          <w:rFonts w:ascii="宋体" w:hAnsi="宋体" w:eastAsia="宋体" w:cs="微软雅黑"/>
          <w:color w:val="auto"/>
          <w:sz w:val="24"/>
          <w:szCs w:val="24"/>
          <w:highlight w:val="none"/>
          <w:lang w:eastAsia="zh-CN"/>
        </w:rPr>
      </w:pPr>
      <w:r>
        <w:rPr>
          <w:rFonts w:hint="eastAsia" w:ascii="宋体" w:hAnsi="宋体" w:eastAsia="宋体" w:cs="微软雅黑"/>
          <w:color w:val="auto"/>
          <w:spacing w:val="-6"/>
          <w:sz w:val="24"/>
          <w:szCs w:val="24"/>
          <w:highlight w:val="none"/>
          <w:lang w:eastAsia="zh-CN"/>
        </w:rPr>
        <w:t>4.1供应商拟派项目的项目负责人</w:t>
      </w:r>
      <w:r>
        <w:rPr>
          <w:rFonts w:ascii="宋体" w:hAnsi="宋体" w:eastAsia="宋体" w:cs="微软雅黑"/>
          <w:color w:val="auto"/>
          <w:sz w:val="24"/>
          <w:szCs w:val="24"/>
          <w:highlight w:val="none"/>
          <w:lang w:eastAsia="zh-CN"/>
        </w:rPr>
        <w:t>具有</w:t>
      </w:r>
      <w:r>
        <w:rPr>
          <w:rFonts w:hint="eastAsia" w:ascii="宋体" w:hAnsi="宋体" w:eastAsia="宋体" w:cs="微软雅黑"/>
          <w:color w:val="auto"/>
          <w:sz w:val="24"/>
          <w:szCs w:val="24"/>
          <w:highlight w:val="none"/>
          <w:lang w:val="en-US" w:eastAsia="zh-CN"/>
        </w:rPr>
        <w:t>建筑</w:t>
      </w:r>
      <w:r>
        <w:rPr>
          <w:rFonts w:ascii="宋体" w:hAnsi="宋体" w:eastAsia="宋体" w:cs="微软雅黑"/>
          <w:color w:val="auto"/>
          <w:sz w:val="24"/>
          <w:szCs w:val="24"/>
          <w:highlight w:val="none"/>
          <w:lang w:eastAsia="zh-CN"/>
        </w:rPr>
        <w:t>工程类专业</w:t>
      </w:r>
      <w:r>
        <w:rPr>
          <w:rFonts w:hint="eastAsia" w:ascii="宋体" w:hAnsi="宋体" w:eastAsia="宋体" w:cs="微软雅黑"/>
          <w:color w:val="auto"/>
          <w:sz w:val="24"/>
          <w:szCs w:val="24"/>
          <w:highlight w:val="none"/>
          <w:lang w:eastAsia="zh-CN"/>
        </w:rPr>
        <w:t>中级及以上职称；</w:t>
      </w:r>
    </w:p>
    <w:p w14:paraId="0DF7DBF2">
      <w:pPr>
        <w:keepNext w:val="0"/>
        <w:keepLines w:val="0"/>
        <w:pageBreakBefore w:val="0"/>
        <w:widowControl/>
        <w:wordWrap/>
        <w:overflowPunct/>
        <w:topLinePunct w:val="0"/>
        <w:autoSpaceDE w:val="0"/>
        <w:autoSpaceDN w:val="0"/>
        <w:bidi w:val="0"/>
        <w:adjustRightInd w:val="0"/>
        <w:snapToGrid w:val="0"/>
        <w:spacing w:line="500" w:lineRule="exact"/>
        <w:ind w:firstLine="456" w:firstLineChars="200"/>
        <w:textAlignment w:val="baseline"/>
        <w:rPr>
          <w:rFonts w:hint="eastAsia" w:ascii="宋体" w:hAnsi="宋体" w:eastAsia="宋体" w:cs="微软雅黑"/>
          <w:color w:val="auto"/>
          <w:spacing w:val="-6"/>
          <w:sz w:val="24"/>
          <w:szCs w:val="24"/>
          <w:highlight w:val="none"/>
          <w:lang w:val="en-US" w:eastAsia="zh-CN"/>
        </w:rPr>
      </w:pPr>
      <w:r>
        <w:rPr>
          <w:rFonts w:ascii="宋体" w:hAnsi="宋体" w:eastAsia="宋体" w:cs="微软雅黑"/>
          <w:color w:val="auto"/>
          <w:spacing w:val="-6"/>
          <w:sz w:val="24"/>
          <w:szCs w:val="24"/>
          <w:highlight w:val="none"/>
          <w:lang w:eastAsia="zh-CN"/>
        </w:rPr>
        <w:t>4.</w:t>
      </w:r>
      <w:r>
        <w:rPr>
          <w:rFonts w:hint="eastAsia" w:ascii="宋体" w:hAnsi="宋体" w:eastAsia="宋体" w:cs="微软雅黑"/>
          <w:color w:val="auto"/>
          <w:spacing w:val="-6"/>
          <w:sz w:val="24"/>
          <w:szCs w:val="24"/>
          <w:highlight w:val="none"/>
          <w:lang w:eastAsia="zh-CN"/>
        </w:rPr>
        <w:t>2</w:t>
      </w:r>
      <w:r>
        <w:rPr>
          <w:rFonts w:hint="eastAsia" w:ascii="宋体" w:hAnsi="宋体" w:eastAsia="宋体" w:cs="微软雅黑"/>
          <w:color w:val="auto"/>
          <w:spacing w:val="-6"/>
          <w:sz w:val="24"/>
          <w:szCs w:val="24"/>
          <w:highlight w:val="none"/>
          <w:lang w:val="en-US" w:eastAsia="zh-CN"/>
        </w:rPr>
        <w:t>供应商拟派本项目的项目技术负责人具有建筑工程类专业中级及以上职称或具有二级及以上建筑工程类专业注册建造师资格；</w:t>
      </w:r>
    </w:p>
    <w:p w14:paraId="07363E25">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lang w:val="en-US" w:eastAsia="zh-CN"/>
        </w:rPr>
        <w:t xml:space="preserve">4.3 </w:t>
      </w:r>
      <w:r>
        <w:rPr>
          <w:rFonts w:hint="eastAsia" w:ascii="宋体" w:hAnsi="宋体" w:eastAsia="宋体" w:cs="宋体"/>
          <w:color w:val="auto"/>
          <w:sz w:val="24"/>
          <w:szCs w:val="24"/>
          <w:highlight w:val="none"/>
        </w:rPr>
        <w:t>拟派本项目的</w:t>
      </w:r>
      <w:r>
        <w:rPr>
          <w:rFonts w:hint="eastAsia" w:ascii="宋体" w:hAnsi="宋体" w:eastAsia="宋体" w:cs="宋体"/>
          <w:color w:val="auto"/>
          <w:sz w:val="24"/>
          <w:szCs w:val="24"/>
          <w:highlight w:val="none"/>
          <w:lang w:val="en-US" w:eastAsia="zh-CN"/>
        </w:rPr>
        <w:t>关键岗位人员：</w:t>
      </w:r>
      <w:r>
        <w:rPr>
          <w:rFonts w:hint="eastAsia" w:ascii="宋体" w:hAnsi="宋体" w:eastAsia="宋体" w:cs="宋体"/>
          <w:b/>
          <w:bCs/>
          <w:color w:val="auto"/>
          <w:sz w:val="24"/>
          <w:szCs w:val="24"/>
          <w:highlight w:val="none"/>
        </w:rPr>
        <w:t>施工员、质量员、材料员、机械员均须持有效的岗位证书或培训证书；专职安全生产管理员</w:t>
      </w:r>
      <w:r>
        <w:rPr>
          <w:rFonts w:hint="eastAsia" w:ascii="宋体" w:hAnsi="宋体" w:eastAsia="宋体" w:cs="宋体"/>
          <w:b/>
          <w:bCs/>
          <w:color w:val="auto"/>
          <w:sz w:val="24"/>
          <w:szCs w:val="24"/>
          <w:highlight w:val="none"/>
          <w:lang w:val="en-US" w:eastAsia="zh-CN"/>
        </w:rPr>
        <w:t>应</w:t>
      </w:r>
      <w:r>
        <w:rPr>
          <w:rFonts w:hint="eastAsia" w:ascii="宋体" w:hAnsi="宋体" w:eastAsia="宋体" w:cs="宋体"/>
          <w:b/>
          <w:bCs/>
          <w:color w:val="auto"/>
          <w:sz w:val="24"/>
          <w:szCs w:val="24"/>
          <w:highlight w:val="none"/>
        </w:rPr>
        <w:t>提供建设行政主管部门核发的经年检合格有效的安全生产考核合格证书 C 证（专职安全生产管理员证书上的单位名称须与供应商名称一致）。</w:t>
      </w:r>
    </w:p>
    <w:p w14:paraId="7F0199BE">
      <w:pPr>
        <w:keepNext w:val="0"/>
        <w:keepLines w:val="0"/>
        <w:pageBreakBefore w:val="0"/>
        <w:widowControl/>
        <w:wordWrap/>
        <w:overflowPunct/>
        <w:topLinePunct w:val="0"/>
        <w:autoSpaceDE w:val="0"/>
        <w:autoSpaceDN w:val="0"/>
        <w:bidi w:val="0"/>
        <w:adjustRightInd w:val="0"/>
        <w:snapToGrid w:val="0"/>
        <w:spacing w:line="500" w:lineRule="exact"/>
        <w:ind w:firstLine="458" w:firstLineChars="200"/>
        <w:textAlignment w:val="baseline"/>
        <w:rPr>
          <w:rFonts w:hint="eastAsia" w:ascii="宋体" w:hAnsi="宋体" w:eastAsia="宋体" w:cs="宋体"/>
          <w:b/>
          <w:bCs/>
          <w:color w:val="auto"/>
          <w:spacing w:val="-6"/>
          <w:sz w:val="24"/>
          <w:szCs w:val="24"/>
          <w:highlight w:val="none"/>
          <w:lang w:val="en-US" w:eastAsia="zh-CN"/>
        </w:rPr>
      </w:pPr>
      <w:r>
        <w:rPr>
          <w:rFonts w:hint="eastAsia" w:ascii="宋体" w:hAnsi="宋体" w:eastAsia="宋体" w:cs="宋体"/>
          <w:b/>
          <w:bCs/>
          <w:color w:val="auto"/>
          <w:spacing w:val="-6"/>
          <w:sz w:val="24"/>
          <w:szCs w:val="24"/>
          <w:highlight w:val="none"/>
          <w:lang w:val="en-US" w:eastAsia="zh-CN"/>
        </w:rPr>
        <w:t>本项目拟派的项目负责人、技术负责人、施工员、质量员、专职安全生产管理员均为常驻人员；</w:t>
      </w:r>
      <w:r>
        <w:rPr>
          <w:rFonts w:hint="eastAsia" w:ascii="宋体" w:hAnsi="宋体" w:eastAsia="宋体" w:cs="微软雅黑"/>
          <w:b/>
          <w:bCs/>
          <w:color w:val="auto"/>
          <w:spacing w:val="-6"/>
          <w:sz w:val="24"/>
          <w:szCs w:val="24"/>
          <w:highlight w:val="none"/>
          <w:lang w:eastAsia="zh-CN"/>
        </w:rPr>
        <w:t>其中施工员、质量员</w:t>
      </w:r>
      <w:r>
        <w:rPr>
          <w:rFonts w:ascii="宋体" w:hAnsi="宋体" w:eastAsia="宋体" w:cs="微软雅黑"/>
          <w:b/>
          <w:bCs/>
          <w:color w:val="auto"/>
          <w:spacing w:val="-6"/>
          <w:sz w:val="24"/>
          <w:szCs w:val="24"/>
          <w:highlight w:val="none"/>
          <w:lang w:eastAsia="zh-CN"/>
        </w:rPr>
        <w:t>可由技术负责人兼任，但须同时提供相应职业资格或岗位培训证书</w:t>
      </w:r>
      <w:r>
        <w:rPr>
          <w:rFonts w:hint="eastAsia" w:ascii="宋体" w:hAnsi="宋体" w:eastAsia="宋体" w:cs="微软雅黑"/>
          <w:b/>
          <w:bCs/>
          <w:color w:val="auto"/>
          <w:spacing w:val="-6"/>
          <w:sz w:val="24"/>
          <w:szCs w:val="24"/>
          <w:highlight w:val="none"/>
          <w:lang w:eastAsia="zh-CN"/>
        </w:rPr>
        <w:t>。</w:t>
      </w:r>
    </w:p>
    <w:p w14:paraId="59D21CCF">
      <w:pPr>
        <w:keepNext w:val="0"/>
        <w:keepLines w:val="0"/>
        <w:pageBreakBefore w:val="0"/>
        <w:widowControl/>
        <w:wordWrap/>
        <w:overflowPunct/>
        <w:topLinePunct w:val="0"/>
        <w:autoSpaceDE w:val="0"/>
        <w:autoSpaceDN w:val="0"/>
        <w:bidi w:val="0"/>
        <w:adjustRightInd w:val="0"/>
        <w:snapToGrid w:val="0"/>
        <w:spacing w:line="500" w:lineRule="exact"/>
        <w:ind w:firstLine="458" w:firstLineChars="200"/>
        <w:textAlignment w:val="baseline"/>
        <w:rPr>
          <w:rFonts w:hint="eastAsia" w:ascii="宋体" w:hAnsi="宋体" w:eastAsia="宋体" w:cs="宋体"/>
          <w:color w:val="auto"/>
          <w:spacing w:val="-6"/>
          <w:sz w:val="24"/>
          <w:szCs w:val="24"/>
          <w:highlight w:val="none"/>
        </w:rPr>
      </w:pPr>
      <w:r>
        <w:rPr>
          <w:rFonts w:hint="eastAsia" w:ascii="宋体" w:hAnsi="宋体" w:eastAsia="宋体" w:cs="宋体"/>
          <w:b/>
          <w:bCs/>
          <w:color w:val="auto"/>
          <w:spacing w:val="-6"/>
          <w:sz w:val="24"/>
          <w:szCs w:val="24"/>
          <w:highlight w:val="none"/>
        </w:rPr>
        <w:t>【响应文件中需提供①</w:t>
      </w:r>
      <w:r>
        <w:rPr>
          <w:rFonts w:hint="eastAsia" w:ascii="宋体" w:hAnsi="宋体" w:eastAsia="宋体" w:cs="宋体"/>
          <w:b/>
          <w:bCs/>
          <w:color w:val="auto"/>
          <w:spacing w:val="-6"/>
          <w:sz w:val="24"/>
          <w:szCs w:val="24"/>
          <w:highlight w:val="none"/>
          <w:lang w:val="en-US" w:eastAsia="zh-CN"/>
        </w:rPr>
        <w:t>拟派本项管理</w:t>
      </w:r>
      <w:r>
        <w:rPr>
          <w:rFonts w:hint="eastAsia" w:ascii="宋体" w:hAnsi="宋体" w:eastAsia="宋体" w:cs="宋体"/>
          <w:b/>
          <w:bCs/>
          <w:color w:val="auto"/>
          <w:spacing w:val="-6"/>
          <w:sz w:val="24"/>
          <w:szCs w:val="24"/>
          <w:highlight w:val="none"/>
        </w:rPr>
        <w:t>人员配备情况表，包括：姓名、</w:t>
      </w:r>
      <w:r>
        <w:rPr>
          <w:rFonts w:hint="eastAsia" w:ascii="宋体" w:hAnsi="宋体" w:eastAsia="宋体" w:cs="宋体"/>
          <w:b/>
          <w:bCs/>
          <w:color w:val="auto"/>
          <w:spacing w:val="-6"/>
          <w:sz w:val="24"/>
          <w:szCs w:val="24"/>
          <w:highlight w:val="none"/>
          <w:lang w:val="en-US" w:eastAsia="zh-CN"/>
        </w:rPr>
        <w:t>岗位、</w:t>
      </w:r>
      <w:r>
        <w:rPr>
          <w:rFonts w:hint="eastAsia" w:ascii="宋体" w:hAnsi="宋体" w:eastAsia="宋体" w:cs="宋体"/>
          <w:b/>
          <w:bCs/>
          <w:color w:val="auto"/>
          <w:spacing w:val="-6"/>
          <w:sz w:val="24"/>
          <w:szCs w:val="24"/>
          <w:highlight w:val="none"/>
        </w:rPr>
        <w:t>身份证号码、手机号码；②以上人员相应的证书扫描件、“</w:t>
      </w:r>
      <w:r>
        <w:rPr>
          <w:rFonts w:hint="eastAsia" w:ascii="宋体" w:hAnsi="宋体" w:eastAsia="宋体" w:cs="宋体"/>
          <w:b/>
          <w:bCs/>
          <w:color w:val="auto"/>
          <w:spacing w:val="-6"/>
          <w:sz w:val="24"/>
          <w:szCs w:val="24"/>
          <w:highlight w:val="none"/>
          <w:lang w:val="en-US" w:eastAsia="zh-CN"/>
        </w:rPr>
        <w:t>江西</w:t>
      </w:r>
      <w:r>
        <w:rPr>
          <w:rFonts w:hint="eastAsia" w:ascii="宋体" w:hAnsi="宋体" w:eastAsia="宋体" w:cs="宋体"/>
          <w:b/>
          <w:bCs/>
          <w:color w:val="auto"/>
          <w:spacing w:val="-6"/>
          <w:sz w:val="24"/>
          <w:szCs w:val="24"/>
          <w:highlight w:val="none"/>
        </w:rPr>
        <w:t>住建云</w:t>
      </w:r>
      <w:r>
        <w:rPr>
          <w:rFonts w:hint="eastAsia" w:ascii="宋体" w:hAnsi="宋体" w:eastAsia="宋体" w:cs="宋体"/>
          <w:b/>
          <w:bCs/>
          <w:color w:val="auto"/>
          <w:spacing w:val="-6"/>
          <w:sz w:val="24"/>
          <w:szCs w:val="24"/>
          <w:highlight w:val="none"/>
          <w:lang w:val="en-US" w:eastAsia="zh-CN"/>
        </w:rPr>
        <w:t>平台</w:t>
      </w:r>
      <w:r>
        <w:rPr>
          <w:rFonts w:hint="eastAsia" w:ascii="宋体" w:hAnsi="宋体" w:eastAsia="宋体" w:cs="宋体"/>
          <w:b/>
          <w:bCs/>
          <w:color w:val="auto"/>
          <w:spacing w:val="-6"/>
          <w:sz w:val="24"/>
          <w:szCs w:val="24"/>
          <w:highlight w:val="none"/>
        </w:rPr>
        <w:t>”</w:t>
      </w:r>
      <w:r>
        <w:rPr>
          <w:rFonts w:hint="eastAsia" w:ascii="宋体" w:hAnsi="宋体" w:eastAsia="宋体" w:cs="宋体"/>
          <w:b/>
          <w:bCs/>
          <w:color w:val="auto"/>
          <w:spacing w:val="-6"/>
          <w:sz w:val="24"/>
          <w:szCs w:val="24"/>
          <w:highlight w:val="none"/>
          <w:lang w:val="en-US" w:eastAsia="zh-CN"/>
        </w:rPr>
        <w:t>从业人员实名制信息登记</w:t>
      </w:r>
      <w:r>
        <w:rPr>
          <w:rFonts w:hint="eastAsia" w:ascii="宋体" w:hAnsi="宋体" w:eastAsia="宋体" w:cs="宋体"/>
          <w:b/>
          <w:bCs/>
          <w:color w:val="auto"/>
          <w:spacing w:val="-6"/>
          <w:sz w:val="24"/>
          <w:szCs w:val="24"/>
          <w:highlight w:val="none"/>
        </w:rPr>
        <w:t>截图；③</w:t>
      </w:r>
      <w:r>
        <w:rPr>
          <w:rFonts w:hint="eastAsia" w:ascii="宋体" w:hAnsi="宋体" w:eastAsia="宋体" w:cs="宋体"/>
          <w:b/>
          <w:bCs/>
          <w:color w:val="auto"/>
          <w:spacing w:val="-6"/>
          <w:sz w:val="24"/>
          <w:szCs w:val="24"/>
          <w:highlight w:val="none"/>
          <w:lang w:val="en-US" w:eastAsia="zh-CN"/>
        </w:rPr>
        <w:t>谈判</w:t>
      </w:r>
      <w:r>
        <w:rPr>
          <w:rFonts w:hint="eastAsia" w:ascii="宋体" w:hAnsi="宋体" w:eastAsia="宋体" w:cs="宋体"/>
          <w:b/>
          <w:bCs/>
          <w:color w:val="auto"/>
          <w:spacing w:val="-6"/>
          <w:sz w:val="24"/>
          <w:szCs w:val="24"/>
          <w:highlight w:val="none"/>
        </w:rPr>
        <w:t>前6个月内任意一个月供应商为其缴纳社保的证明，以上材料未提供或未按要求提供者作无效响应处理。】</w:t>
      </w:r>
    </w:p>
    <w:p w14:paraId="6A400D00">
      <w:pPr>
        <w:keepNext w:val="0"/>
        <w:keepLines w:val="0"/>
        <w:pageBreakBefore w:val="0"/>
        <w:widowControl/>
        <w:wordWrap/>
        <w:overflowPunct/>
        <w:topLinePunct w:val="0"/>
        <w:autoSpaceDE w:val="0"/>
        <w:autoSpaceDN w:val="0"/>
        <w:bidi w:val="0"/>
        <w:adjustRightInd w:val="0"/>
        <w:snapToGrid w:val="0"/>
        <w:spacing w:line="500" w:lineRule="exact"/>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5、施工质量</w:t>
      </w:r>
      <w:r>
        <w:rPr>
          <w:rFonts w:hint="eastAsia" w:ascii="宋体" w:hAnsi="宋体" w:eastAsia="宋体" w:cs="宋体"/>
          <w:b/>
          <w:bCs/>
          <w:color w:val="auto"/>
          <w:sz w:val="24"/>
          <w:szCs w:val="24"/>
          <w:highlight w:val="none"/>
        </w:rPr>
        <w:t>要求</w:t>
      </w:r>
    </w:p>
    <w:p w14:paraId="3150DE04">
      <w:pPr>
        <w:keepNext w:val="0"/>
        <w:keepLines w:val="0"/>
        <w:pageBreakBefore w:val="0"/>
        <w:widowControl/>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bCs/>
          <w:color w:val="auto"/>
          <w:sz w:val="24"/>
          <w:szCs w:val="24"/>
          <w:highlight w:val="none"/>
          <w:lang w:val="en-US" w:eastAsia="zh-CN"/>
        </w:rPr>
      </w:pPr>
      <w:bookmarkStart w:id="4" w:name="_Toc486334914"/>
      <w:bookmarkStart w:id="5" w:name="_Toc501369515"/>
      <w:bookmarkStart w:id="6" w:name="_Toc502240740"/>
      <w:bookmarkStart w:id="7" w:name="_Toc514312396"/>
      <w:bookmarkStart w:id="8" w:name="_Toc514249583"/>
      <w:bookmarkStart w:id="9" w:name="_Toc20938"/>
      <w:bookmarkStart w:id="10" w:name="_Toc28509"/>
      <w:r>
        <w:rPr>
          <w:rFonts w:hint="eastAsia" w:ascii="宋体" w:hAnsi="宋体" w:eastAsia="宋体" w:cs="宋体"/>
          <w:b/>
          <w:bCs/>
          <w:color w:val="auto"/>
          <w:sz w:val="24"/>
          <w:szCs w:val="24"/>
          <w:highlight w:val="none"/>
          <w:lang w:val="en-US" w:eastAsia="zh-CN"/>
        </w:rPr>
        <w:t>5.1 材料进场要求</w:t>
      </w:r>
    </w:p>
    <w:p w14:paraId="20E3B950">
      <w:pPr>
        <w:keepNext w:val="0"/>
        <w:keepLines w:val="0"/>
        <w:pageBreakBefore w:val="0"/>
        <w:widowControl/>
        <w:kinsoku/>
        <w:wordWrap/>
        <w:overflowPunct/>
        <w:topLinePunct w:val="0"/>
        <w:autoSpaceDE w:val="0"/>
        <w:autoSpaceDN w:val="0"/>
        <w:bidi w:val="0"/>
        <w:adjustRightInd w:val="0"/>
        <w:snapToGrid w:val="0"/>
        <w:spacing w:line="500" w:lineRule="exact"/>
        <w:ind w:firstLine="456" w:firstLineChars="200"/>
        <w:jc w:val="both"/>
        <w:textAlignment w:val="baseline"/>
        <w:rPr>
          <w:rFonts w:hint="eastAsia" w:ascii="宋体" w:hAnsi="宋体" w:eastAsia="宋体" w:cs="宋体"/>
          <w:b w:val="0"/>
          <w:bCs w:val="0"/>
          <w:color w:val="auto"/>
          <w:spacing w:val="-6"/>
          <w:sz w:val="24"/>
          <w:szCs w:val="24"/>
          <w:highlight w:val="none"/>
        </w:rPr>
      </w:pPr>
      <w:r>
        <w:rPr>
          <w:rFonts w:hint="eastAsia" w:ascii="宋体" w:hAnsi="宋体" w:eastAsia="宋体" w:cs="宋体"/>
          <w:b w:val="0"/>
          <w:bCs w:val="0"/>
          <w:color w:val="auto"/>
          <w:spacing w:val="-6"/>
          <w:sz w:val="24"/>
          <w:szCs w:val="24"/>
          <w:highlight w:val="none"/>
        </w:rPr>
        <w:t>(1）供应商所供材料应符合国家标准</w:t>
      </w:r>
      <w:r>
        <w:rPr>
          <w:rFonts w:hint="eastAsia" w:ascii="宋体" w:hAnsi="宋体" w:eastAsia="宋体" w:cs="宋体"/>
          <w:b w:val="0"/>
          <w:bCs w:val="0"/>
          <w:color w:val="auto"/>
          <w:spacing w:val="-6"/>
          <w:sz w:val="24"/>
          <w:szCs w:val="24"/>
          <w:highlight w:val="none"/>
          <w:lang w:eastAsia="zh-CN"/>
        </w:rPr>
        <w:t>，</w:t>
      </w:r>
      <w:r>
        <w:rPr>
          <w:rFonts w:hint="eastAsia" w:ascii="宋体" w:hAnsi="宋体" w:eastAsia="宋体" w:cs="宋体"/>
          <w:b w:val="0"/>
          <w:bCs w:val="0"/>
          <w:color w:val="auto"/>
          <w:spacing w:val="-6"/>
          <w:sz w:val="24"/>
          <w:szCs w:val="24"/>
          <w:highlight w:val="none"/>
          <w:lang w:val="en-US" w:eastAsia="zh-CN"/>
        </w:rPr>
        <w:t>并优先使用绿色、节能、环保产品</w:t>
      </w:r>
      <w:r>
        <w:rPr>
          <w:rFonts w:hint="eastAsia" w:ascii="宋体" w:hAnsi="宋体" w:eastAsia="宋体" w:cs="宋体"/>
          <w:b w:val="0"/>
          <w:bCs w:val="0"/>
          <w:color w:val="auto"/>
          <w:spacing w:val="-6"/>
          <w:sz w:val="24"/>
          <w:szCs w:val="24"/>
          <w:highlight w:val="none"/>
        </w:rPr>
        <w:t>。</w:t>
      </w:r>
    </w:p>
    <w:p w14:paraId="40FD077E">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(2）供应商所供材料必须提供出厂合格证及试验材料，需二次检测、检验、试验的材料必须按照国家验收标准要求进行送检测、检验，其费用由承包人自行承担。</w:t>
      </w:r>
    </w:p>
    <w:p w14:paraId="460E7FA6">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(3）供应商所供材料需经项目监理或采购人签字确认后方可进场。</w:t>
      </w:r>
    </w:p>
    <w:p w14:paraId="26C94127">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(4）如供应商所供材料不能满足采购人要求，采购人有权重新核定价格或改为采购人提供材料，在结算时调整，供应商不得就此收取配合费等任何费用且必须无条件配合本项目的整体验收。</w:t>
      </w:r>
    </w:p>
    <w:p w14:paraId="4410F03F">
      <w:pPr>
        <w:keepNext w:val="0"/>
        <w:keepLines w:val="0"/>
        <w:pageBreakBefore w:val="0"/>
        <w:widowControl/>
        <w:wordWrap/>
        <w:overflowPunct/>
        <w:topLinePunct w:val="0"/>
        <w:autoSpaceDE w:val="0"/>
        <w:autoSpaceDN w:val="0"/>
        <w:bidi w:val="0"/>
        <w:adjustRightInd w:val="0"/>
        <w:snapToGrid w:val="0"/>
        <w:spacing w:line="500" w:lineRule="exact"/>
        <w:ind w:firstLine="436" w:firstLineChars="200"/>
        <w:textAlignment w:val="baseline"/>
        <w:rPr>
          <w:rFonts w:hint="default" w:ascii="宋体" w:hAnsi="宋体" w:eastAsia="宋体" w:cs="宋体"/>
          <w:color w:val="auto"/>
          <w:spacing w:val="-11"/>
          <w:sz w:val="24"/>
          <w:szCs w:val="24"/>
          <w:highlight w:val="none"/>
          <w:lang w:val="en-US" w:eastAsia="zh-CN"/>
        </w:rPr>
      </w:pPr>
      <w:r>
        <w:rPr>
          <w:rFonts w:hint="eastAsia" w:ascii="宋体" w:hAnsi="宋体" w:eastAsia="宋体" w:cs="宋体"/>
          <w:color w:val="auto"/>
          <w:spacing w:val="-11"/>
          <w:sz w:val="24"/>
          <w:szCs w:val="24"/>
          <w:highlight w:val="none"/>
          <w:lang w:val="en-US" w:eastAsia="zh-CN"/>
        </w:rPr>
        <w:t>（5）所供材料质量均须等同或优于采购人最高投标限价编制说明中的计价参考品牌。</w:t>
      </w:r>
    </w:p>
    <w:p w14:paraId="081992E9">
      <w:pPr>
        <w:keepNext w:val="0"/>
        <w:keepLines w:val="0"/>
        <w:pageBreakBefore w:val="0"/>
        <w:widowControl/>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5.2 施工工艺要求：</w:t>
      </w:r>
      <w:r>
        <w:rPr>
          <w:rFonts w:hint="eastAsia" w:ascii="宋体" w:hAnsi="宋体" w:eastAsia="宋体" w:cs="宋体"/>
          <w:b w:val="0"/>
          <w:bCs w:val="0"/>
          <w:color w:val="auto"/>
          <w:sz w:val="24"/>
          <w:szCs w:val="24"/>
          <w:highlight w:val="none"/>
          <w:lang w:val="en-US" w:eastAsia="zh-CN"/>
        </w:rPr>
        <w:t>按招标工程量清单及相关建筑规范进行施工。</w:t>
      </w:r>
    </w:p>
    <w:p w14:paraId="6AC8E229">
      <w:pPr>
        <w:keepNext w:val="0"/>
        <w:keepLines w:val="0"/>
        <w:pageBreakBefore w:val="0"/>
        <w:widowControl/>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5.3 施工质量：工程质量达到合格标准，符合国家验收规范标准。</w:t>
      </w:r>
    </w:p>
    <w:p w14:paraId="7FFD6830">
      <w:pPr>
        <w:keepNext w:val="0"/>
        <w:keepLines w:val="0"/>
        <w:pageBreakBefore w:val="0"/>
        <w:widowControl/>
        <w:kinsoku w:val="0"/>
        <w:wordWrap/>
        <w:overflowPunct/>
        <w:topLinePunct w:val="0"/>
        <w:autoSpaceDE w:val="0"/>
        <w:autoSpaceDN w:val="0"/>
        <w:bidi w:val="0"/>
        <w:adjustRightInd w:val="0"/>
        <w:snapToGrid w:val="0"/>
        <w:spacing w:line="500" w:lineRule="exact"/>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6、</w:t>
      </w:r>
      <w:r>
        <w:rPr>
          <w:rFonts w:hint="eastAsia" w:ascii="宋体" w:hAnsi="宋体" w:eastAsia="宋体" w:cs="宋体"/>
          <w:b/>
          <w:bCs/>
          <w:color w:val="auto"/>
          <w:sz w:val="24"/>
          <w:szCs w:val="24"/>
          <w:highlight w:val="none"/>
        </w:rPr>
        <w:t>施工管理要求</w:t>
      </w:r>
    </w:p>
    <w:p w14:paraId="7464A26C">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6.1 </w:t>
      </w:r>
      <w:r>
        <w:rPr>
          <w:rFonts w:hint="eastAsia" w:ascii="宋体" w:hAnsi="宋体" w:eastAsia="宋体" w:cs="宋体"/>
          <w:color w:val="auto"/>
          <w:sz w:val="24"/>
          <w:szCs w:val="24"/>
          <w:highlight w:val="none"/>
        </w:rPr>
        <w:t>驻场要求</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成交供应商响应文件所明确的注册建造师（项目负责人）不得更换，并要求该注册建造师只能承担本项目工程管理工作，供应商拟派本项目的组织机构人员必须全部进场管理，</w:t>
      </w:r>
      <w:r>
        <w:rPr>
          <w:rFonts w:hint="eastAsia" w:ascii="宋体" w:hAnsi="宋体" w:eastAsia="宋体" w:cs="宋体"/>
          <w:color w:val="auto"/>
          <w:sz w:val="24"/>
          <w:szCs w:val="24"/>
          <w:highlight w:val="none"/>
          <w:lang w:val="en-US" w:eastAsia="zh-CN"/>
        </w:rPr>
        <w:t>项目负责人、</w:t>
      </w:r>
      <w:r>
        <w:rPr>
          <w:rFonts w:hint="eastAsia" w:ascii="宋体" w:hAnsi="宋体" w:eastAsia="宋体" w:cs="宋体"/>
          <w:color w:val="auto"/>
          <w:sz w:val="24"/>
          <w:szCs w:val="24"/>
          <w:highlight w:val="none"/>
        </w:rPr>
        <w:t>技术负责人、施工员、质量员、专职安全生产管理员等每月在施工现场的工作时间不少于22天，由监理或</w:t>
      </w:r>
      <w:r>
        <w:rPr>
          <w:rFonts w:hint="eastAsia" w:ascii="宋体" w:hAnsi="宋体" w:eastAsia="宋体" w:cs="宋体"/>
          <w:color w:val="auto"/>
          <w:sz w:val="24"/>
          <w:szCs w:val="24"/>
          <w:highlight w:val="none"/>
          <w:lang w:val="en-US" w:eastAsia="zh-CN"/>
        </w:rPr>
        <w:t>发包人</w:t>
      </w:r>
      <w:r>
        <w:rPr>
          <w:rFonts w:hint="eastAsia" w:ascii="宋体" w:hAnsi="宋体" w:eastAsia="宋体" w:cs="宋体"/>
          <w:color w:val="auto"/>
          <w:sz w:val="24"/>
          <w:szCs w:val="24"/>
          <w:highlight w:val="none"/>
        </w:rPr>
        <w:t>负责考核，遇有特殊情况，施工管理人员要暂离工作岗位应事先报告监理或发包人，并经发包人同意后方可离岗。</w:t>
      </w:r>
    </w:p>
    <w:p w14:paraId="00BE55E8">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6.2 </w:t>
      </w:r>
      <w:r>
        <w:rPr>
          <w:rFonts w:hint="eastAsia" w:ascii="宋体" w:hAnsi="宋体" w:eastAsia="宋体" w:cs="宋体"/>
          <w:color w:val="auto"/>
          <w:sz w:val="24"/>
          <w:szCs w:val="24"/>
          <w:highlight w:val="none"/>
        </w:rPr>
        <w:t>违约责任</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施工管理人员未经批准擅自离岗，发包人将对缺岗人员按下列标准进行处罚：项目负责人</w:t>
      </w:r>
      <w:r>
        <w:rPr>
          <w:rFonts w:hint="eastAsia" w:ascii="宋体" w:hAnsi="宋体" w:eastAsia="宋体" w:cs="宋体"/>
          <w:color w:val="auto"/>
          <w:sz w:val="24"/>
          <w:szCs w:val="24"/>
          <w:highlight w:val="none"/>
          <w:lang w:val="zh-CN"/>
        </w:rPr>
        <w:t>考勤达不到到岗要求的，需承担人民币1000元/半天的违约金（4小时及以内按半天计算）；每出现一次考勤不到岗情况，违约金逐次增加1000元（即第一次，按1000元/半天处罚，第二次，按2000元/半天处罚，第三次，按3000元/半</w:t>
      </w:r>
      <w:r>
        <w:rPr>
          <w:rFonts w:hint="eastAsia" w:ascii="宋体" w:hAnsi="宋体" w:eastAsia="宋体" w:cs="宋体"/>
          <w:color w:val="auto"/>
          <w:sz w:val="24"/>
          <w:szCs w:val="24"/>
          <w:highlight w:val="none"/>
        </w:rPr>
        <w:t>天处罚，依此类推）；违约金从履约保证金或工程结算款项中扣</w:t>
      </w:r>
      <w:r>
        <w:rPr>
          <w:rFonts w:hint="eastAsia" w:ascii="宋体" w:hAnsi="宋体" w:eastAsia="宋体" w:cs="宋体"/>
          <w:color w:val="auto"/>
          <w:sz w:val="24"/>
          <w:szCs w:val="24"/>
          <w:highlight w:val="none"/>
          <w:lang w:val="zh-CN"/>
        </w:rPr>
        <w:t>除，</w:t>
      </w:r>
      <w:r>
        <w:rPr>
          <w:rFonts w:hint="eastAsia" w:ascii="宋体" w:hAnsi="宋体" w:eastAsia="宋体" w:cs="宋体"/>
          <w:color w:val="auto"/>
          <w:sz w:val="24"/>
          <w:szCs w:val="24"/>
          <w:highlight w:val="none"/>
        </w:rPr>
        <w:t>成交供应商</w:t>
      </w:r>
      <w:r>
        <w:rPr>
          <w:rFonts w:hint="eastAsia" w:ascii="宋体" w:hAnsi="宋体" w:eastAsia="宋体" w:cs="宋体"/>
          <w:color w:val="auto"/>
          <w:sz w:val="24"/>
          <w:szCs w:val="24"/>
          <w:highlight w:val="none"/>
          <w:lang w:val="zh-CN"/>
        </w:rPr>
        <w:t>承担由此产生的费用及损失。</w:t>
      </w:r>
      <w:r>
        <w:rPr>
          <w:rFonts w:hint="eastAsia" w:ascii="宋体" w:hAnsi="宋体" w:eastAsia="宋体" w:cs="宋体"/>
          <w:color w:val="auto"/>
          <w:sz w:val="24"/>
          <w:szCs w:val="24"/>
          <w:highlight w:val="none"/>
        </w:rPr>
        <w:t>其他管理人员考勤达不到到岗要求的需承担人民币500元/半天的违约金（4小时及以内按半天计算），违约金从当期或下期工程款中扣除，成交供应商承担由此增加的费用和延误的工期。</w:t>
      </w:r>
    </w:p>
    <w:p w14:paraId="23C80EDA">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6.3 </w:t>
      </w:r>
      <w:r>
        <w:rPr>
          <w:rFonts w:hint="eastAsia" w:ascii="宋体" w:hAnsi="宋体" w:eastAsia="宋体" w:cs="宋体"/>
          <w:color w:val="auto"/>
          <w:sz w:val="24"/>
          <w:szCs w:val="24"/>
          <w:highlight w:val="none"/>
        </w:rPr>
        <w:t>供应商收到成交通知书后，签订合同时，不得以任何理由更换项目负责人和技术负责人。如若提出更换，未经采购人同意，则可视为供应商自动放弃成交资格和不诚信守约，采购人有权没收供应商的</w:t>
      </w:r>
      <w:r>
        <w:rPr>
          <w:rFonts w:hint="eastAsia" w:ascii="宋体" w:hAnsi="宋体" w:eastAsia="宋体" w:cs="宋体"/>
          <w:color w:val="auto"/>
          <w:sz w:val="24"/>
          <w:szCs w:val="24"/>
          <w:highlight w:val="none"/>
          <w:lang w:val="en-US" w:eastAsia="zh-CN"/>
        </w:rPr>
        <w:t>履约</w:t>
      </w:r>
      <w:r>
        <w:rPr>
          <w:rFonts w:hint="eastAsia" w:ascii="宋体" w:hAnsi="宋体" w:eastAsia="宋体" w:cs="宋体"/>
          <w:color w:val="auto"/>
          <w:sz w:val="24"/>
          <w:szCs w:val="24"/>
          <w:highlight w:val="none"/>
        </w:rPr>
        <w:t>保证金。</w:t>
      </w:r>
    </w:p>
    <w:p w14:paraId="31F633A3">
      <w:pPr>
        <w:keepNext w:val="0"/>
        <w:keepLines w:val="0"/>
        <w:pageBreakBefore w:val="0"/>
        <w:widowControl/>
        <w:wordWrap/>
        <w:overflowPunct/>
        <w:topLinePunct w:val="0"/>
        <w:autoSpaceDE w:val="0"/>
        <w:autoSpaceDN w:val="0"/>
        <w:bidi w:val="0"/>
        <w:adjustRightInd w:val="0"/>
        <w:snapToGrid w:val="0"/>
        <w:spacing w:line="500" w:lineRule="exact"/>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7、</w:t>
      </w:r>
      <w:r>
        <w:rPr>
          <w:rFonts w:hint="eastAsia" w:ascii="宋体" w:hAnsi="宋体" w:eastAsia="宋体" w:cs="宋体"/>
          <w:b/>
          <w:bCs/>
          <w:color w:val="auto"/>
          <w:sz w:val="24"/>
          <w:szCs w:val="24"/>
          <w:highlight w:val="none"/>
        </w:rPr>
        <w:t>安全文明施工与环境保护的要求</w:t>
      </w:r>
    </w:p>
    <w:p w14:paraId="4279ACF1">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7.1 </w:t>
      </w:r>
      <w:r>
        <w:rPr>
          <w:rFonts w:hint="eastAsia" w:ascii="宋体" w:hAnsi="宋体" w:eastAsia="宋体" w:cs="宋体"/>
          <w:color w:val="auto"/>
          <w:sz w:val="24"/>
          <w:szCs w:val="24"/>
          <w:highlight w:val="none"/>
        </w:rPr>
        <w:t>严格遵守《建设工程施工合同（示范文本）》（GF-2017-0201）相关条款，《中华人民共和国安全生产法》《中华人民共和国建筑法》《建设工程安全生产管理条例》《安全生产许可证条例》《江西省安全生产条例》等国家、省市有关安全文明施工与环境保护法律法规要求。</w:t>
      </w:r>
    </w:p>
    <w:p w14:paraId="7929AC9F">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7.2 </w:t>
      </w:r>
      <w:r>
        <w:rPr>
          <w:rFonts w:hint="eastAsia" w:ascii="宋体" w:hAnsi="宋体" w:eastAsia="宋体" w:cs="宋体"/>
          <w:color w:val="auto"/>
          <w:sz w:val="24"/>
          <w:szCs w:val="24"/>
          <w:highlight w:val="none"/>
        </w:rPr>
        <w:t>为减少噪声、废气、垃圾等对学生及校园环境的干扰和不良影响，成交供应商未经允许不得在政府规定白天施工时段以外的时间进行施工。</w:t>
      </w:r>
    </w:p>
    <w:p w14:paraId="3BAED3B3">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7.3 </w:t>
      </w:r>
      <w:r>
        <w:rPr>
          <w:rFonts w:hint="eastAsia" w:ascii="宋体" w:hAnsi="宋体" w:eastAsia="宋体" w:cs="宋体"/>
          <w:color w:val="auto"/>
          <w:sz w:val="24"/>
          <w:szCs w:val="24"/>
          <w:highlight w:val="none"/>
        </w:rPr>
        <w:t>供应商须严格遵守采购人有关校园管理的相关要求，包含但不限于出入校园许可、办理动火作业许可、不得滋扰师生、不得进入非作业区（如学生宿舍、教学楼、办公楼等）、不得随意关闸停水、垃圾分类存放、因作业需要进入学生宿舍需事先报告采购人并征得学生同意等。</w:t>
      </w:r>
    </w:p>
    <w:p w14:paraId="2D21766C">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7.4 </w:t>
      </w:r>
      <w:r>
        <w:rPr>
          <w:rFonts w:hint="eastAsia" w:ascii="宋体" w:hAnsi="宋体" w:eastAsia="宋体" w:cs="宋体"/>
          <w:color w:val="auto"/>
          <w:sz w:val="24"/>
          <w:szCs w:val="24"/>
          <w:highlight w:val="none"/>
        </w:rPr>
        <w:t>采购人如发现供应商违反政府、学校有关安全文明施工的要求，按1000元/次/处标准进行经济处罚。</w:t>
      </w:r>
    </w:p>
    <w:p w14:paraId="2F5EDF00">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7.5 </w:t>
      </w:r>
      <w:r>
        <w:rPr>
          <w:rFonts w:hint="eastAsia" w:ascii="宋体" w:hAnsi="宋体" w:eastAsia="宋体" w:cs="宋体"/>
          <w:color w:val="auto"/>
          <w:sz w:val="24"/>
          <w:szCs w:val="24"/>
          <w:highlight w:val="none"/>
        </w:rPr>
        <w:t>项目施工过程中，若出现安全事故，供应商除接受政府行政处罚外，采购人有权对供应商进行经济处罚，标准为：一般安全事故，2万元/次违约金；较大事故，罚款3万元/次违约金；重大事故5万元/次违约金；特大事故10万元/次违约金。事故的等级认定依据按国家有关规定执行。</w:t>
      </w:r>
    </w:p>
    <w:p w14:paraId="3E964CFA">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7.6 </w:t>
      </w:r>
      <w:r>
        <w:rPr>
          <w:rFonts w:hint="eastAsia" w:ascii="宋体" w:hAnsi="宋体" w:eastAsia="宋体" w:cs="宋体"/>
          <w:color w:val="auto"/>
          <w:sz w:val="24"/>
          <w:szCs w:val="24"/>
          <w:highlight w:val="none"/>
        </w:rPr>
        <w:t>工地运输材料的车辆在校区内应限速通行，尽量避开学生上下课和用餐人流高峰，施工车辆应进行除尘清洗，确保校区环境卫生。</w:t>
      </w:r>
    </w:p>
    <w:p w14:paraId="0C4DE6C2">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b/>
          <w:bCs/>
          <w:color w:val="auto"/>
          <w:spacing w:val="-1"/>
          <w:sz w:val="24"/>
          <w:szCs w:val="24"/>
          <w:highlight w:val="none"/>
          <w:lang w:val="en-US" w:eastAsia="zh-CN"/>
        </w:rPr>
      </w:pPr>
      <w:r>
        <w:rPr>
          <w:rFonts w:hint="eastAsia" w:ascii="宋体" w:hAnsi="宋体" w:eastAsia="宋体" w:cs="宋体"/>
          <w:color w:val="auto"/>
          <w:sz w:val="24"/>
          <w:szCs w:val="24"/>
          <w:highlight w:val="none"/>
          <w:lang w:val="en-US" w:eastAsia="zh-CN"/>
        </w:rPr>
        <w:t xml:space="preserve">7.7 </w:t>
      </w:r>
      <w:r>
        <w:rPr>
          <w:rFonts w:hint="eastAsia" w:ascii="宋体" w:hAnsi="宋体" w:eastAsia="宋体" w:cs="宋体"/>
          <w:color w:val="auto"/>
          <w:sz w:val="24"/>
          <w:szCs w:val="24"/>
          <w:highlight w:val="none"/>
        </w:rPr>
        <w:t>供应商必须做好完工后的施工现场的清扫工作，做到工完料清，卫生整洁。</w:t>
      </w:r>
      <w:bookmarkEnd w:id="4"/>
      <w:bookmarkEnd w:id="5"/>
      <w:bookmarkEnd w:id="6"/>
      <w:bookmarkEnd w:id="7"/>
      <w:bookmarkEnd w:id="8"/>
      <w:bookmarkEnd w:id="9"/>
      <w:bookmarkEnd w:id="10"/>
    </w:p>
    <w:p w14:paraId="0B58C956">
      <w:pPr>
        <w:keepNext w:val="0"/>
        <w:keepLines w:val="0"/>
        <w:pageBreakBefore w:val="0"/>
        <w:widowControl/>
        <w:kinsoku w:val="0"/>
        <w:wordWrap/>
        <w:overflowPunct/>
        <w:topLinePunct w:val="0"/>
        <w:autoSpaceDE w:val="0"/>
        <w:autoSpaceDN w:val="0"/>
        <w:bidi w:val="0"/>
        <w:adjustRightInd w:val="0"/>
        <w:snapToGrid w:val="0"/>
        <w:spacing w:line="500" w:lineRule="exact"/>
        <w:textAlignment w:val="baseline"/>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8、施工组织方案</w:t>
      </w:r>
    </w:p>
    <w:p w14:paraId="434E7538">
      <w:pPr>
        <w:keepNext w:val="0"/>
        <w:keepLines w:val="0"/>
        <w:pageBreakBefore w:val="0"/>
        <w:widowControl/>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微软雅黑"/>
          <w:b/>
          <w:bCs/>
          <w:color w:val="auto"/>
          <w:sz w:val="24"/>
          <w:szCs w:val="24"/>
          <w:highlight w:val="none"/>
          <w:lang w:val="zh-CN" w:eastAsia="zh-CN"/>
        </w:rPr>
      </w:pPr>
      <w:r>
        <w:rPr>
          <w:rFonts w:hint="eastAsia" w:ascii="宋体" w:hAnsi="宋体" w:eastAsia="宋体" w:cs="微软雅黑"/>
          <w:b/>
          <w:bCs/>
          <w:color w:val="auto"/>
          <w:sz w:val="24"/>
          <w:szCs w:val="24"/>
          <w:highlight w:val="none"/>
          <w:lang w:val="zh-CN" w:eastAsia="zh-CN"/>
        </w:rPr>
        <w:t>响应文件</w:t>
      </w:r>
      <w:r>
        <w:rPr>
          <w:rFonts w:hint="eastAsia" w:ascii="宋体" w:hAnsi="宋体" w:eastAsia="宋体" w:cs="微软雅黑"/>
          <w:b/>
          <w:bCs/>
          <w:color w:val="auto"/>
          <w:sz w:val="24"/>
          <w:szCs w:val="24"/>
          <w:highlight w:val="none"/>
          <w:lang w:val="en-US" w:eastAsia="zh-CN"/>
        </w:rPr>
        <w:t>中应</w:t>
      </w:r>
      <w:r>
        <w:rPr>
          <w:rFonts w:hint="eastAsia" w:ascii="宋体" w:hAnsi="宋体" w:eastAsia="宋体" w:cs="微软雅黑"/>
          <w:b/>
          <w:bCs/>
          <w:color w:val="auto"/>
          <w:sz w:val="24"/>
          <w:szCs w:val="24"/>
          <w:highlight w:val="none"/>
          <w:lang w:val="zh-CN" w:eastAsia="zh-CN"/>
        </w:rPr>
        <w:t>提供针对本项目的施工方案， 内容须包含</w:t>
      </w:r>
      <w:r>
        <w:rPr>
          <w:rFonts w:hint="eastAsia" w:ascii="宋体" w:hAnsi="宋体" w:eastAsia="宋体" w:cs="微软雅黑"/>
          <w:b/>
          <w:bCs/>
          <w:color w:val="auto"/>
          <w:sz w:val="24"/>
          <w:szCs w:val="24"/>
          <w:highlight w:val="none"/>
          <w:lang w:val="en-US" w:eastAsia="zh-CN"/>
        </w:rPr>
        <w:t>但不限于</w:t>
      </w:r>
      <w:r>
        <w:rPr>
          <w:rFonts w:hint="eastAsia" w:ascii="宋体" w:hAnsi="宋体" w:eastAsia="宋体" w:cs="微软雅黑"/>
          <w:b/>
          <w:bCs/>
          <w:color w:val="auto"/>
          <w:sz w:val="24"/>
          <w:szCs w:val="24"/>
          <w:highlight w:val="none"/>
          <w:lang w:val="zh-CN" w:eastAsia="zh-CN"/>
        </w:rPr>
        <w:t>：</w:t>
      </w:r>
    </w:p>
    <w:p w14:paraId="5FBF4CD4">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微软雅黑"/>
          <w:color w:val="auto"/>
          <w:sz w:val="24"/>
          <w:szCs w:val="24"/>
          <w:highlight w:val="none"/>
          <w:lang w:val="zh-CN" w:eastAsia="zh-CN"/>
        </w:rPr>
      </w:pPr>
      <w:r>
        <w:rPr>
          <w:rFonts w:hint="eastAsia" w:ascii="宋体" w:hAnsi="宋体" w:eastAsia="宋体" w:cs="微软雅黑"/>
          <w:color w:val="auto"/>
          <w:sz w:val="24"/>
          <w:szCs w:val="24"/>
          <w:highlight w:val="none"/>
          <w:lang w:val="zh-CN" w:eastAsia="zh-CN"/>
        </w:rPr>
        <w:t>（</w:t>
      </w:r>
      <w:r>
        <w:rPr>
          <w:rFonts w:ascii="宋体" w:hAnsi="宋体" w:eastAsia="宋体" w:cs="微软雅黑"/>
          <w:color w:val="auto"/>
          <w:sz w:val="24"/>
          <w:szCs w:val="24"/>
          <w:highlight w:val="none"/>
          <w:lang w:val="zh-CN" w:eastAsia="zh-CN"/>
        </w:rPr>
        <w:t>1</w:t>
      </w:r>
      <w:r>
        <w:rPr>
          <w:rFonts w:hint="eastAsia" w:ascii="宋体" w:hAnsi="宋体" w:eastAsia="宋体" w:cs="微软雅黑"/>
          <w:color w:val="auto"/>
          <w:sz w:val="24"/>
          <w:szCs w:val="24"/>
          <w:highlight w:val="none"/>
          <w:lang w:val="zh-CN" w:eastAsia="zh-CN"/>
        </w:rPr>
        <w:t>）施工组织部署（</w:t>
      </w:r>
      <w:r>
        <w:rPr>
          <w:rFonts w:hint="eastAsia" w:ascii="宋体" w:hAnsi="宋体" w:eastAsia="宋体" w:cs="微软雅黑"/>
          <w:color w:val="auto"/>
          <w:sz w:val="24"/>
          <w:szCs w:val="24"/>
          <w:highlight w:val="none"/>
          <w:lang w:val="en-US" w:eastAsia="zh-CN"/>
        </w:rPr>
        <w:t>含：</w:t>
      </w:r>
      <w:r>
        <w:rPr>
          <w:rFonts w:hint="eastAsia" w:ascii="宋体" w:hAnsi="宋体" w:eastAsia="宋体" w:cs="微软雅黑"/>
          <w:color w:val="auto"/>
          <w:sz w:val="24"/>
          <w:szCs w:val="24"/>
          <w:highlight w:val="none"/>
          <w:lang w:eastAsia="zh-CN"/>
        </w:rPr>
        <w:t>管理人员配置</w:t>
      </w:r>
      <w:r>
        <w:rPr>
          <w:rFonts w:hint="eastAsia" w:ascii="宋体" w:hAnsi="宋体" w:eastAsia="宋体" w:cs="微软雅黑"/>
          <w:color w:val="auto"/>
          <w:sz w:val="24"/>
          <w:szCs w:val="24"/>
          <w:highlight w:val="none"/>
          <w:lang w:val="en-US" w:eastAsia="zh-CN"/>
        </w:rPr>
        <w:t>和岗位职责</w:t>
      </w:r>
      <w:r>
        <w:rPr>
          <w:rFonts w:hint="eastAsia" w:ascii="宋体" w:hAnsi="宋体" w:eastAsia="宋体" w:cs="微软雅黑"/>
          <w:color w:val="auto"/>
          <w:sz w:val="24"/>
          <w:szCs w:val="24"/>
          <w:highlight w:val="none"/>
          <w:lang w:val="zh-CN" w:eastAsia="zh-CN"/>
        </w:rPr>
        <w:t>）</w:t>
      </w:r>
    </w:p>
    <w:p w14:paraId="2685FBFB">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微软雅黑"/>
          <w:color w:val="auto"/>
          <w:sz w:val="24"/>
          <w:szCs w:val="24"/>
          <w:highlight w:val="none"/>
          <w:lang w:val="zh-CN" w:eastAsia="zh-CN"/>
        </w:rPr>
      </w:pPr>
      <w:r>
        <w:rPr>
          <w:rFonts w:hint="eastAsia" w:ascii="宋体" w:hAnsi="宋体" w:eastAsia="宋体" w:cs="微软雅黑"/>
          <w:color w:val="auto"/>
          <w:sz w:val="24"/>
          <w:szCs w:val="24"/>
          <w:highlight w:val="none"/>
          <w:lang w:val="zh-CN" w:eastAsia="zh-CN"/>
        </w:rPr>
        <w:t>（</w:t>
      </w:r>
      <w:r>
        <w:rPr>
          <w:rFonts w:ascii="宋体" w:hAnsi="宋体" w:eastAsia="宋体" w:cs="微软雅黑"/>
          <w:color w:val="auto"/>
          <w:sz w:val="24"/>
          <w:szCs w:val="24"/>
          <w:highlight w:val="none"/>
          <w:lang w:val="zh-CN" w:eastAsia="zh-CN"/>
        </w:rPr>
        <w:t>2</w:t>
      </w:r>
      <w:r>
        <w:rPr>
          <w:rFonts w:hint="eastAsia" w:ascii="宋体" w:hAnsi="宋体" w:eastAsia="宋体" w:cs="微软雅黑"/>
          <w:color w:val="auto"/>
          <w:sz w:val="24"/>
          <w:szCs w:val="24"/>
          <w:highlight w:val="none"/>
          <w:lang w:val="zh-CN" w:eastAsia="zh-CN"/>
        </w:rPr>
        <w:t>）施工进度计划及工期保证措施（含：施工进度横道图和网络图）</w:t>
      </w:r>
    </w:p>
    <w:p w14:paraId="20EDA4DF">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微软雅黑"/>
          <w:color w:val="auto"/>
          <w:sz w:val="24"/>
          <w:szCs w:val="24"/>
          <w:highlight w:val="none"/>
          <w:lang w:val="zh-CN" w:eastAsia="zh-CN"/>
        </w:rPr>
      </w:pPr>
      <w:r>
        <w:rPr>
          <w:rFonts w:hint="eastAsia" w:ascii="宋体" w:hAnsi="宋体" w:eastAsia="宋体" w:cs="微软雅黑"/>
          <w:color w:val="auto"/>
          <w:sz w:val="24"/>
          <w:szCs w:val="24"/>
          <w:highlight w:val="none"/>
          <w:lang w:val="zh-CN" w:eastAsia="zh-CN"/>
        </w:rPr>
        <w:t>（</w:t>
      </w:r>
      <w:r>
        <w:rPr>
          <w:rFonts w:ascii="宋体" w:hAnsi="宋体" w:eastAsia="宋体" w:cs="微软雅黑"/>
          <w:color w:val="auto"/>
          <w:sz w:val="24"/>
          <w:szCs w:val="24"/>
          <w:highlight w:val="none"/>
          <w:lang w:val="zh-CN" w:eastAsia="zh-CN"/>
        </w:rPr>
        <w:t>3</w:t>
      </w:r>
      <w:r>
        <w:rPr>
          <w:rFonts w:hint="eastAsia" w:ascii="宋体" w:hAnsi="宋体" w:eastAsia="宋体" w:cs="微软雅黑"/>
          <w:color w:val="auto"/>
          <w:sz w:val="24"/>
          <w:szCs w:val="24"/>
          <w:highlight w:val="none"/>
          <w:lang w:val="zh-CN" w:eastAsia="zh-CN"/>
        </w:rPr>
        <w:t>）工程质量保证措施（</w:t>
      </w:r>
      <w:r>
        <w:rPr>
          <w:rFonts w:hint="eastAsia" w:ascii="宋体" w:hAnsi="宋体" w:eastAsia="宋体" w:cs="微软雅黑"/>
          <w:color w:val="auto"/>
          <w:sz w:val="24"/>
          <w:szCs w:val="24"/>
          <w:highlight w:val="none"/>
          <w:lang w:val="en-US" w:eastAsia="zh-CN"/>
        </w:rPr>
        <w:t>含：质量控制、</w:t>
      </w:r>
      <w:r>
        <w:rPr>
          <w:rFonts w:hint="eastAsia" w:ascii="宋体" w:hAnsi="宋体" w:eastAsia="宋体" w:cs="微软雅黑"/>
          <w:color w:val="auto"/>
          <w:sz w:val="24"/>
          <w:szCs w:val="24"/>
          <w:highlight w:val="none"/>
          <w:lang w:eastAsia="zh-CN"/>
        </w:rPr>
        <w:t>材料进场质量保证</w:t>
      </w:r>
      <w:r>
        <w:rPr>
          <w:rFonts w:hint="eastAsia" w:ascii="宋体" w:hAnsi="宋体" w:eastAsia="宋体" w:cs="微软雅黑"/>
          <w:color w:val="auto"/>
          <w:sz w:val="24"/>
          <w:szCs w:val="24"/>
          <w:highlight w:val="none"/>
          <w:lang w:val="en-US" w:eastAsia="zh-CN"/>
        </w:rPr>
        <w:t>、</w:t>
      </w:r>
      <w:r>
        <w:rPr>
          <w:rFonts w:hint="eastAsia" w:ascii="宋体" w:hAnsi="宋体" w:eastAsia="宋体" w:cs="微软雅黑"/>
          <w:color w:val="auto"/>
          <w:spacing w:val="-6"/>
          <w:sz w:val="24"/>
          <w:szCs w:val="24"/>
          <w:highlight w:val="none"/>
          <w:lang w:eastAsia="zh-CN"/>
        </w:rPr>
        <w:t>工程质量回访和保修制度</w:t>
      </w:r>
      <w:r>
        <w:rPr>
          <w:rFonts w:hint="eastAsia" w:ascii="宋体" w:hAnsi="宋体" w:eastAsia="宋体" w:cs="微软雅黑"/>
          <w:color w:val="auto"/>
          <w:sz w:val="24"/>
          <w:szCs w:val="24"/>
          <w:highlight w:val="none"/>
          <w:lang w:val="zh-CN" w:eastAsia="zh-CN"/>
        </w:rPr>
        <w:t>）</w:t>
      </w:r>
    </w:p>
    <w:p w14:paraId="11D17894">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微软雅黑"/>
          <w:color w:val="auto"/>
          <w:sz w:val="24"/>
          <w:szCs w:val="24"/>
          <w:highlight w:val="none"/>
          <w:lang w:val="zh-CN" w:eastAsia="zh-CN"/>
        </w:rPr>
      </w:pPr>
      <w:r>
        <w:rPr>
          <w:rFonts w:hint="eastAsia" w:ascii="宋体" w:hAnsi="宋体" w:eastAsia="宋体" w:cs="微软雅黑"/>
          <w:color w:val="auto"/>
          <w:sz w:val="24"/>
          <w:szCs w:val="24"/>
          <w:highlight w:val="none"/>
          <w:lang w:val="zh-CN" w:eastAsia="zh-CN"/>
        </w:rPr>
        <w:t>（</w:t>
      </w:r>
      <w:r>
        <w:rPr>
          <w:rFonts w:ascii="宋体" w:hAnsi="宋体" w:eastAsia="宋体" w:cs="微软雅黑"/>
          <w:color w:val="auto"/>
          <w:sz w:val="24"/>
          <w:szCs w:val="24"/>
          <w:highlight w:val="none"/>
          <w:lang w:val="zh-CN" w:eastAsia="zh-CN"/>
        </w:rPr>
        <w:t>4</w:t>
      </w:r>
      <w:r>
        <w:rPr>
          <w:rFonts w:hint="eastAsia" w:ascii="宋体" w:hAnsi="宋体" w:eastAsia="宋体" w:cs="微软雅黑"/>
          <w:color w:val="auto"/>
          <w:sz w:val="24"/>
          <w:szCs w:val="24"/>
          <w:highlight w:val="none"/>
          <w:lang w:val="zh-CN" w:eastAsia="zh-CN"/>
        </w:rPr>
        <w:t>）施工技术措施（含：</w:t>
      </w:r>
      <w:r>
        <w:rPr>
          <w:rFonts w:hint="eastAsia" w:ascii="宋体" w:hAnsi="宋体" w:eastAsia="宋体" w:cs="微软雅黑"/>
          <w:color w:val="auto"/>
          <w:sz w:val="24"/>
          <w:szCs w:val="24"/>
          <w:highlight w:val="none"/>
          <w:lang w:val="en-US" w:eastAsia="zh-CN"/>
        </w:rPr>
        <w:t>与项目相关的</w:t>
      </w:r>
      <w:r>
        <w:rPr>
          <w:rFonts w:hint="eastAsia" w:ascii="宋体" w:hAnsi="宋体" w:eastAsia="宋体" w:cs="微软雅黑"/>
          <w:color w:val="auto"/>
          <w:sz w:val="24"/>
          <w:szCs w:val="24"/>
          <w:highlight w:val="none"/>
          <w:lang w:val="zh-CN" w:eastAsia="zh-CN"/>
        </w:rPr>
        <w:t>主要工序施工</w:t>
      </w:r>
      <w:r>
        <w:rPr>
          <w:rFonts w:hint="eastAsia" w:ascii="宋体" w:hAnsi="宋体" w:eastAsia="宋体" w:cs="微软雅黑"/>
          <w:color w:val="auto"/>
          <w:sz w:val="24"/>
          <w:szCs w:val="24"/>
          <w:highlight w:val="none"/>
          <w:lang w:val="en-US" w:eastAsia="zh-CN"/>
        </w:rPr>
        <w:t>流程</w:t>
      </w:r>
      <w:r>
        <w:rPr>
          <w:rFonts w:hint="eastAsia" w:ascii="宋体" w:hAnsi="宋体" w:eastAsia="宋体" w:cs="微软雅黑"/>
          <w:color w:val="auto"/>
          <w:sz w:val="24"/>
          <w:szCs w:val="24"/>
          <w:highlight w:val="none"/>
          <w:lang w:val="zh-CN" w:eastAsia="zh-CN"/>
        </w:rPr>
        <w:t>）</w:t>
      </w:r>
    </w:p>
    <w:p w14:paraId="2FF853EC">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textAlignment w:val="baseline"/>
        <w:rPr>
          <w:rFonts w:ascii="宋体" w:hAnsi="宋体" w:eastAsia="宋体" w:cs="微软雅黑"/>
          <w:color w:val="auto"/>
          <w:sz w:val="24"/>
          <w:szCs w:val="24"/>
          <w:highlight w:val="none"/>
          <w:lang w:val="zh-CN" w:eastAsia="zh-CN"/>
        </w:rPr>
      </w:pPr>
      <w:r>
        <w:rPr>
          <w:rFonts w:hint="eastAsia" w:ascii="宋体" w:hAnsi="宋体" w:eastAsia="宋体" w:cs="微软雅黑"/>
          <w:color w:val="auto"/>
          <w:sz w:val="24"/>
          <w:szCs w:val="24"/>
          <w:highlight w:val="none"/>
          <w:lang w:val="zh-CN" w:eastAsia="zh-CN"/>
        </w:rPr>
        <w:t>（</w:t>
      </w:r>
      <w:r>
        <w:rPr>
          <w:rFonts w:ascii="宋体" w:hAnsi="宋体" w:eastAsia="宋体" w:cs="微软雅黑"/>
          <w:color w:val="auto"/>
          <w:sz w:val="24"/>
          <w:szCs w:val="24"/>
          <w:highlight w:val="none"/>
          <w:lang w:val="zh-CN" w:eastAsia="zh-CN"/>
        </w:rPr>
        <w:t>5</w:t>
      </w:r>
      <w:r>
        <w:rPr>
          <w:rFonts w:hint="eastAsia" w:ascii="宋体" w:hAnsi="宋体" w:eastAsia="宋体" w:cs="微软雅黑"/>
          <w:color w:val="auto"/>
          <w:sz w:val="24"/>
          <w:szCs w:val="24"/>
          <w:highlight w:val="none"/>
          <w:lang w:val="zh-CN" w:eastAsia="zh-CN"/>
        </w:rPr>
        <w:t>）安全文明施工</w:t>
      </w:r>
      <w:r>
        <w:rPr>
          <w:rFonts w:hint="eastAsia" w:ascii="宋体" w:hAnsi="宋体" w:eastAsia="宋体" w:cs="微软雅黑"/>
          <w:color w:val="auto"/>
          <w:sz w:val="24"/>
          <w:szCs w:val="24"/>
          <w:highlight w:val="none"/>
          <w:lang w:val="en-US" w:eastAsia="zh-CN"/>
        </w:rPr>
        <w:t>与保证</w:t>
      </w:r>
      <w:r>
        <w:rPr>
          <w:rFonts w:hint="eastAsia" w:ascii="宋体" w:hAnsi="宋体" w:eastAsia="宋体" w:cs="微软雅黑"/>
          <w:color w:val="auto"/>
          <w:sz w:val="24"/>
          <w:szCs w:val="24"/>
          <w:highlight w:val="none"/>
          <w:lang w:val="zh-CN" w:eastAsia="zh-CN"/>
        </w:rPr>
        <w:t>措施（</w:t>
      </w:r>
      <w:r>
        <w:rPr>
          <w:rFonts w:hint="eastAsia" w:ascii="宋体" w:hAnsi="宋体" w:eastAsia="宋体" w:cs="微软雅黑"/>
          <w:color w:val="auto"/>
          <w:sz w:val="24"/>
          <w:szCs w:val="24"/>
          <w:highlight w:val="none"/>
          <w:lang w:val="en-US" w:eastAsia="zh-CN"/>
        </w:rPr>
        <w:t>含：</w:t>
      </w:r>
      <w:r>
        <w:rPr>
          <w:rFonts w:hint="eastAsia" w:ascii="宋体" w:hAnsi="宋体" w:eastAsia="宋体" w:cs="微软雅黑"/>
          <w:color w:val="auto"/>
          <w:sz w:val="24"/>
          <w:szCs w:val="24"/>
          <w:highlight w:val="none"/>
          <w:lang w:eastAsia="zh-CN"/>
        </w:rPr>
        <w:t>施工安全保证目标、</w:t>
      </w:r>
      <w:r>
        <w:rPr>
          <w:rFonts w:ascii="宋体" w:hAnsi="宋体" w:eastAsia="宋体" w:cs="微软雅黑"/>
          <w:color w:val="auto"/>
          <w:sz w:val="24"/>
          <w:szCs w:val="24"/>
          <w:highlight w:val="none"/>
          <w:lang w:eastAsia="zh-CN"/>
        </w:rPr>
        <w:t>危险源及防护措施</w:t>
      </w:r>
      <w:r>
        <w:rPr>
          <w:rFonts w:hint="eastAsia" w:ascii="宋体" w:hAnsi="宋体" w:eastAsia="宋体" w:cs="微软雅黑"/>
          <w:color w:val="auto"/>
          <w:sz w:val="24"/>
          <w:szCs w:val="24"/>
          <w:highlight w:val="none"/>
          <w:lang w:val="en-US" w:eastAsia="zh-CN"/>
        </w:rPr>
        <w:t>、安全事故应急处理</w:t>
      </w:r>
      <w:r>
        <w:rPr>
          <w:rFonts w:hint="eastAsia" w:ascii="宋体" w:hAnsi="宋体" w:eastAsia="宋体" w:cs="微软雅黑"/>
          <w:color w:val="auto"/>
          <w:sz w:val="24"/>
          <w:szCs w:val="24"/>
          <w:highlight w:val="none"/>
          <w:lang w:val="zh-CN" w:eastAsia="zh-CN"/>
        </w:rPr>
        <w:t>）</w:t>
      </w:r>
    </w:p>
    <w:p w14:paraId="44D1C35F">
      <w:pPr>
        <w:keepNext w:val="0"/>
        <w:keepLines w:val="0"/>
        <w:pageBreakBefore w:val="0"/>
        <w:widowControl/>
        <w:kinsoku w:val="0"/>
        <w:wordWrap/>
        <w:overflowPunct/>
        <w:topLinePunct w:val="0"/>
        <w:autoSpaceDE w:val="0"/>
        <w:autoSpaceDN w:val="0"/>
        <w:bidi w:val="0"/>
        <w:adjustRightInd w:val="0"/>
        <w:snapToGrid w:val="0"/>
        <w:spacing w:line="500" w:lineRule="exact"/>
        <w:jc w:val="both"/>
        <w:textAlignment w:val="baseline"/>
        <w:rPr>
          <w:rFonts w:hint="default"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 xml:space="preserve">     注：响应文件中未按要求提供施工组织方案，视为无效响应。</w:t>
      </w:r>
    </w:p>
    <w:p w14:paraId="26EF7D46">
      <w:pPr>
        <w:keepNext w:val="0"/>
        <w:keepLines w:val="0"/>
        <w:pageBreakBefore w:val="0"/>
        <w:widowControl/>
        <w:kinsoku/>
        <w:wordWrap/>
        <w:overflowPunct/>
        <w:topLinePunct w:val="0"/>
        <w:autoSpaceDE w:val="0"/>
        <w:autoSpaceDN w:val="0"/>
        <w:bidi w:val="0"/>
        <w:adjustRightInd w:val="0"/>
        <w:snapToGrid w:val="0"/>
        <w:spacing w:line="500" w:lineRule="exact"/>
        <w:ind w:right="0"/>
        <w:textAlignment w:val="baseline"/>
        <w:rPr>
          <w:rFonts w:hint="default" w:ascii="宋体" w:hAnsi="宋体" w:eastAsia="宋体" w:cs="宋体"/>
          <w:b/>
          <w:bCs/>
          <w:color w:val="auto"/>
          <w:spacing w:val="-1"/>
          <w:sz w:val="24"/>
          <w:szCs w:val="24"/>
          <w:highlight w:val="none"/>
          <w:lang w:val="en-US" w:eastAsia="zh-CN"/>
        </w:rPr>
      </w:pPr>
    </w:p>
    <w:p w14:paraId="3F874F18">
      <w:r>
        <w:rPr>
          <w:rFonts w:hint="eastAsia" w:ascii="宋体" w:hAnsi="宋体" w:eastAsia="宋体" w:cs="宋体"/>
          <w:b/>
          <w:bCs/>
          <w:snapToGrid/>
          <w:color w:val="auto"/>
          <w:kern w:val="2"/>
          <w:sz w:val="24"/>
          <w:szCs w:val="24"/>
          <w:highlight w:val="none"/>
          <w:lang w:eastAsia="zh-CN"/>
        </w:rPr>
        <w:t>注：以上技术条款为最低指标，供应商必须全部响应（满足或优于技术条款要求），否则其响应无效。</w:t>
      </w:r>
      <w:bookmarkStart w:id="11" w:name="_GoBack"/>
      <w:bookmarkEnd w:id="1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MS PGothic">
    <w:panose1 w:val="020B0600070205080204"/>
    <w:charset w:val="80"/>
    <w:family w:val="auto"/>
    <w:pitch w:val="default"/>
    <w:sig w:usb0="E00002FF" w:usb1="6AC7FDFB" w:usb2="08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657FF0"/>
    <w:rsid w:val="3A657F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line="360" w:lineRule="auto"/>
      <w:outlineLvl w:val="1"/>
    </w:pPr>
    <w:rPr>
      <w:rFonts w:ascii="宋体" w:hAnsi="宋体" w:eastAsiaTheme="minorEastAsia"/>
      <w:b/>
      <w:bCs/>
      <w:sz w:val="24"/>
      <w:szCs w:val="32"/>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2026-06-29T09:23:00Z</dcterms:created>
  <dc:creator>Administrator</dc:creator>
  <cp:lastModifiedBy>Administrator</cp:lastModifiedBy>
  <dcterms:modified xsi:type="dcterms:W3CDTF">2026-06-29T09:23:29Z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77A5448F0D5842A4ACBD073EFF0BCAAA_11</vt:lpwstr>
  </property>
  <property fmtid="{D5CDD505-2E9C-101B-9397-08002B2CF9AE}" pid="4" name="KSOTemplateDocerSaveRecord">
    <vt:lpwstr>eyJoZGlkIjoiY2E1NmUyMmMyNzY0YWE4NTc0NjgzODc2ZmZiNDY0ZmYiLCJ1c2VySWQiOiIyNTY2NjMwNTYifQ==</vt:lpwstr>
  </property>
</Properties>
</file>