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9378DC">
      <w:pPr>
        <w:keepNext w:val="0"/>
        <w:keepLines w:val="0"/>
        <w:pageBreakBefore w:val="0"/>
        <w:widowControl/>
        <w:shd w:val="clear"/>
        <w:kinsoku/>
        <w:wordWrap w:val="0"/>
        <w:overflowPunct/>
        <w:topLinePunct/>
        <w:autoSpaceDE/>
        <w:autoSpaceDN/>
        <w:bidi w:val="0"/>
        <w:adjustRightInd/>
        <w:snapToGrid/>
        <w:spacing w:line="360" w:lineRule="auto"/>
        <w:jc w:val="center"/>
        <w:textAlignment w:val="auto"/>
        <w:outlineLvl w:val="0"/>
        <w:rPr>
          <w:rFonts w:hint="eastAsia" w:ascii="仿宋" w:hAnsi="仿宋" w:eastAsia="仿宋" w:cs="仿宋"/>
          <w:bCs/>
          <w:snapToGrid/>
          <w:color w:val="auto"/>
          <w:kern w:val="2"/>
          <w:sz w:val="30"/>
          <w:szCs w:val="30"/>
          <w:highlight w:val="none"/>
          <w:lang w:val="en-US" w:eastAsia="zh-CN"/>
        </w:rPr>
      </w:pPr>
      <w:bookmarkStart w:id="0" w:name="_Toc8472"/>
      <w:r>
        <w:rPr>
          <w:rFonts w:hint="eastAsia" w:ascii="仿宋" w:hAnsi="仿宋" w:eastAsia="仿宋" w:cs="仿宋"/>
          <w:b/>
          <w:bCs w:val="0"/>
          <w:snapToGrid/>
          <w:color w:val="auto"/>
          <w:kern w:val="2"/>
          <w:sz w:val="30"/>
          <w:szCs w:val="30"/>
          <w:highlight w:val="none"/>
          <w:lang w:val="en-US" w:eastAsia="zh-CN"/>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0" t="0" r="8890" b="1905"/>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rFonts w:hint="eastAsia" w:ascii="仿宋" w:hAnsi="仿宋" w:eastAsia="仿宋" w:cs="仿宋"/>
          <w:b/>
          <w:bCs w:val="0"/>
          <w:snapToGrid/>
          <w:color w:val="auto"/>
          <w:kern w:val="2"/>
          <w:sz w:val="30"/>
          <w:szCs w:val="30"/>
          <w:highlight w:val="none"/>
          <w:lang w:val="en-US" w:eastAsia="zh-CN"/>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0" t="0" r="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bookmarkStart w:id="1" w:name="bookmark1"/>
      <w:bookmarkEnd w:id="1"/>
      <w:r>
        <w:rPr>
          <w:rFonts w:hint="eastAsia" w:ascii="仿宋" w:hAnsi="仿宋" w:eastAsia="仿宋" w:cs="仿宋"/>
          <w:b/>
          <w:bCs w:val="0"/>
          <w:snapToGrid/>
          <w:color w:val="auto"/>
          <w:kern w:val="2"/>
          <w:sz w:val="30"/>
          <w:szCs w:val="30"/>
          <w:highlight w:val="none"/>
          <w:lang w:val="en-US" w:eastAsia="zh-CN"/>
        </w:rPr>
        <w:t>江西省朝旭企业管理咨询有限公司关于</w:t>
      </w:r>
      <w:r>
        <w:rPr>
          <w:rFonts w:hint="eastAsia" w:ascii="仿宋" w:hAnsi="仿宋" w:eastAsia="仿宋" w:cs="仿宋"/>
          <w:b/>
          <w:bCs w:val="0"/>
          <w:snapToGrid/>
          <w:color w:val="auto"/>
          <w:kern w:val="2"/>
          <w:sz w:val="30"/>
          <w:szCs w:val="30"/>
          <w:highlight w:val="none"/>
          <w:lang w:val="en-US" w:eastAsia="zh-CN"/>
        </w:rPr>
        <w:t>万安县人民医院检验科设备采购项目第二次</w:t>
      </w:r>
      <w:bookmarkEnd w:id="0"/>
      <w:r>
        <w:rPr>
          <w:rFonts w:hint="eastAsia" w:ascii="仿宋" w:hAnsi="仿宋" w:eastAsia="仿宋" w:cs="仿宋"/>
          <w:b/>
          <w:bCs w:val="0"/>
          <w:snapToGrid/>
          <w:color w:val="auto"/>
          <w:kern w:val="2"/>
          <w:sz w:val="30"/>
          <w:szCs w:val="30"/>
          <w:highlight w:val="none"/>
          <w:lang w:val="en-US" w:eastAsia="zh-CN"/>
        </w:rPr>
        <w:t>公开招标采购公告</w:t>
      </w:r>
    </w:p>
    <w:p w14:paraId="3295B0DC">
      <w:pPr>
        <w:keepNext w:val="0"/>
        <w:keepLines w:val="0"/>
        <w:pageBreakBefore w:val="0"/>
        <w:widowControl/>
        <w:shd w:val="clear"/>
        <w:kinsoku/>
        <w:wordWrap w:val="0"/>
        <w:overflowPunct/>
        <w:topLinePunct/>
        <w:autoSpaceDE/>
        <w:autoSpaceDN/>
        <w:bidi w:val="0"/>
        <w:adjustRightInd/>
        <w:snapToGrid/>
        <w:spacing w:line="360" w:lineRule="auto"/>
        <w:ind w:firstLine="480" w:firstLineChars="200"/>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u w:val="single"/>
          <w:lang w:val="en-US" w:eastAsia="zh-CN"/>
        </w:rPr>
        <w:t>万安县人民医院检验科设备采购项目第二次</w:t>
      </w:r>
      <w:r>
        <w:rPr>
          <w:rFonts w:hint="eastAsia" w:ascii="仿宋" w:hAnsi="仿宋" w:eastAsia="仿宋" w:cs="仿宋"/>
          <w:bCs/>
          <w:snapToGrid/>
          <w:color w:val="auto"/>
          <w:kern w:val="2"/>
          <w:sz w:val="24"/>
          <w:szCs w:val="24"/>
          <w:highlight w:val="none"/>
          <w:lang w:val="en-US" w:eastAsia="zh-CN"/>
        </w:rPr>
        <w:t>的潜在投标人应在江西省公共资源交易平台确认并获取招标文件，并于</w:t>
      </w:r>
      <w:r>
        <w:rPr>
          <w:rFonts w:hint="eastAsia" w:ascii="仿宋" w:hAnsi="仿宋" w:eastAsia="仿宋" w:cs="仿宋"/>
          <w:bCs/>
          <w:snapToGrid/>
          <w:color w:val="auto"/>
          <w:kern w:val="2"/>
          <w:sz w:val="24"/>
          <w:szCs w:val="24"/>
          <w:highlight w:val="none"/>
          <w:u w:val="single"/>
          <w:lang w:val="en-US" w:eastAsia="zh-CN"/>
        </w:rPr>
        <w:t>2026</w:t>
      </w:r>
      <w:r>
        <w:rPr>
          <w:rFonts w:hint="eastAsia" w:ascii="仿宋" w:hAnsi="仿宋" w:eastAsia="仿宋" w:cs="仿宋"/>
          <w:bCs/>
          <w:snapToGrid/>
          <w:color w:val="auto"/>
          <w:kern w:val="2"/>
          <w:sz w:val="24"/>
          <w:szCs w:val="24"/>
          <w:highlight w:val="none"/>
          <w:lang w:val="en-US" w:eastAsia="zh-CN"/>
        </w:rPr>
        <w:t>年</w:t>
      </w:r>
      <w:r>
        <w:rPr>
          <w:rFonts w:hint="eastAsia" w:ascii="仿宋" w:hAnsi="仿宋" w:eastAsia="仿宋" w:cs="仿宋"/>
          <w:bCs/>
          <w:snapToGrid/>
          <w:color w:val="auto"/>
          <w:kern w:val="2"/>
          <w:sz w:val="24"/>
          <w:szCs w:val="24"/>
          <w:highlight w:val="none"/>
          <w:u w:val="single"/>
          <w:lang w:val="en-US" w:eastAsia="zh-CN"/>
        </w:rPr>
        <w:t>07</w:t>
      </w:r>
      <w:r>
        <w:rPr>
          <w:rFonts w:hint="eastAsia" w:ascii="仿宋" w:hAnsi="仿宋" w:eastAsia="仿宋" w:cs="仿宋"/>
          <w:bCs/>
          <w:snapToGrid/>
          <w:color w:val="auto"/>
          <w:kern w:val="2"/>
          <w:sz w:val="24"/>
          <w:szCs w:val="24"/>
          <w:highlight w:val="none"/>
          <w:lang w:val="en-US" w:eastAsia="zh-CN"/>
        </w:rPr>
        <w:t>月</w:t>
      </w:r>
      <w:r>
        <w:rPr>
          <w:rFonts w:hint="eastAsia" w:ascii="仿宋" w:hAnsi="仿宋" w:eastAsia="仿宋" w:cs="仿宋"/>
          <w:bCs/>
          <w:snapToGrid/>
          <w:color w:val="auto"/>
          <w:kern w:val="2"/>
          <w:sz w:val="24"/>
          <w:szCs w:val="24"/>
          <w:highlight w:val="none"/>
          <w:u w:val="single"/>
          <w:lang w:val="en-US" w:eastAsia="zh-CN"/>
        </w:rPr>
        <w:t>21</w:t>
      </w:r>
      <w:r>
        <w:rPr>
          <w:rFonts w:hint="eastAsia" w:ascii="仿宋" w:hAnsi="仿宋" w:eastAsia="仿宋" w:cs="仿宋"/>
          <w:bCs/>
          <w:snapToGrid/>
          <w:color w:val="auto"/>
          <w:kern w:val="2"/>
          <w:sz w:val="24"/>
          <w:szCs w:val="24"/>
          <w:highlight w:val="none"/>
          <w:lang w:val="en-US" w:eastAsia="zh-CN"/>
        </w:rPr>
        <w:t>日</w:t>
      </w:r>
      <w:r>
        <w:rPr>
          <w:rFonts w:hint="eastAsia" w:ascii="仿宋" w:hAnsi="仿宋" w:eastAsia="仿宋" w:cs="仿宋"/>
          <w:bCs/>
          <w:snapToGrid/>
          <w:color w:val="auto"/>
          <w:kern w:val="2"/>
          <w:sz w:val="24"/>
          <w:szCs w:val="24"/>
          <w:highlight w:val="none"/>
          <w:u w:val="single"/>
          <w:lang w:val="en-US" w:eastAsia="zh-CN"/>
        </w:rPr>
        <w:t>09</w:t>
      </w:r>
      <w:r>
        <w:rPr>
          <w:rFonts w:hint="eastAsia" w:ascii="仿宋" w:hAnsi="仿宋" w:eastAsia="仿宋" w:cs="仿宋"/>
          <w:bCs/>
          <w:snapToGrid/>
          <w:color w:val="auto"/>
          <w:kern w:val="2"/>
          <w:sz w:val="24"/>
          <w:szCs w:val="24"/>
          <w:highlight w:val="none"/>
          <w:lang w:val="en-US" w:eastAsia="zh-CN"/>
        </w:rPr>
        <w:t>点</w:t>
      </w:r>
      <w:r>
        <w:rPr>
          <w:rFonts w:hint="eastAsia" w:ascii="仿宋" w:hAnsi="仿宋" w:eastAsia="仿宋" w:cs="仿宋"/>
          <w:bCs/>
          <w:snapToGrid/>
          <w:color w:val="auto"/>
          <w:kern w:val="2"/>
          <w:sz w:val="24"/>
          <w:szCs w:val="24"/>
          <w:highlight w:val="none"/>
          <w:u w:val="single"/>
          <w:lang w:val="en-US" w:eastAsia="zh-CN"/>
        </w:rPr>
        <w:t>00</w:t>
      </w:r>
      <w:r>
        <w:rPr>
          <w:rFonts w:hint="eastAsia" w:ascii="仿宋" w:hAnsi="仿宋" w:eastAsia="仿宋" w:cs="仿宋"/>
          <w:bCs/>
          <w:snapToGrid/>
          <w:color w:val="auto"/>
          <w:kern w:val="2"/>
          <w:sz w:val="24"/>
          <w:szCs w:val="24"/>
          <w:highlight w:val="none"/>
          <w:lang w:val="en-US" w:eastAsia="zh-CN"/>
        </w:rPr>
        <w:t>分（北京时间）前提交投标文件。</w:t>
      </w:r>
    </w:p>
    <w:p w14:paraId="6116DA63">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
          <w:bCs w:val="0"/>
          <w:snapToGrid/>
          <w:color w:val="auto"/>
          <w:kern w:val="2"/>
          <w:sz w:val="24"/>
          <w:szCs w:val="24"/>
          <w:highlight w:val="none"/>
          <w:lang w:val="en-US" w:eastAsia="zh-CN"/>
        </w:rPr>
      </w:pPr>
      <w:bookmarkStart w:id="2" w:name="bookmark2"/>
      <w:bookmarkEnd w:id="2"/>
      <w:r>
        <w:rPr>
          <w:rFonts w:hint="eastAsia" w:ascii="仿宋" w:hAnsi="仿宋" w:eastAsia="仿宋" w:cs="仿宋"/>
          <w:b/>
          <w:bCs w:val="0"/>
          <w:snapToGrid/>
          <w:color w:val="auto"/>
          <w:kern w:val="2"/>
          <w:sz w:val="24"/>
          <w:szCs w:val="24"/>
          <w:highlight w:val="none"/>
          <w:lang w:val="en-US" w:eastAsia="zh-CN"/>
        </w:rPr>
        <w:t>一、项目基本情况</w:t>
      </w:r>
    </w:p>
    <w:p w14:paraId="59345CFF">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项目编号：</w:t>
      </w:r>
      <w:r>
        <w:rPr>
          <w:rFonts w:hint="eastAsia" w:ascii="仿宋" w:hAnsi="仿宋" w:eastAsia="仿宋" w:cs="仿宋"/>
          <w:bCs/>
          <w:snapToGrid/>
          <w:color w:val="auto"/>
          <w:kern w:val="2"/>
          <w:sz w:val="24"/>
          <w:szCs w:val="24"/>
          <w:highlight w:val="none"/>
          <w:u w:val="single"/>
          <w:lang w:val="en-US" w:eastAsia="zh-CN"/>
        </w:rPr>
        <w:t>JXSZXZFCG2026Y25-1</w:t>
      </w:r>
    </w:p>
    <w:p w14:paraId="23C5E860">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项目名称：</w:t>
      </w:r>
      <w:r>
        <w:rPr>
          <w:rFonts w:hint="eastAsia" w:ascii="仿宋" w:hAnsi="仿宋" w:eastAsia="仿宋" w:cs="仿宋"/>
          <w:bCs/>
          <w:snapToGrid/>
          <w:color w:val="auto"/>
          <w:kern w:val="2"/>
          <w:sz w:val="24"/>
          <w:szCs w:val="24"/>
          <w:highlight w:val="none"/>
          <w:u w:val="single"/>
          <w:lang w:val="en-US" w:eastAsia="zh-CN"/>
        </w:rPr>
        <w:t>万安县人民医院检验科设备采购项目第二次</w:t>
      </w:r>
      <w:bookmarkStart w:id="8" w:name="_GoBack"/>
      <w:bookmarkEnd w:id="8"/>
    </w:p>
    <w:p w14:paraId="23B65E3F">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u w:val="single"/>
          <w:lang w:eastAsia="zh-CN"/>
        </w:rPr>
      </w:pPr>
      <w:r>
        <w:rPr>
          <w:rFonts w:hint="eastAsia" w:ascii="仿宋" w:hAnsi="仿宋" w:eastAsia="仿宋" w:cs="仿宋"/>
          <w:bCs/>
          <w:snapToGrid/>
          <w:color w:val="auto"/>
          <w:kern w:val="2"/>
          <w:sz w:val="24"/>
          <w:szCs w:val="24"/>
          <w:highlight w:val="none"/>
          <w:lang w:eastAsia="zh-CN"/>
        </w:rPr>
        <w:t>采购方式：</w:t>
      </w:r>
      <w:r>
        <w:rPr>
          <w:rFonts w:hint="eastAsia" w:ascii="仿宋" w:hAnsi="仿宋" w:eastAsia="仿宋" w:cs="仿宋"/>
          <w:bCs/>
          <w:snapToGrid/>
          <w:color w:val="auto"/>
          <w:kern w:val="2"/>
          <w:sz w:val="24"/>
          <w:szCs w:val="24"/>
          <w:highlight w:val="none"/>
          <w:u w:val="single"/>
          <w:lang w:eastAsia="zh-CN"/>
        </w:rPr>
        <w:t>公开招标</w:t>
      </w:r>
    </w:p>
    <w:p w14:paraId="11A84E73">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预算金额（人民币）：</w:t>
      </w:r>
      <w:r>
        <w:rPr>
          <w:rFonts w:hint="eastAsia" w:ascii="仿宋" w:hAnsi="仿宋" w:eastAsia="仿宋" w:cs="仿宋"/>
          <w:bCs/>
          <w:snapToGrid/>
          <w:color w:val="auto"/>
          <w:kern w:val="2"/>
          <w:sz w:val="24"/>
          <w:szCs w:val="24"/>
          <w:highlight w:val="none"/>
          <w:u w:val="single"/>
          <w:lang w:val="en-US" w:eastAsia="zh-CN"/>
        </w:rPr>
        <w:t>375000.00元</w:t>
      </w:r>
    </w:p>
    <w:p w14:paraId="30826434">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最高限价（人民币）：</w:t>
      </w:r>
      <w:r>
        <w:rPr>
          <w:rFonts w:hint="eastAsia" w:ascii="仿宋" w:hAnsi="仿宋" w:eastAsia="仿宋" w:cs="仿宋"/>
          <w:bCs/>
          <w:snapToGrid/>
          <w:color w:val="auto"/>
          <w:kern w:val="2"/>
          <w:sz w:val="24"/>
          <w:szCs w:val="24"/>
          <w:highlight w:val="none"/>
          <w:u w:val="single"/>
          <w:lang w:val="en-US" w:eastAsia="zh-CN"/>
        </w:rPr>
        <w:t>375000.00元</w:t>
      </w:r>
    </w:p>
    <w:p w14:paraId="2B8835D0">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采购需求：</w:t>
      </w:r>
    </w:p>
    <w:tbl>
      <w:tblPr>
        <w:tblStyle w:val="7"/>
        <w:tblW w:w="870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818"/>
        <w:gridCol w:w="2177"/>
        <w:gridCol w:w="820"/>
        <w:gridCol w:w="937"/>
        <w:gridCol w:w="1948"/>
      </w:tblGrid>
      <w:tr w14:paraId="7FA8D8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6" w:hRule="atLeast"/>
          <w:jc w:val="center"/>
        </w:trPr>
        <w:tc>
          <w:tcPr>
            <w:tcW w:w="2818" w:type="dxa"/>
            <w:vAlign w:val="center"/>
          </w:tcPr>
          <w:p w14:paraId="7830765B">
            <w:pPr>
              <w:keepNext w:val="0"/>
              <w:keepLines w:val="0"/>
              <w:pageBreakBefore w:val="0"/>
              <w:widowControl/>
              <w:shd w:val="clear"/>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采购条目编号</w:t>
            </w:r>
          </w:p>
        </w:tc>
        <w:tc>
          <w:tcPr>
            <w:tcW w:w="2177" w:type="dxa"/>
            <w:vAlign w:val="center"/>
          </w:tcPr>
          <w:p w14:paraId="7FD698A0">
            <w:pPr>
              <w:keepNext w:val="0"/>
              <w:keepLines w:val="0"/>
              <w:pageBreakBefore w:val="0"/>
              <w:widowControl/>
              <w:shd w:val="clear"/>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采购条目名称</w:t>
            </w:r>
          </w:p>
        </w:tc>
        <w:tc>
          <w:tcPr>
            <w:tcW w:w="820" w:type="dxa"/>
            <w:vAlign w:val="center"/>
          </w:tcPr>
          <w:p w14:paraId="1EFFDB0B">
            <w:pPr>
              <w:keepNext w:val="0"/>
              <w:keepLines w:val="0"/>
              <w:pageBreakBefore w:val="0"/>
              <w:widowControl/>
              <w:shd w:val="clear"/>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数量</w:t>
            </w:r>
          </w:p>
        </w:tc>
        <w:tc>
          <w:tcPr>
            <w:tcW w:w="937" w:type="dxa"/>
            <w:vAlign w:val="center"/>
          </w:tcPr>
          <w:p w14:paraId="24B5E4E1">
            <w:pPr>
              <w:keepNext w:val="0"/>
              <w:keepLines w:val="0"/>
              <w:pageBreakBefore w:val="0"/>
              <w:widowControl/>
              <w:shd w:val="clear"/>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单位</w:t>
            </w:r>
          </w:p>
        </w:tc>
        <w:tc>
          <w:tcPr>
            <w:tcW w:w="1948" w:type="dxa"/>
            <w:vAlign w:val="center"/>
          </w:tcPr>
          <w:p w14:paraId="5A8F9D45">
            <w:pPr>
              <w:keepNext w:val="0"/>
              <w:keepLines w:val="0"/>
              <w:pageBreakBefore w:val="0"/>
              <w:widowControl/>
              <w:shd w:val="clear"/>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评分办法</w:t>
            </w:r>
          </w:p>
        </w:tc>
      </w:tr>
      <w:tr w14:paraId="47489C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jc w:val="center"/>
        </w:trPr>
        <w:tc>
          <w:tcPr>
            <w:tcW w:w="2818" w:type="dxa"/>
            <w:vAlign w:val="center"/>
          </w:tcPr>
          <w:p w14:paraId="52239DA3">
            <w:pPr>
              <w:keepNext w:val="0"/>
              <w:keepLines w:val="0"/>
              <w:pageBreakBefore w:val="0"/>
              <w:widowControl/>
              <w:shd w:val="clear"/>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吉购2026F000211507</w:t>
            </w:r>
          </w:p>
        </w:tc>
        <w:tc>
          <w:tcPr>
            <w:tcW w:w="2177" w:type="dxa"/>
            <w:vAlign w:val="center"/>
          </w:tcPr>
          <w:p w14:paraId="75CCB836">
            <w:pPr>
              <w:keepNext w:val="0"/>
              <w:keepLines w:val="0"/>
              <w:pageBreakBefore w:val="0"/>
              <w:widowControl/>
              <w:shd w:val="clear"/>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万安县人民医院检验科设备采购项目第二次</w:t>
            </w:r>
          </w:p>
        </w:tc>
        <w:tc>
          <w:tcPr>
            <w:tcW w:w="820" w:type="dxa"/>
            <w:vAlign w:val="center"/>
          </w:tcPr>
          <w:p w14:paraId="72A963AE">
            <w:pPr>
              <w:keepNext w:val="0"/>
              <w:keepLines w:val="0"/>
              <w:pageBreakBefore w:val="0"/>
              <w:widowControl/>
              <w:shd w:val="clear"/>
              <w:kinsoku/>
              <w:wordWrap w:val="0"/>
              <w:overflowPunct/>
              <w:topLinePunct/>
              <w:autoSpaceDE/>
              <w:autoSpaceDN/>
              <w:bidi w:val="0"/>
              <w:adjustRightInd/>
              <w:snapToGrid/>
              <w:spacing w:line="360" w:lineRule="auto"/>
              <w:jc w:val="center"/>
              <w:textAlignment w:val="auto"/>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w:t>
            </w:r>
          </w:p>
        </w:tc>
        <w:tc>
          <w:tcPr>
            <w:tcW w:w="937" w:type="dxa"/>
            <w:vAlign w:val="center"/>
          </w:tcPr>
          <w:p w14:paraId="07E536BE">
            <w:pPr>
              <w:keepNext w:val="0"/>
              <w:keepLines w:val="0"/>
              <w:pageBreakBefore w:val="0"/>
              <w:widowControl/>
              <w:shd w:val="clear"/>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项</w:t>
            </w:r>
          </w:p>
        </w:tc>
        <w:tc>
          <w:tcPr>
            <w:tcW w:w="1948" w:type="dxa"/>
            <w:vAlign w:val="center"/>
          </w:tcPr>
          <w:p w14:paraId="3C7C4676">
            <w:pPr>
              <w:keepNext w:val="0"/>
              <w:keepLines w:val="0"/>
              <w:pageBreakBefore w:val="0"/>
              <w:widowControl/>
              <w:shd w:val="clear"/>
              <w:kinsoku/>
              <w:wordWrap w:val="0"/>
              <w:overflowPunct/>
              <w:topLinePunct/>
              <w:autoSpaceDE/>
              <w:autoSpaceDN/>
              <w:bidi w:val="0"/>
              <w:adjustRightInd/>
              <w:snapToGrid/>
              <w:spacing w:line="360" w:lineRule="auto"/>
              <w:jc w:val="center"/>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综合评分法</w:t>
            </w:r>
          </w:p>
        </w:tc>
      </w:tr>
    </w:tbl>
    <w:p w14:paraId="0F5AA459">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u w:val="single"/>
          <w:lang w:val="en-US" w:eastAsia="zh-CN"/>
        </w:rPr>
      </w:pPr>
      <w:r>
        <w:rPr>
          <w:rFonts w:hint="eastAsia" w:ascii="仿宋" w:hAnsi="仿宋" w:eastAsia="仿宋" w:cs="仿宋"/>
          <w:bCs/>
          <w:snapToGrid/>
          <w:color w:val="auto"/>
          <w:kern w:val="2"/>
          <w:sz w:val="24"/>
          <w:szCs w:val="24"/>
          <w:highlight w:val="none"/>
          <w:lang w:val="en-US" w:eastAsia="zh-CN"/>
        </w:rPr>
        <w:t>合同履行期限：</w:t>
      </w:r>
      <w:r>
        <w:rPr>
          <w:rFonts w:hint="eastAsia" w:ascii="仿宋" w:hAnsi="仿宋" w:eastAsia="仿宋" w:cs="仿宋"/>
          <w:bCs/>
          <w:snapToGrid/>
          <w:color w:val="auto"/>
          <w:kern w:val="2"/>
          <w:sz w:val="24"/>
          <w:szCs w:val="24"/>
          <w:highlight w:val="none"/>
          <w:u w:val="single"/>
          <w:lang w:val="en-US" w:eastAsia="zh-CN"/>
        </w:rPr>
        <w:t>签订合同后30个工作日内完成项目实施并验收合格。</w:t>
      </w:r>
    </w:p>
    <w:p w14:paraId="776AC5A4">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本项目是否接受联合体投标：否</w:t>
      </w:r>
    </w:p>
    <w:p w14:paraId="0C629487">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
          <w:bCs w:val="0"/>
          <w:snapToGrid/>
          <w:color w:val="auto"/>
          <w:kern w:val="2"/>
          <w:sz w:val="24"/>
          <w:szCs w:val="24"/>
          <w:highlight w:val="none"/>
          <w:lang w:val="en-US" w:eastAsia="zh-CN"/>
        </w:rPr>
      </w:pPr>
      <w:bookmarkStart w:id="3" w:name="bookmark3"/>
      <w:bookmarkEnd w:id="3"/>
      <w:r>
        <w:rPr>
          <w:rFonts w:hint="eastAsia" w:ascii="仿宋" w:hAnsi="仿宋" w:eastAsia="仿宋" w:cs="仿宋"/>
          <w:b/>
          <w:bCs w:val="0"/>
          <w:snapToGrid/>
          <w:color w:val="auto"/>
          <w:kern w:val="2"/>
          <w:sz w:val="24"/>
          <w:szCs w:val="24"/>
          <w:highlight w:val="none"/>
          <w:lang w:val="en-US" w:eastAsia="zh-CN"/>
        </w:rPr>
        <w:t>二、投标人的资格要求</w:t>
      </w:r>
    </w:p>
    <w:p w14:paraId="2C1E8822">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1.满足《中华人民共和国政府采购法》第二十二条规定：</w:t>
      </w:r>
    </w:p>
    <w:p w14:paraId="0A73759C">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1.1 具有独立承担民事责任的能力；</w:t>
      </w:r>
    </w:p>
    <w:p w14:paraId="078A4809">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1.2 具有良好的商业信誉和健全的财务会计制度；</w:t>
      </w:r>
    </w:p>
    <w:p w14:paraId="00336133">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1.3 具有履行合同所必需的设备和专业技术能力；</w:t>
      </w:r>
    </w:p>
    <w:p w14:paraId="34140DD1">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1.4 有依法缴纳税收和社会保障资金的良好记录；</w:t>
      </w:r>
    </w:p>
    <w:p w14:paraId="1D761242">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1.5 参加政府采购活动前三年内,在经营活动中没有重大违法记录；</w:t>
      </w:r>
    </w:p>
    <w:p w14:paraId="305FAAEA">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1.6 法律、行政法规规定的其他条件。</w:t>
      </w:r>
    </w:p>
    <w:p w14:paraId="39AB7B27">
      <w:pPr>
        <w:keepNext w:val="0"/>
        <w:keepLines w:val="0"/>
        <w:pageBreakBefore w:val="0"/>
        <w:widowControl w:val="0"/>
        <w:shd w:val="clear"/>
        <w:kinsoku/>
        <w:wordWrap/>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
          <w:bCs/>
          <w:color w:val="auto"/>
          <w:spacing w:val="0"/>
          <w:position w:val="0"/>
          <w:sz w:val="24"/>
          <w:szCs w:val="24"/>
          <w:highlight w:val="none"/>
          <w:lang w:eastAsia="zh-CN"/>
        </w:rPr>
        <w:t>备注：根据吉财购〔2023〕25 号文件要求，在政府采购资格审查环节中推行信用承诺制，投标人在政府采购项目资格审查环节提供了满足相应条件的书面承诺书(详见江西省政府采购供应商资格信用承诺函）后，可不再提供以上证明材料。</w:t>
      </w:r>
    </w:p>
    <w:p w14:paraId="1D01D619">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2.单位负责人为同一人或者存在直接控股、管理关系的不同投标人，不得参加同一合同项下的采购活动。为本采购项目提供整体设计、规范编制或者项目管理、监理、检测等服务的，不得参加本项目的政府采购活动。</w:t>
      </w:r>
    </w:p>
    <w:p w14:paraId="3DADAE07">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3.投标人被“信用中国”网站列入失信被执行人或重大税收违法失信主体名单、或被“中国政府采购网”网站列入政府采购严重违法失信行为记录名单（处罚期限尚未届满的）的，不得参加本项目的政府采购活动。</w:t>
      </w:r>
    </w:p>
    <w:p w14:paraId="7E4E74DA">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4.落实政府采购政策需满足的资格要求：</w:t>
      </w:r>
    </w:p>
    <w:p w14:paraId="2B37E1F0">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4.1 中小企业政策：本项目不专门面向中小企业采购。</w:t>
      </w:r>
    </w:p>
    <w:p w14:paraId="203B5988">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4.2 如本项目采购的产品属于政府强制采购节能产品的，投标文件中必须提供《参与实施政府采购节能产品认证机构名录》中的对应产品认证机构出具的节能产品认证证书原件扫描件</w:t>
      </w:r>
      <w:r>
        <w:rPr>
          <w:rFonts w:hint="eastAsia" w:ascii="仿宋" w:hAnsi="仿宋" w:eastAsia="仿宋" w:cs="仿宋"/>
          <w:b w:val="0"/>
          <w:bCs w:val="0"/>
          <w:color w:val="auto"/>
          <w:spacing w:val="0"/>
          <w:w w:val="100"/>
          <w:position w:val="0"/>
          <w:sz w:val="24"/>
          <w:szCs w:val="24"/>
          <w:highlight w:val="none"/>
          <w:lang w:val="en-US" w:eastAsia="zh-CN"/>
        </w:rPr>
        <w:t>或提供国家市场监督管理总局的节能产品查询结果截图</w:t>
      </w:r>
      <w:r>
        <w:rPr>
          <w:rFonts w:hint="eastAsia" w:ascii="仿宋" w:hAnsi="仿宋" w:eastAsia="仿宋" w:cs="仿宋"/>
          <w:bCs/>
          <w:snapToGrid/>
          <w:color w:val="auto"/>
          <w:kern w:val="2"/>
          <w:sz w:val="24"/>
          <w:szCs w:val="24"/>
          <w:highlight w:val="none"/>
          <w:lang w:val="en-US" w:eastAsia="zh-CN"/>
        </w:rPr>
        <w:t>；</w:t>
      </w:r>
    </w:p>
    <w:p w14:paraId="4B7BCB2D">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5.本项目的特定资格要求：</w:t>
      </w:r>
      <w:r>
        <w:rPr>
          <w:rFonts w:hint="eastAsia" w:ascii="仿宋" w:hAnsi="仿宋" w:eastAsia="仿宋" w:cs="仿宋"/>
          <w:bCs/>
          <w:color w:val="auto"/>
          <w:sz w:val="24"/>
          <w:highlight w:val="none"/>
          <w:lang w:val="en-US" w:eastAsia="zh-CN"/>
        </w:rPr>
        <w:t>（1）所投一、二、三类医疗器械产品用于临床的：二、三类医疗器械产品的须具有医疗器械注册证及登记表（新证不需登记表），一类医疗器械产品的须具有产品备案登记凭证；（2）所投在中华人民共和国境内生产的一、二、三类医疗器械产品用于临床的：二、三类医疗器械产品须具有医疗器械生产许可证，一类医疗器械产品的须具有医疗器械生产备案凭证；（3）经营用于临床二、三类医疗器械的：三类医疗器械须具有医疗器械经营企业许可证，二类医疗器械的须具有医疗器械经营企业备案登记凭证（可提供国家企业信用信息公示系统中行政许可信息截图）；（医疗器械注册人或者生产企业在其住所或者生产地址销售医疗器械，不需提供）</w:t>
      </w:r>
      <w:r>
        <w:rPr>
          <w:rFonts w:hint="eastAsia" w:ascii="仿宋" w:hAnsi="仿宋" w:eastAsia="仿宋"/>
          <w:b/>
          <w:bCs/>
          <w:snapToGrid w:val="0"/>
          <w:color w:val="auto"/>
          <w:kern w:val="0"/>
          <w:sz w:val="24"/>
          <w:highlight w:val="none"/>
          <w:lang w:eastAsia="zh-CN"/>
        </w:rPr>
        <w:t>【提供相关证书原件扫描件加盖投标人公章】。</w:t>
      </w:r>
    </w:p>
    <w:p w14:paraId="48524FAA">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
          <w:bCs w:val="0"/>
          <w:snapToGrid/>
          <w:color w:val="auto"/>
          <w:kern w:val="2"/>
          <w:sz w:val="24"/>
          <w:szCs w:val="24"/>
          <w:highlight w:val="none"/>
          <w:lang w:val="en-US" w:eastAsia="zh-CN"/>
        </w:rPr>
      </w:pPr>
      <w:r>
        <w:rPr>
          <w:rFonts w:hint="eastAsia" w:ascii="仿宋" w:hAnsi="仿宋" w:eastAsia="仿宋" w:cs="仿宋"/>
          <w:b/>
          <w:bCs w:val="0"/>
          <w:snapToGrid/>
          <w:color w:val="auto"/>
          <w:kern w:val="2"/>
          <w:sz w:val="24"/>
          <w:szCs w:val="24"/>
          <w:highlight w:val="none"/>
          <w:lang w:val="en-US" w:eastAsia="zh-CN"/>
        </w:rPr>
        <w:t>三、获取招标文件</w:t>
      </w:r>
    </w:p>
    <w:p w14:paraId="22C26642">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时间：2026年07月01日0：00至2026年07月21日0：00（北京时间，法定节假日除外）</w:t>
      </w:r>
    </w:p>
    <w:p w14:paraId="29685CD5">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地点：江西省公共资源交易平台（网址：https://www.jxsggzy.cn）</w:t>
      </w:r>
    </w:p>
    <w:p w14:paraId="02C6C014">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方式：网上确认和下载招标文件。（详见其他补充事宜）</w:t>
      </w:r>
    </w:p>
    <w:p w14:paraId="57C22C61">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
          <w:bCs w:val="0"/>
          <w:snapToGrid/>
          <w:color w:val="auto"/>
          <w:kern w:val="2"/>
          <w:sz w:val="24"/>
          <w:szCs w:val="24"/>
          <w:highlight w:val="none"/>
          <w:lang w:val="en-US" w:eastAsia="zh-CN"/>
        </w:rPr>
      </w:pPr>
      <w:r>
        <w:rPr>
          <w:rFonts w:hint="eastAsia" w:ascii="仿宋" w:hAnsi="仿宋" w:eastAsia="仿宋" w:cs="仿宋"/>
          <w:b/>
          <w:bCs w:val="0"/>
          <w:snapToGrid/>
          <w:color w:val="auto"/>
          <w:kern w:val="2"/>
          <w:sz w:val="24"/>
          <w:szCs w:val="24"/>
          <w:highlight w:val="none"/>
          <w:lang w:val="en-US" w:eastAsia="zh-CN"/>
        </w:rPr>
        <w:t>四、提交投标文件截止时间、开标时间和地点</w:t>
      </w:r>
    </w:p>
    <w:p w14:paraId="34A95A0F">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u w:val="single"/>
          <w:lang w:val="en-US" w:eastAsia="zh-CN"/>
        </w:rPr>
        <w:t>2026</w:t>
      </w:r>
      <w:r>
        <w:rPr>
          <w:rFonts w:hint="eastAsia" w:ascii="仿宋" w:hAnsi="仿宋" w:eastAsia="仿宋" w:cs="仿宋"/>
          <w:bCs/>
          <w:snapToGrid/>
          <w:color w:val="auto"/>
          <w:kern w:val="2"/>
          <w:sz w:val="24"/>
          <w:szCs w:val="24"/>
          <w:highlight w:val="none"/>
          <w:lang w:val="en-US" w:eastAsia="zh-CN"/>
        </w:rPr>
        <w:t>年</w:t>
      </w:r>
      <w:r>
        <w:rPr>
          <w:rFonts w:hint="eastAsia" w:ascii="仿宋" w:hAnsi="仿宋" w:eastAsia="仿宋" w:cs="仿宋"/>
          <w:bCs/>
          <w:snapToGrid/>
          <w:color w:val="auto"/>
          <w:kern w:val="2"/>
          <w:sz w:val="24"/>
          <w:szCs w:val="24"/>
          <w:highlight w:val="none"/>
          <w:u w:val="single"/>
          <w:lang w:val="en-US" w:eastAsia="zh-CN"/>
        </w:rPr>
        <w:t>07</w:t>
      </w:r>
      <w:r>
        <w:rPr>
          <w:rFonts w:hint="eastAsia" w:ascii="仿宋" w:hAnsi="仿宋" w:eastAsia="仿宋" w:cs="仿宋"/>
          <w:bCs/>
          <w:snapToGrid/>
          <w:color w:val="auto"/>
          <w:kern w:val="2"/>
          <w:sz w:val="24"/>
          <w:szCs w:val="24"/>
          <w:highlight w:val="none"/>
          <w:lang w:val="en-US" w:eastAsia="zh-CN"/>
        </w:rPr>
        <w:t>月</w:t>
      </w:r>
      <w:r>
        <w:rPr>
          <w:rFonts w:hint="eastAsia" w:ascii="仿宋" w:hAnsi="仿宋" w:eastAsia="仿宋" w:cs="仿宋"/>
          <w:bCs/>
          <w:snapToGrid/>
          <w:color w:val="auto"/>
          <w:kern w:val="2"/>
          <w:sz w:val="24"/>
          <w:szCs w:val="24"/>
          <w:highlight w:val="none"/>
          <w:u w:val="single"/>
          <w:lang w:val="en-US" w:eastAsia="zh-CN"/>
        </w:rPr>
        <w:t>21</w:t>
      </w:r>
      <w:r>
        <w:rPr>
          <w:rFonts w:hint="eastAsia" w:ascii="仿宋" w:hAnsi="仿宋" w:eastAsia="仿宋" w:cs="仿宋"/>
          <w:bCs/>
          <w:snapToGrid/>
          <w:color w:val="auto"/>
          <w:kern w:val="2"/>
          <w:sz w:val="24"/>
          <w:szCs w:val="24"/>
          <w:highlight w:val="none"/>
          <w:lang w:val="en-US" w:eastAsia="zh-CN"/>
        </w:rPr>
        <w:t>日</w:t>
      </w:r>
      <w:r>
        <w:rPr>
          <w:rFonts w:hint="eastAsia" w:ascii="仿宋" w:hAnsi="仿宋" w:eastAsia="仿宋" w:cs="仿宋"/>
          <w:bCs/>
          <w:snapToGrid/>
          <w:color w:val="auto"/>
          <w:kern w:val="2"/>
          <w:sz w:val="24"/>
          <w:szCs w:val="24"/>
          <w:highlight w:val="none"/>
          <w:u w:val="single"/>
          <w:lang w:val="en-US" w:eastAsia="zh-CN"/>
        </w:rPr>
        <w:t>09</w:t>
      </w:r>
      <w:r>
        <w:rPr>
          <w:rFonts w:hint="eastAsia" w:ascii="仿宋" w:hAnsi="仿宋" w:eastAsia="仿宋" w:cs="仿宋"/>
          <w:bCs/>
          <w:snapToGrid/>
          <w:color w:val="auto"/>
          <w:kern w:val="2"/>
          <w:sz w:val="24"/>
          <w:szCs w:val="24"/>
          <w:highlight w:val="none"/>
          <w:lang w:val="en-US" w:eastAsia="zh-CN"/>
        </w:rPr>
        <w:t>点</w:t>
      </w:r>
      <w:r>
        <w:rPr>
          <w:rFonts w:hint="eastAsia" w:ascii="仿宋" w:hAnsi="仿宋" w:eastAsia="仿宋" w:cs="仿宋"/>
          <w:bCs/>
          <w:snapToGrid/>
          <w:color w:val="auto"/>
          <w:kern w:val="2"/>
          <w:sz w:val="24"/>
          <w:szCs w:val="24"/>
          <w:highlight w:val="none"/>
          <w:u w:val="single"/>
          <w:lang w:val="en-US" w:eastAsia="zh-CN"/>
        </w:rPr>
        <w:t>00</w:t>
      </w:r>
      <w:r>
        <w:rPr>
          <w:rFonts w:hint="eastAsia" w:ascii="仿宋" w:hAnsi="仿宋" w:eastAsia="仿宋" w:cs="仿宋"/>
          <w:bCs/>
          <w:snapToGrid/>
          <w:color w:val="auto"/>
          <w:kern w:val="2"/>
          <w:sz w:val="24"/>
          <w:szCs w:val="24"/>
          <w:highlight w:val="none"/>
          <w:lang w:val="en-US" w:eastAsia="zh-CN"/>
        </w:rPr>
        <w:t>分（北京时间）</w:t>
      </w:r>
    </w:p>
    <w:p w14:paraId="6EEE3C69">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地点：</w:t>
      </w:r>
      <w:r>
        <w:rPr>
          <w:rFonts w:hint="eastAsia" w:ascii="仿宋" w:hAnsi="仿宋" w:eastAsia="仿宋" w:cs="仿宋"/>
          <w:color w:val="auto"/>
          <w:spacing w:val="0"/>
          <w:position w:val="0"/>
          <w:sz w:val="24"/>
          <w:szCs w:val="24"/>
          <w:highlight w:val="none"/>
          <w:u w:val="none"/>
          <w:lang w:val="en-US" w:eastAsia="zh-CN"/>
        </w:rPr>
        <w:t>江西省公共资源交易网-不见面开标大厅</w:t>
      </w:r>
    </w:p>
    <w:p w14:paraId="682365A5">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
          <w:bCs w:val="0"/>
          <w:snapToGrid/>
          <w:color w:val="auto"/>
          <w:kern w:val="2"/>
          <w:sz w:val="24"/>
          <w:szCs w:val="24"/>
          <w:highlight w:val="none"/>
          <w:lang w:val="en-US" w:eastAsia="zh-CN"/>
        </w:rPr>
      </w:pPr>
      <w:r>
        <w:rPr>
          <w:rFonts w:hint="eastAsia" w:ascii="仿宋" w:hAnsi="仿宋" w:eastAsia="仿宋" w:cs="仿宋"/>
          <w:b/>
          <w:bCs w:val="0"/>
          <w:snapToGrid/>
          <w:color w:val="auto"/>
          <w:kern w:val="2"/>
          <w:sz w:val="24"/>
          <w:szCs w:val="24"/>
          <w:highlight w:val="none"/>
          <w:lang w:val="en-US" w:eastAsia="zh-CN"/>
        </w:rPr>
        <w:t>五、公告期限</w:t>
      </w:r>
    </w:p>
    <w:p w14:paraId="7DF88306">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自本公告发布之日起5个工作日。</w:t>
      </w:r>
      <w:bookmarkStart w:id="4" w:name="bookmark5"/>
      <w:bookmarkEnd w:id="4"/>
      <w:bookmarkStart w:id="5" w:name="bookmark6"/>
      <w:bookmarkEnd w:id="5"/>
      <w:bookmarkStart w:id="6" w:name="bookmark7"/>
      <w:bookmarkEnd w:id="6"/>
    </w:p>
    <w:p w14:paraId="75AD88B7">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
          <w:bCs w:val="0"/>
          <w:snapToGrid/>
          <w:color w:val="auto"/>
          <w:kern w:val="2"/>
          <w:sz w:val="24"/>
          <w:szCs w:val="24"/>
          <w:highlight w:val="none"/>
          <w:lang w:val="en-US" w:eastAsia="zh-CN"/>
        </w:rPr>
      </w:pPr>
      <w:r>
        <w:rPr>
          <w:rFonts w:hint="eastAsia" w:ascii="仿宋" w:hAnsi="仿宋" w:eastAsia="仿宋" w:cs="仿宋"/>
          <w:b/>
          <w:bCs w:val="0"/>
          <w:snapToGrid/>
          <w:color w:val="auto"/>
          <w:kern w:val="2"/>
          <w:sz w:val="24"/>
          <w:szCs w:val="24"/>
          <w:highlight w:val="none"/>
          <w:lang w:val="en-US" w:eastAsia="zh-CN"/>
        </w:rPr>
        <w:t>六、其他补充事宜</w:t>
      </w:r>
    </w:p>
    <w:p w14:paraId="6E326634">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1.潜在投标人必须在江西省公共资源交易平台（网址：https://www.jxsggzy.cn） 注册并办理江西省 CA 数字证书和电子签章。具体要求详见“江西省公共资源交易平台-服务指南-投标单位”（网址：https://www.jxsggzy.cn）。潜在投标人未使用本单位 CA 数字证书在江西省公共资源交易平台下载招标文件的，视为未获取招标文件，不得参加本项目的投标活动；</w:t>
      </w:r>
    </w:p>
    <w:p w14:paraId="11CF41C8">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trike/>
          <w:dstrike w:val="0"/>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2.本项目采用“不见面开标 ”系统开标，投标人无需到达开标现场，投标人应在投标截止时间前1小时内进入江西省公共资源交易平台-不见面开标大厅（具体操作详见《江西省公共资源交易中心不见面开标系统投标人操作手册（政府采购）》（网址：https://www.jxsggzy.cn）。注意事项详见招标文件第二章；投标人应仔细阅读有关不见面开标的内容，如有疑问请联系新点工作人员，联系电话：0512-58188507；</w:t>
      </w:r>
    </w:p>
    <w:p w14:paraId="6CC42AE8">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3.本项目采购国内产品，不允许提供进口产品参与采购活动；</w:t>
      </w:r>
    </w:p>
    <w:p w14:paraId="4FAE60C3">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bookmarkStart w:id="7" w:name="bookmark8"/>
      <w:bookmarkEnd w:id="7"/>
      <w:r>
        <w:rPr>
          <w:rFonts w:hint="eastAsia" w:ascii="仿宋" w:hAnsi="仿宋" w:eastAsia="仿宋" w:cs="仿宋"/>
          <w:bCs/>
          <w:snapToGrid/>
          <w:color w:val="auto"/>
          <w:kern w:val="2"/>
          <w:sz w:val="24"/>
          <w:szCs w:val="24"/>
          <w:highlight w:val="none"/>
          <w:lang w:val="en-US" w:eastAsia="zh-CN"/>
        </w:rPr>
        <w:t>4.本项目需要落实的政府采购政策：节约能源，保护环境，促进中小企业发展，支持监狱、戒毒企业发展，促进残疾人就业、本国产品等政府采购政策（不适用者除外）。</w:t>
      </w:r>
    </w:p>
    <w:p w14:paraId="2490F90D">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eastAsia" w:ascii="仿宋" w:hAnsi="仿宋" w:eastAsia="仿宋" w:cs="仿宋"/>
          <w:b/>
          <w:bCs w:val="0"/>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5.本项目是否采用远程异地评标：否</w:t>
      </w:r>
    </w:p>
    <w:p w14:paraId="6DAD846D">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
          <w:bCs w:val="0"/>
          <w:snapToGrid/>
          <w:color w:val="auto"/>
          <w:kern w:val="2"/>
          <w:sz w:val="24"/>
          <w:szCs w:val="24"/>
          <w:highlight w:val="none"/>
          <w:lang w:val="en-US" w:eastAsia="zh-CN"/>
        </w:rPr>
      </w:pPr>
      <w:r>
        <w:rPr>
          <w:rFonts w:hint="eastAsia" w:ascii="仿宋" w:hAnsi="仿宋" w:eastAsia="仿宋" w:cs="仿宋"/>
          <w:b/>
          <w:bCs w:val="0"/>
          <w:snapToGrid/>
          <w:color w:val="auto"/>
          <w:kern w:val="2"/>
          <w:sz w:val="24"/>
          <w:szCs w:val="24"/>
          <w:highlight w:val="none"/>
          <w:lang w:val="en-US" w:eastAsia="zh-CN"/>
        </w:rPr>
        <w:t>七、对本次招标提出询问，请按以下方式联系</w:t>
      </w:r>
    </w:p>
    <w:p w14:paraId="616CB7A2">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1.采购人信息</w:t>
      </w:r>
    </w:p>
    <w:p w14:paraId="6C935C51">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名 称：</w:t>
      </w:r>
      <w:r>
        <w:rPr>
          <w:rFonts w:hint="eastAsia" w:ascii="仿宋" w:hAnsi="仿宋" w:eastAsia="仿宋" w:cs="仿宋"/>
          <w:color w:val="auto"/>
          <w:spacing w:val="0"/>
          <w:w w:val="100"/>
          <w:position w:val="0"/>
          <w:sz w:val="24"/>
          <w:szCs w:val="24"/>
          <w:highlight w:val="none"/>
          <w:u w:val="single"/>
          <w:lang w:val="en-US" w:eastAsia="zh-CN"/>
        </w:rPr>
        <w:t>万安县人民医院</w:t>
      </w:r>
    </w:p>
    <w:p w14:paraId="35B1A2C9">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u w:val="single"/>
          <w:lang w:val="en-US" w:eastAsia="zh-CN"/>
        </w:rPr>
      </w:pPr>
      <w:r>
        <w:rPr>
          <w:rFonts w:hint="eastAsia" w:ascii="仿宋" w:hAnsi="仿宋" w:eastAsia="仿宋" w:cs="仿宋"/>
          <w:bCs/>
          <w:snapToGrid/>
          <w:color w:val="auto"/>
          <w:kern w:val="2"/>
          <w:sz w:val="24"/>
          <w:szCs w:val="24"/>
          <w:highlight w:val="none"/>
          <w:lang w:val="en-US" w:eastAsia="zh-CN"/>
        </w:rPr>
        <w:t>地 址：</w:t>
      </w:r>
      <w:r>
        <w:rPr>
          <w:rFonts w:hint="eastAsia" w:ascii="仿宋" w:hAnsi="仿宋" w:eastAsia="仿宋" w:cs="仿宋"/>
          <w:bCs/>
          <w:snapToGrid/>
          <w:color w:val="auto"/>
          <w:kern w:val="2"/>
          <w:sz w:val="24"/>
          <w:szCs w:val="24"/>
          <w:highlight w:val="none"/>
          <w:u w:val="single"/>
          <w:lang w:val="en-US" w:eastAsia="zh-CN"/>
        </w:rPr>
        <w:t>万安县芙蓉镇万安大道</w:t>
      </w:r>
    </w:p>
    <w:p w14:paraId="54FDE4DA">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rPr>
          <w:rFonts w:hint="default"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联系人及联系方式：</w:t>
      </w:r>
      <w:r>
        <w:rPr>
          <w:rFonts w:hint="eastAsia" w:ascii="仿宋" w:hAnsi="仿宋" w:eastAsia="仿宋" w:cs="仿宋"/>
          <w:color w:val="auto"/>
          <w:spacing w:val="0"/>
          <w:w w:val="100"/>
          <w:position w:val="0"/>
          <w:sz w:val="24"/>
          <w:szCs w:val="24"/>
          <w:highlight w:val="none"/>
          <w:u w:val="single"/>
          <w:lang w:val="en-US" w:eastAsia="zh-CN"/>
        </w:rPr>
        <w:t>廖女士   13576818344</w:t>
      </w:r>
    </w:p>
    <w:p w14:paraId="2D73DA49">
      <w:pPr>
        <w:keepNext w:val="0"/>
        <w:keepLines w:val="0"/>
        <w:pageBreakBefore w:val="0"/>
        <w:widowControl/>
        <w:shd w:val="clear"/>
        <w:kinsoku/>
        <w:wordWrap w:val="0"/>
        <w:overflowPunct/>
        <w:topLinePunct/>
        <w:autoSpaceDE/>
        <w:autoSpaceDN/>
        <w:bidi w:val="0"/>
        <w:adjustRightInd/>
        <w:snapToGrid/>
        <w:spacing w:line="360" w:lineRule="auto"/>
        <w:jc w:val="both"/>
        <w:textAlignment w:val="auto"/>
        <w:outlineLvl w:val="9"/>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val="en-US" w:eastAsia="zh-CN"/>
        </w:rPr>
        <w:t>2.采购代理机构信息</w:t>
      </w:r>
    </w:p>
    <w:p w14:paraId="5E79E960">
      <w:pPr>
        <w:widowControl w:val="0"/>
        <w:shd w:val="clear"/>
        <w:kinsoku/>
        <w:wordWrap w:val="0"/>
        <w:autoSpaceDE/>
        <w:autoSpaceDN/>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名 称：</w:t>
      </w:r>
      <w:r>
        <w:rPr>
          <w:rFonts w:hint="eastAsia" w:ascii="仿宋" w:hAnsi="仿宋" w:eastAsia="仿宋" w:cs="仿宋"/>
          <w:color w:val="auto"/>
          <w:spacing w:val="0"/>
          <w:w w:val="100"/>
          <w:position w:val="0"/>
          <w:sz w:val="24"/>
          <w:szCs w:val="24"/>
          <w:highlight w:val="none"/>
          <w:u w:val="single"/>
          <w:lang w:val="en-US" w:eastAsia="zh-CN"/>
        </w:rPr>
        <w:t>江西省朝旭企业管理咨询有限公司</w:t>
      </w:r>
    </w:p>
    <w:p w14:paraId="0854E4BB">
      <w:pPr>
        <w:widowControl w:val="0"/>
        <w:shd w:val="clear"/>
        <w:kinsoku/>
        <w:wordWrap w:val="0"/>
        <w:autoSpaceDE/>
        <w:autoSpaceDN/>
        <w:adjustRightInd/>
        <w:snapToGrid/>
        <w:spacing w:line="360" w:lineRule="auto"/>
        <w:jc w:val="both"/>
        <w:textAlignment w:val="auto"/>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Cs/>
          <w:snapToGrid/>
          <w:color w:val="auto"/>
          <w:kern w:val="2"/>
          <w:sz w:val="24"/>
          <w:szCs w:val="24"/>
          <w:highlight w:val="none"/>
          <w:lang w:eastAsia="zh-CN"/>
        </w:rPr>
        <w:t>地 址：</w:t>
      </w:r>
      <w:r>
        <w:rPr>
          <w:rFonts w:hint="eastAsia" w:ascii="仿宋" w:hAnsi="仿宋" w:eastAsia="仿宋" w:cs="仿宋"/>
          <w:color w:val="auto"/>
          <w:spacing w:val="0"/>
          <w:w w:val="100"/>
          <w:position w:val="0"/>
          <w:sz w:val="24"/>
          <w:szCs w:val="24"/>
          <w:highlight w:val="none"/>
          <w:u w:val="single"/>
          <w:lang w:val="en-US" w:eastAsia="zh-CN"/>
        </w:rPr>
        <w:t>吉安市吉州区井冈山大道201号三楼</w:t>
      </w:r>
    </w:p>
    <w:p w14:paraId="04EB8BF5">
      <w:pPr>
        <w:widowControl w:val="0"/>
        <w:shd w:val="clear"/>
        <w:kinsoku/>
        <w:wordWrap w:val="0"/>
        <w:autoSpaceDE/>
        <w:autoSpaceDN/>
        <w:adjustRightInd/>
        <w:snapToGrid/>
        <w:spacing w:line="360" w:lineRule="auto"/>
        <w:jc w:val="both"/>
        <w:textAlignment w:val="auto"/>
        <w:rPr>
          <w:rFonts w:hint="eastAsia" w:ascii="仿宋" w:hAnsi="仿宋" w:eastAsia="仿宋" w:cs="仿宋"/>
          <w:bCs/>
          <w:snapToGrid/>
          <w:color w:val="auto"/>
          <w:kern w:val="2"/>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项目联系人：</w:t>
      </w:r>
      <w:r>
        <w:rPr>
          <w:rFonts w:hint="eastAsia" w:ascii="仿宋" w:hAnsi="仿宋" w:eastAsia="仿宋" w:cs="仿宋"/>
          <w:color w:val="auto"/>
          <w:spacing w:val="0"/>
          <w:w w:val="100"/>
          <w:position w:val="0"/>
          <w:sz w:val="24"/>
          <w:szCs w:val="24"/>
          <w:highlight w:val="none"/>
          <w:u w:val="single"/>
          <w:lang w:val="en-US" w:eastAsia="zh-CN"/>
        </w:rPr>
        <w:t>杨女士</w:t>
      </w:r>
    </w:p>
    <w:p w14:paraId="0A71F325">
      <w:pPr>
        <w:widowControl w:val="0"/>
        <w:shd w:val="clear"/>
        <w:kinsoku/>
        <w:wordWrap w:val="0"/>
        <w:autoSpaceDE/>
        <w:autoSpaceDN/>
        <w:adjustRightInd/>
        <w:snapToGrid/>
        <w:spacing w:line="360" w:lineRule="auto"/>
        <w:jc w:val="both"/>
        <w:textAlignment w:val="auto"/>
        <w:rPr>
          <w:rFonts w:hint="eastAsia" w:ascii="仿宋" w:hAnsi="仿宋" w:eastAsia="仿宋" w:cs="仿宋"/>
          <w:color w:val="auto"/>
          <w:spacing w:val="0"/>
          <w:w w:val="100"/>
          <w:position w:val="0"/>
          <w:sz w:val="24"/>
          <w:szCs w:val="24"/>
          <w:highlight w:val="none"/>
          <w:u w:val="single"/>
          <w:lang w:val="en-US" w:eastAsia="zh-CN"/>
        </w:rPr>
      </w:pPr>
      <w:r>
        <w:rPr>
          <w:rFonts w:hint="eastAsia" w:ascii="仿宋" w:hAnsi="仿宋" w:eastAsia="仿宋" w:cs="仿宋"/>
          <w:bCs/>
          <w:snapToGrid/>
          <w:color w:val="auto"/>
          <w:kern w:val="2"/>
          <w:sz w:val="24"/>
          <w:szCs w:val="24"/>
          <w:highlight w:val="none"/>
          <w:lang w:eastAsia="zh-CN"/>
        </w:rPr>
        <w:t>电  话：</w:t>
      </w:r>
      <w:r>
        <w:rPr>
          <w:rFonts w:hint="eastAsia" w:ascii="仿宋" w:hAnsi="仿宋" w:eastAsia="仿宋" w:cs="仿宋"/>
          <w:color w:val="auto"/>
          <w:spacing w:val="0"/>
          <w:w w:val="100"/>
          <w:position w:val="0"/>
          <w:sz w:val="24"/>
          <w:szCs w:val="24"/>
          <w:highlight w:val="none"/>
          <w:u w:val="single"/>
          <w:lang w:val="en-US" w:eastAsia="zh-CN"/>
        </w:rPr>
        <w:t>0796-8831066</w:t>
      </w:r>
    </w:p>
    <w:p w14:paraId="1621B92A">
      <w:pPr>
        <w:widowControl w:val="0"/>
        <w:shd w:val="clear"/>
        <w:kinsoku/>
        <w:wordWrap w:val="0"/>
        <w:autoSpaceDE/>
        <w:autoSpaceDN/>
        <w:adjustRightInd/>
        <w:snapToGrid/>
        <w:spacing w:line="360" w:lineRule="auto"/>
        <w:jc w:val="both"/>
        <w:textAlignment w:val="auto"/>
        <w:rPr>
          <w:rFonts w:hint="eastAsia" w:ascii="仿宋" w:hAnsi="仿宋" w:eastAsia="仿宋" w:cs="仿宋"/>
          <w:color w:val="auto"/>
          <w:spacing w:val="0"/>
          <w:w w:val="100"/>
          <w:position w:val="0"/>
          <w:sz w:val="24"/>
          <w:szCs w:val="24"/>
          <w:highlight w:val="none"/>
          <w:lang w:val="en-US" w:eastAsia="zh-CN"/>
        </w:rPr>
      </w:pPr>
      <w:r>
        <w:rPr>
          <w:rFonts w:hint="eastAsia" w:ascii="仿宋" w:hAnsi="仿宋" w:eastAsia="仿宋" w:cs="仿宋"/>
          <w:bCs/>
          <w:snapToGrid/>
          <w:color w:val="auto"/>
          <w:kern w:val="2"/>
          <w:sz w:val="24"/>
          <w:szCs w:val="24"/>
          <w:highlight w:val="none"/>
          <w:lang w:eastAsia="zh-CN"/>
        </w:rPr>
        <w:t>电子函件：</w:t>
      </w:r>
      <w:r>
        <w:rPr>
          <w:rFonts w:hint="eastAsia" w:ascii="仿宋" w:hAnsi="仿宋" w:eastAsia="仿宋" w:cs="仿宋"/>
          <w:color w:val="auto"/>
          <w:spacing w:val="0"/>
          <w:w w:val="100"/>
          <w:position w:val="0"/>
          <w:sz w:val="24"/>
          <w:szCs w:val="24"/>
          <w:highlight w:val="none"/>
          <w:u w:val="single"/>
          <w:lang w:val="en-US" w:eastAsia="zh-CN"/>
        </w:rPr>
        <w:fldChar w:fldCharType="begin"/>
      </w:r>
      <w:r>
        <w:rPr>
          <w:rFonts w:hint="eastAsia" w:ascii="仿宋" w:hAnsi="仿宋" w:eastAsia="仿宋" w:cs="仿宋"/>
          <w:color w:val="auto"/>
          <w:spacing w:val="0"/>
          <w:w w:val="100"/>
          <w:position w:val="0"/>
          <w:sz w:val="24"/>
          <w:szCs w:val="24"/>
          <w:highlight w:val="none"/>
          <w:u w:val="single"/>
          <w:lang w:val="en-US" w:eastAsia="zh-CN"/>
        </w:rPr>
        <w:instrText xml:space="preserve"> HYPERLINK "mailto:jxzxqy2019@163.com" </w:instrText>
      </w:r>
      <w:r>
        <w:rPr>
          <w:rFonts w:hint="eastAsia" w:ascii="仿宋" w:hAnsi="仿宋" w:eastAsia="仿宋" w:cs="仿宋"/>
          <w:color w:val="auto"/>
          <w:spacing w:val="0"/>
          <w:w w:val="100"/>
          <w:position w:val="0"/>
          <w:sz w:val="24"/>
          <w:szCs w:val="24"/>
          <w:highlight w:val="none"/>
          <w:u w:val="single"/>
          <w:lang w:val="en-US" w:eastAsia="zh-CN"/>
        </w:rPr>
        <w:fldChar w:fldCharType="separate"/>
      </w:r>
      <w:r>
        <w:rPr>
          <w:rFonts w:hint="eastAsia" w:ascii="仿宋" w:hAnsi="仿宋" w:eastAsia="仿宋" w:cs="仿宋"/>
          <w:color w:val="auto"/>
          <w:spacing w:val="0"/>
          <w:w w:val="100"/>
          <w:position w:val="0"/>
          <w:sz w:val="24"/>
          <w:szCs w:val="24"/>
          <w:highlight w:val="none"/>
          <w:u w:val="single"/>
          <w:lang w:val="en-US" w:eastAsia="zh-CN"/>
        </w:rPr>
        <w:t>jxzxqy2019@163.com</w:t>
      </w:r>
      <w:r>
        <w:rPr>
          <w:rFonts w:hint="eastAsia" w:ascii="仿宋" w:hAnsi="仿宋" w:eastAsia="仿宋" w:cs="仿宋"/>
          <w:color w:val="auto"/>
          <w:spacing w:val="0"/>
          <w:w w:val="100"/>
          <w:position w:val="0"/>
          <w:sz w:val="24"/>
          <w:szCs w:val="24"/>
          <w:highlight w:val="none"/>
          <w:u w:val="single"/>
          <w:lang w:val="en-US" w:eastAsia="zh-CN"/>
        </w:rPr>
        <w:fldChar w:fldCharType="end"/>
      </w:r>
    </w:p>
    <w:p w14:paraId="3850AF49"/>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8"/>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39BB34">
    <w:pPr>
      <w:pStyle w:val="3"/>
      <w:rPr>
        <w:rFonts w:hint="eastAsia" w:eastAsia="宋体"/>
        <w:lang w:val="en-US" w:eastAsia="zh-CN"/>
      </w:rPr>
    </w:pPr>
    <w:r>
      <w:rPr>
        <w:rFonts w:hint="eastAsia" w:ascii="仿宋" w:hAnsi="仿宋" w:eastAsia="仿宋" w:cs="仿宋"/>
        <w:sz w:val="24"/>
        <w:szCs w:val="24"/>
      </w:rPr>
      <w:t>联系电话：0796-8831066</w:t>
    </w:r>
    <w:r>
      <w:rPr>
        <w:sz w:val="18"/>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8DA4B8">
                          <w:pPr>
                            <w:pStyle w:val="3"/>
                            <w:rPr>
                              <w:rFonts w:hint="eastAsia" w:ascii="仿宋" w:hAnsi="仿宋" w:eastAsia="仿宋" w:cs="仿宋"/>
                              <w:sz w:val="24"/>
                              <w:szCs w:val="24"/>
                            </w:rPr>
                          </w:pPr>
                          <w:r>
                            <w:rPr>
                              <w:rFonts w:hint="eastAsia" w:ascii="仿宋" w:hAnsi="仿宋" w:eastAsia="仿宋" w:cs="仿宋"/>
                              <w:sz w:val="24"/>
                              <w:szCs w:val="24"/>
                            </w:rPr>
                            <w:t xml:space="preserve">第 </w:t>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1</w:t>
                          </w:r>
                          <w:r>
                            <w:rPr>
                              <w:rFonts w:hint="eastAsia" w:ascii="仿宋" w:hAnsi="仿宋" w:eastAsia="仿宋" w:cs="仿宋"/>
                              <w:sz w:val="24"/>
                              <w:szCs w:val="24"/>
                            </w:rPr>
                            <w:fldChar w:fldCharType="end"/>
                          </w:r>
                          <w:r>
                            <w:rPr>
                              <w:rFonts w:hint="eastAsia" w:ascii="仿宋" w:hAnsi="仿宋" w:eastAsia="仿宋" w:cs="仿宋"/>
                              <w:sz w:val="24"/>
                              <w:szCs w:val="24"/>
                            </w:rPr>
                            <w:t xml:space="preserve"> 页 共 </w:t>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NUMPAGES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73</w:t>
                          </w:r>
                          <w:r>
                            <w:rPr>
                              <w:rFonts w:hint="eastAsia" w:ascii="仿宋" w:hAnsi="仿宋" w:eastAsia="仿宋" w:cs="仿宋"/>
                              <w:sz w:val="24"/>
                              <w:szCs w:val="24"/>
                            </w:rPr>
                            <w:fldChar w:fldCharType="end"/>
                          </w:r>
                          <w:r>
                            <w:rPr>
                              <w:rFonts w:hint="eastAsia" w:ascii="仿宋" w:hAnsi="仿宋" w:eastAsia="仿宋" w:cs="仿宋"/>
                              <w:sz w:val="24"/>
                              <w:szCs w:val="24"/>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C8DA4B8">
                    <w:pPr>
                      <w:pStyle w:val="3"/>
                      <w:rPr>
                        <w:rFonts w:hint="eastAsia" w:ascii="仿宋" w:hAnsi="仿宋" w:eastAsia="仿宋" w:cs="仿宋"/>
                        <w:sz w:val="24"/>
                        <w:szCs w:val="24"/>
                      </w:rPr>
                    </w:pPr>
                    <w:r>
                      <w:rPr>
                        <w:rFonts w:hint="eastAsia" w:ascii="仿宋" w:hAnsi="仿宋" w:eastAsia="仿宋" w:cs="仿宋"/>
                        <w:sz w:val="24"/>
                        <w:szCs w:val="24"/>
                      </w:rPr>
                      <w:t xml:space="preserve">第 </w:t>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PAGE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1</w:t>
                    </w:r>
                    <w:r>
                      <w:rPr>
                        <w:rFonts w:hint="eastAsia" w:ascii="仿宋" w:hAnsi="仿宋" w:eastAsia="仿宋" w:cs="仿宋"/>
                        <w:sz w:val="24"/>
                        <w:szCs w:val="24"/>
                      </w:rPr>
                      <w:fldChar w:fldCharType="end"/>
                    </w:r>
                    <w:r>
                      <w:rPr>
                        <w:rFonts w:hint="eastAsia" w:ascii="仿宋" w:hAnsi="仿宋" w:eastAsia="仿宋" w:cs="仿宋"/>
                        <w:sz w:val="24"/>
                        <w:szCs w:val="24"/>
                      </w:rPr>
                      <w:t xml:space="preserve"> 页 共 </w:t>
                    </w:r>
                    <w:r>
                      <w:rPr>
                        <w:rFonts w:hint="eastAsia" w:ascii="仿宋" w:hAnsi="仿宋" w:eastAsia="仿宋" w:cs="仿宋"/>
                        <w:sz w:val="24"/>
                        <w:szCs w:val="24"/>
                      </w:rPr>
                      <w:fldChar w:fldCharType="begin"/>
                    </w:r>
                    <w:r>
                      <w:rPr>
                        <w:rFonts w:hint="eastAsia" w:ascii="仿宋" w:hAnsi="仿宋" w:eastAsia="仿宋" w:cs="仿宋"/>
                        <w:sz w:val="24"/>
                        <w:szCs w:val="24"/>
                      </w:rPr>
                      <w:instrText xml:space="preserve"> NUMPAGES  \* MERGEFORMAT </w:instrText>
                    </w:r>
                    <w:r>
                      <w:rPr>
                        <w:rFonts w:hint="eastAsia" w:ascii="仿宋" w:hAnsi="仿宋" w:eastAsia="仿宋" w:cs="仿宋"/>
                        <w:sz w:val="24"/>
                        <w:szCs w:val="24"/>
                      </w:rPr>
                      <w:fldChar w:fldCharType="separate"/>
                    </w:r>
                    <w:r>
                      <w:rPr>
                        <w:rFonts w:hint="eastAsia" w:ascii="仿宋" w:hAnsi="仿宋" w:eastAsia="仿宋" w:cs="仿宋"/>
                        <w:sz w:val="24"/>
                        <w:szCs w:val="24"/>
                      </w:rPr>
                      <w:t>73</w:t>
                    </w:r>
                    <w:r>
                      <w:rPr>
                        <w:rFonts w:hint="eastAsia" w:ascii="仿宋" w:hAnsi="仿宋" w:eastAsia="仿宋" w:cs="仿宋"/>
                        <w:sz w:val="24"/>
                        <w:szCs w:val="24"/>
                      </w:rPr>
                      <w:fldChar w:fldCharType="end"/>
                    </w:r>
                    <w:r>
                      <w:rPr>
                        <w:rFonts w:hint="eastAsia" w:ascii="仿宋" w:hAnsi="仿宋" w:eastAsia="仿宋" w:cs="仿宋"/>
                        <w:sz w:val="24"/>
                        <w:szCs w:val="24"/>
                      </w:rP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286995"/>
    <w:rsid w:val="6B2869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 w:type="paragraph" w:styleId="4">
    <w:name w:val="Body Text First Indent"/>
    <w:basedOn w:val="2"/>
    <w:qFormat/>
    <w:uiPriority w:val="0"/>
    <w:pPr>
      <w:ind w:firstLine="420" w:firstLineChars="100"/>
    </w:pPr>
  </w:style>
  <w:style w:type="table" w:customStyle="1" w:styleId="7">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2026-06-29T08:30:00Z</dcterms:created>
  <dc:creator>Administrator</dc:creator>
  <cp:lastModifiedBy>Administrator</cp:lastModifiedBy>
  <dcterms:modified xsi:type="dcterms:W3CDTF">2026-06-29T08:34:08Z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54C6441D2D0C4166B0219E86E0CF293B_11</vt:lpwstr>
  </property>
  <property fmtid="{D5CDD505-2E9C-101B-9397-08002B2CF9AE}" pid="4" name="KSOTemplateDocerSaveRecord">
    <vt:lpwstr>eyJoZGlkIjoiNjBhN2EyNjhjMDVmYmIzNWE3NTJmZjQwNTg3ZDk0ZDEiLCJ1c2VySWQiOiI4MTU1MDMxNzMifQ==</vt:lpwstr>
  </property>
</Properties>
</file>