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3BEB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00" w:lineRule="exact"/>
        <w:ind w:left="0" w:leftChars="0" w:right="0"/>
        <w:jc w:val="center"/>
        <w:textAlignment w:val="baseline"/>
        <w:outlineLvl w:val="1"/>
        <w:rPr>
          <w:rFonts w:hint="eastAsia" w:ascii="仿宋" w:hAnsi="仿宋" w:eastAsia="仿宋" w:cs="仿宋"/>
          <w:color w:val="000000" w:themeColor="text1"/>
          <w:spacing w:val="-12"/>
          <w:sz w:val="28"/>
          <w:szCs w:val="28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pacing w:val="-12"/>
          <w:sz w:val="28"/>
          <w:szCs w:val="28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二、技术指标及要求</w:t>
      </w:r>
    </w:p>
    <w:p w14:paraId="0EDE8F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主要用途：作为高精度的“心理显微镜”，以更便携的方式适用多元化实验环境以毫秒级的速度揭示注意、记忆、语言、决策等高级认知过程的脑内实时活动进行脑认知机制研究。</w:t>
      </w:r>
    </w:p>
    <w:p w14:paraId="3041D1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一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)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放大器参数要求</w:t>
      </w:r>
    </w:p>
    <w:p w14:paraId="5A9ABC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1.脑电导联数≥64，双极导联数≥4，硬件采样率≥16000Hz,存储采样率≥4000Hz；2.输入阻抗≥100M欧姆；</w:t>
      </w:r>
    </w:p>
    <w:p w14:paraId="4F840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3.偏置电流≤1nA；</w:t>
      </w:r>
    </w:p>
    <w:p w14:paraId="0AD00B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4.输入噪声≤2μVpp；</w:t>
      </w:r>
    </w:p>
    <w:p w14:paraId="2A1EF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5.最大输入范围≥3000mVpp；</w:t>
      </w:r>
    </w:p>
    <w:p w14:paraId="68407B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6.共模抑制比≥100dB；</w:t>
      </w:r>
    </w:p>
    <w:p w14:paraId="338746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7.A/D转换≥24bit；</w:t>
      </w:r>
    </w:p>
    <w:p w14:paraId="797BD0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8.数据传输兼容wifi和有线多种模式、支持SD卡存储脑电数据；</w:t>
      </w:r>
    </w:p>
    <w:p w14:paraId="2CA15C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9.wifi具有2.4GHz和5GHz两个频段；</w:t>
      </w:r>
    </w:p>
    <w:p w14:paraId="4D1D0F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10.放大器（含电池和底座）总重量≤790g，底座采用可拆卸式设计，可以在同一底座上更换同系列的32通道和128通道放大器，设备整体采用无线传输模式为可穿戴便携式设备，适用于各种运动及可移动场景；</w:t>
      </w:r>
    </w:p>
    <w:p w14:paraId="678BD5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11.放大器触发输入≥8位；</w:t>
      </w:r>
    </w:p>
    <w:p w14:paraId="3286B8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12.放大器面板具有电极照明技术，可以在电极插入时使用面板自发光来进行状态指示，电极孔数≥72个，具有独立放大器开关；</w:t>
      </w:r>
    </w:p>
    <w:p w14:paraId="6380D8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13.续航时间≥72小时；</w:t>
      </w:r>
    </w:p>
    <w:p w14:paraId="29DB7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14.具有便携式保护外壳，外壳采用闭锁机构，可将放大器、电池、底座、电极插头全部包裹其中；</w:t>
      </w:r>
    </w:p>
    <w:p w14:paraId="49DBDF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15.配有双肩包和腰包两种携带配件；</w:t>
      </w:r>
    </w:p>
    <w:p w14:paraId="3D6D7B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二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）可编程实验设计软件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与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数据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采集软件功能要求</w:t>
      </w:r>
    </w:p>
    <w:p w14:paraId="755F5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1.刺激软件可自由编程，可实现声音、文字、文本、图片、视频等不同类型的实验程序；</w:t>
      </w:r>
    </w:p>
    <w:p w14:paraId="259AD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2.采集软件能连续或分段采集脑电数据；</w:t>
      </w:r>
    </w:p>
    <w:p w14:paraId="49B648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3.放大器、刺激生成系统、脑电采集（包括输入阻抗测试）等均由系统自动校准功能；</w:t>
      </w:r>
    </w:p>
    <w:p w14:paraId="7A606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4.在数据采集过程中所有事件均自动检测并记录，反应代码和刺激代码可以有效分离；</w:t>
      </w:r>
    </w:p>
    <w:p w14:paraId="41E4CE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5.采集软件自动校准，使刺激与记录严格同步；</w:t>
      </w:r>
    </w:p>
    <w:p w14:paraId="27BC41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6.支持单极记录和双极记录脑电，可任意设置参考电极；</w:t>
      </w:r>
    </w:p>
    <w:p w14:paraId="03DDD3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7.支持多人拓展，软件可实现≥6人同步数据采集功能；</w:t>
      </w:r>
    </w:p>
    <w:p w14:paraId="716479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三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)数据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分析软件功能要求</w:t>
      </w:r>
    </w:p>
    <w:p w14:paraId="58E5F1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1.具备在线进行脑电阻抗检测及数据分析；滤波（从傅氏变换到小波变换）、数据重组；脑电频谱分析及时域特征分析、叠加平均；PCA/ICA成分析；能在线数据转接到Matlab；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(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文件中提供产品功能截图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，截图须明确标注或圈出上述信息，截图加盖投标人公章，未提供投标无效。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)</w:t>
      </w:r>
    </w:p>
    <w:p w14:paraId="11B00D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2.支持2D和3D脑电地形图（时域及频域特征），并可实时呈现；</w:t>
      </w:r>
    </w:p>
    <w:p w14:paraId="0422E7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3.根据实验和研究需求进行数据滤波、数据重组、去除眼电干扰及伪迹剃除；</w:t>
      </w:r>
    </w:p>
    <w:p w14:paraId="099FFD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4.能进行事件相关的脑电位、频谱、相干/同步分析；</w:t>
      </w:r>
    </w:p>
    <w:p w14:paraId="29022F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5.能用ASCII码读入和输出数据；</w:t>
      </w:r>
    </w:p>
    <w:p w14:paraId="5622B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6.能提供宏命令，使得批处理更简单，即可以一键式完成操作。</w:t>
      </w:r>
    </w:p>
    <w:p w14:paraId="5E0D48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四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)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电极帽</w:t>
      </w:r>
    </w:p>
    <w:p w14:paraId="71C5E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1.电极帽形式:电极帽采用导电膏及盐水两种介质形式；</w:t>
      </w:r>
    </w:p>
    <w:p w14:paraId="303F32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2.导电膏电极材质采用Ag/AgCl，盐水电极介质采用海绵介质；</w:t>
      </w:r>
    </w:p>
    <w:p w14:paraId="5B84B8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3.单个电极可以取下插入放大器对应的电极插口；</w:t>
      </w:r>
    </w:p>
    <w:p w14:paraId="366451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4.导电膏介质支持降低阻抗≤5K欧；</w:t>
      </w:r>
    </w:p>
    <w:p w14:paraId="69A822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5.盐水海绵介质支持降低阻抗≤10K欧</w:t>
      </w:r>
    </w:p>
    <w:p w14:paraId="553887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(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五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)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TTL数据转换盒</w:t>
      </w:r>
    </w:p>
    <w:p w14:paraId="0E494A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1．通过USB接口发送8位TTL信号，模拟并口8位数据通道进行通信；</w:t>
      </w:r>
    </w:p>
    <w:p w14:paraId="6BFAAF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2．设备输入端为标准USB接口（接PC），设备输出端为DB25接口和BNC接口（接目标实验设备）；</w:t>
      </w:r>
    </w:p>
    <w:p w14:paraId="5D900E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default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3．信号传输与转换延迟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＜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1毫秒，输出端口间延迟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＜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10纳秒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；</w:t>
      </w:r>
    </w:p>
    <w:p w14:paraId="142A3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4．TTL输出电平支持0-3.3V；</w:t>
      </w:r>
    </w:p>
    <w:p w14:paraId="322EFE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5．支持自校验模式，用于校验和检测目标接入设备的信号采集情况；</w:t>
      </w:r>
    </w:p>
    <w:p w14:paraId="609DB4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6．可稳定工作在Windows7/8/10操作系统上，杜绝蓝屏死机和系统崩溃；</w:t>
      </w:r>
    </w:p>
    <w:p w14:paraId="121208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7．可接入具备标准DB25接口或BNC接口的脑电设备、近红外脑成像设备、生理仪设备、电刺激设备等；</w:t>
      </w:r>
    </w:p>
    <w:p w14:paraId="3DAFAC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8．支持多种科研实验软件平台：MATLAB、E-Prime、Vizard、Unity3D等；</w:t>
      </w:r>
    </w:p>
    <w:p w14:paraId="70DF00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9．可通过C++、C#、Python等开发语言对设备进行控制；</w:t>
      </w:r>
    </w:p>
    <w:p w14:paraId="6EEE57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六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血氧饱和度监测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仪</w:t>
      </w:r>
    </w:p>
    <w:p w14:paraId="0E5638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能检测含氧血红蛋白、去氧血红蛋白、总血红蛋白浓度变化指标；X、Y、Z轴三轴加速度原始光强值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适用于不同海拔环境；</w:t>
      </w:r>
    </w:p>
    <w:p w14:paraId="75C570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数据采集方式：数据支持通过蓝牙连接至智能手机，具备手机端数据采集分析软件；</w:t>
      </w:r>
    </w:p>
    <w:p w14:paraId="63312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便携性：主机重量≤30g；</w:t>
      </w:r>
    </w:p>
    <w:p w14:paraId="043BB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光源：760/840nm双波长，检测深度≥2.5cm；</w:t>
      </w:r>
    </w:p>
    <w:p w14:paraId="33FFF8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探测器通道：≥2通道；</w:t>
      </w:r>
    </w:p>
    <w:p w14:paraId="47D7DD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采样频率：1～10Hz可自选切换；</w:t>
      </w:r>
    </w:p>
    <w:p w14:paraId="1EFC00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4" w:firstLineChars="200"/>
        <w:jc w:val="left"/>
        <w:textAlignment w:val="auto"/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en-US" w:bidi="ar-SA"/>
          <w14:textFill>
            <w14:solidFill>
              <w14:schemeClr w14:val="tx1"/>
            </w14:solidFill>
          </w14:textFill>
        </w:rPr>
        <w:t>软件功能要求：具备数据波形显示，数据回放，数据统计分析，数据导出（txt、excel、csv）,支持二次开发基本功能；</w:t>
      </w:r>
    </w:p>
    <w:p w14:paraId="518E1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526" w:firstLineChars="200"/>
        <w:jc w:val="left"/>
        <w:textAlignment w:val="auto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8.为保证设备用于人体的安全性，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投标文件中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需提供国家药品监督管理局出具的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医疗器械注册证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扫描件加盖投标人公章佐证。</w:t>
      </w:r>
    </w:p>
    <w:p w14:paraId="366C53F5">
      <w:pPr>
        <w:pStyle w:val="2"/>
        <w:ind w:firstLine="600" w:firstLineChars="200"/>
        <w:rPr>
          <w:rFonts w:hint="default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七、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信号采集分析处理工作站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处理器：≥16核心/16线程、主频≥2.0GHz，最高睿频≥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 xml:space="preserve">.1GHz）内存≥32GB、硬盘：≥1TB 固态硬盘、屏幕尺寸：≥14英寸、屏幕分辨率：≥2K、Windows 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操作系统；</w:t>
      </w:r>
    </w:p>
    <w:p w14:paraId="674BFD87">
      <w:pPr>
        <w:pStyle w:val="2"/>
        <w:ind w:firstLine="524" w:firstLineChars="200"/>
        <w:rPr>
          <w:rFonts w:hint="default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仿宋" w:hAnsi="仿宋" w:eastAsia="仿宋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便携箱</w:t>
      </w:r>
      <w:r>
        <w:rPr>
          <w:rFonts w:hint="eastAsia" w:cs="仿宋"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：外观颜色：黑；产品材质：ABS材质；</w:t>
      </w:r>
    </w:p>
    <w:p w14:paraId="51FEE30F">
      <w:pPr>
        <w:pStyle w:val="2"/>
        <w:ind w:firstLine="526" w:firstLineChars="200"/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（九）不低于以下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配置</w:t>
      </w:r>
      <w:r>
        <w:rPr>
          <w:rFonts w:hint="eastAsia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要求</w:t>
      </w:r>
      <w:r>
        <w:rPr>
          <w:rFonts w:hint="eastAsia" w:ascii="仿宋" w:hAnsi="仿宋" w:eastAsia="仿宋" w:cs="仿宋"/>
          <w:b/>
          <w:bCs/>
          <w:snapToGrid w:val="0"/>
          <w:color w:val="000000" w:themeColor="text1"/>
          <w:spacing w:val="-9"/>
          <w:kern w:val="0"/>
          <w:sz w:val="28"/>
          <w:szCs w:val="28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7"/>
        <w:gridCol w:w="4884"/>
        <w:gridCol w:w="2371"/>
      </w:tblGrid>
      <w:tr w14:paraId="6444B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1D37B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584" w:type="dxa"/>
            <w:vAlign w:val="center"/>
          </w:tcPr>
          <w:p w14:paraId="4FBF6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放大器（含电池、防护壳、背包）</w:t>
            </w:r>
          </w:p>
        </w:tc>
        <w:tc>
          <w:tcPr>
            <w:tcW w:w="2729" w:type="dxa"/>
            <w:vAlign w:val="center"/>
          </w:tcPr>
          <w:p w14:paraId="1EDB2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2个</w:t>
            </w:r>
          </w:p>
        </w:tc>
      </w:tr>
      <w:tr w14:paraId="11007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1AB10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584" w:type="dxa"/>
            <w:vAlign w:val="center"/>
          </w:tcPr>
          <w:p w14:paraId="375368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64导联电极帽</w:t>
            </w: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（导电膏介质，S/M/L）</w:t>
            </w:r>
          </w:p>
        </w:tc>
        <w:tc>
          <w:tcPr>
            <w:tcW w:w="2729" w:type="dxa"/>
            <w:vAlign w:val="center"/>
          </w:tcPr>
          <w:p w14:paraId="04617C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5顶</w:t>
            </w:r>
          </w:p>
        </w:tc>
      </w:tr>
      <w:tr w14:paraId="06C9A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78ED2F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5584" w:type="dxa"/>
            <w:vAlign w:val="center"/>
          </w:tcPr>
          <w:p w14:paraId="45117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64导联电极帽（盐水介质，M/L/XL）</w:t>
            </w:r>
          </w:p>
        </w:tc>
        <w:tc>
          <w:tcPr>
            <w:tcW w:w="2729" w:type="dxa"/>
            <w:vAlign w:val="center"/>
          </w:tcPr>
          <w:p w14:paraId="580A00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3顶</w:t>
            </w:r>
          </w:p>
        </w:tc>
      </w:tr>
      <w:tr w14:paraId="71BDD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5BBE46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5584" w:type="dxa"/>
            <w:vAlign w:val="center"/>
          </w:tcPr>
          <w:p w14:paraId="1CE25A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32导联电极帽</w:t>
            </w: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（导电膏介质，S/M/L）</w:t>
            </w:r>
          </w:p>
        </w:tc>
        <w:tc>
          <w:tcPr>
            <w:tcW w:w="2729" w:type="dxa"/>
            <w:vAlign w:val="center"/>
          </w:tcPr>
          <w:p w14:paraId="226C4B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5顶</w:t>
            </w:r>
          </w:p>
        </w:tc>
      </w:tr>
      <w:tr w14:paraId="3C5E7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47CAA4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5584" w:type="dxa"/>
            <w:vAlign w:val="center"/>
          </w:tcPr>
          <w:p w14:paraId="1A1587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导电膏32 oz.</w:t>
            </w:r>
          </w:p>
        </w:tc>
        <w:tc>
          <w:tcPr>
            <w:tcW w:w="2729" w:type="dxa"/>
            <w:vAlign w:val="center"/>
          </w:tcPr>
          <w:p w14:paraId="7DA93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8瓶</w:t>
            </w:r>
          </w:p>
        </w:tc>
      </w:tr>
      <w:tr w14:paraId="322BF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6AB9D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5584" w:type="dxa"/>
            <w:vAlign w:val="center"/>
          </w:tcPr>
          <w:p w14:paraId="4430E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磨砂膏4 oz.</w:t>
            </w:r>
          </w:p>
        </w:tc>
        <w:tc>
          <w:tcPr>
            <w:tcW w:w="2729" w:type="dxa"/>
            <w:vAlign w:val="center"/>
          </w:tcPr>
          <w:p w14:paraId="592F37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5支</w:t>
            </w:r>
          </w:p>
        </w:tc>
      </w:tr>
      <w:tr w14:paraId="6B4FE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199EA6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5584" w:type="dxa"/>
            <w:vAlign w:val="center"/>
          </w:tcPr>
          <w:p w14:paraId="7B010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数据采集软件</w:t>
            </w:r>
          </w:p>
        </w:tc>
        <w:tc>
          <w:tcPr>
            <w:tcW w:w="2729" w:type="dxa"/>
            <w:vAlign w:val="center"/>
          </w:tcPr>
          <w:p w14:paraId="3BE6C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1个</w:t>
            </w:r>
          </w:p>
        </w:tc>
      </w:tr>
      <w:tr w14:paraId="6D2F5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202D77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5584" w:type="dxa"/>
            <w:vAlign w:val="center"/>
          </w:tcPr>
          <w:p w14:paraId="134C73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数据分析软件</w:t>
            </w:r>
          </w:p>
        </w:tc>
        <w:tc>
          <w:tcPr>
            <w:tcW w:w="2729" w:type="dxa"/>
            <w:vAlign w:val="center"/>
          </w:tcPr>
          <w:p w14:paraId="64950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1个</w:t>
            </w:r>
          </w:p>
        </w:tc>
      </w:tr>
      <w:tr w14:paraId="086CC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46759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5584" w:type="dxa"/>
            <w:vAlign w:val="center"/>
          </w:tcPr>
          <w:p w14:paraId="43769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可编程实验设计软件</w:t>
            </w:r>
          </w:p>
        </w:tc>
        <w:tc>
          <w:tcPr>
            <w:tcW w:w="2729" w:type="dxa"/>
            <w:vAlign w:val="center"/>
          </w:tcPr>
          <w:p w14:paraId="377632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1个</w:t>
            </w:r>
          </w:p>
        </w:tc>
      </w:tr>
      <w:tr w14:paraId="39481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062315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5584" w:type="dxa"/>
            <w:vAlign w:val="center"/>
          </w:tcPr>
          <w:p w14:paraId="38D805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信号采集分析处理工作站</w:t>
            </w:r>
          </w:p>
        </w:tc>
        <w:tc>
          <w:tcPr>
            <w:tcW w:w="2729" w:type="dxa"/>
            <w:vAlign w:val="center"/>
          </w:tcPr>
          <w:p w14:paraId="15CA1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2套</w:t>
            </w:r>
          </w:p>
        </w:tc>
      </w:tr>
      <w:tr w14:paraId="166DA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488493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5584" w:type="dxa"/>
            <w:vAlign w:val="center"/>
          </w:tcPr>
          <w:p w14:paraId="11A65C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便携箱</w:t>
            </w:r>
          </w:p>
        </w:tc>
        <w:tc>
          <w:tcPr>
            <w:tcW w:w="2729" w:type="dxa"/>
            <w:vAlign w:val="center"/>
          </w:tcPr>
          <w:p w14:paraId="7B4E5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1个</w:t>
            </w:r>
          </w:p>
        </w:tc>
      </w:tr>
      <w:tr w14:paraId="54E22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5DDC0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5584" w:type="dxa"/>
            <w:vAlign w:val="center"/>
          </w:tcPr>
          <w:p w14:paraId="3FD4AA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TTL数据转换盒</w:t>
            </w:r>
          </w:p>
        </w:tc>
        <w:tc>
          <w:tcPr>
            <w:tcW w:w="2729" w:type="dxa"/>
            <w:vAlign w:val="center"/>
          </w:tcPr>
          <w:p w14:paraId="438BCB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1个</w:t>
            </w:r>
          </w:p>
        </w:tc>
      </w:tr>
      <w:tr w14:paraId="2D464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0" w:type="dxa"/>
            <w:vAlign w:val="center"/>
          </w:tcPr>
          <w:p w14:paraId="0CA79A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5584" w:type="dxa"/>
            <w:vAlign w:val="center"/>
          </w:tcPr>
          <w:p w14:paraId="59EF9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血氧饱和度监测仪</w:t>
            </w:r>
          </w:p>
        </w:tc>
        <w:tc>
          <w:tcPr>
            <w:tcW w:w="2729" w:type="dxa"/>
            <w:vAlign w:val="center"/>
          </w:tcPr>
          <w:p w14:paraId="354E1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 w:themeColor="text1"/>
                <w:spacing w:val="-9"/>
                <w:kern w:val="0"/>
                <w:sz w:val="24"/>
                <w:szCs w:val="24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1个</w:t>
            </w:r>
          </w:p>
        </w:tc>
      </w:tr>
    </w:tbl>
    <w:p w14:paraId="57785339">
      <w:pPr>
        <w:ind w:firstLine="562"/>
        <w:rPr>
          <w:rFonts w:ascii="仿宋" w:hAnsi="仿宋" w:eastAsia="仿宋"/>
          <w:b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注：以上技术指标及要求为实质性条款，必须完全满足或优于，否则视为无效投标文件。</w:t>
      </w:r>
    </w:p>
    <w:p w14:paraId="2F828D92">
      <w:pPr>
        <w:bidi w:val="0"/>
        <w:rPr>
          <w:rFonts w:hint="eastAsia"/>
          <w:lang w:val="en-US" w:eastAsia="zh-CN"/>
        </w:rPr>
      </w:pPr>
    </w:p>
    <w:p w14:paraId="3427792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3B4011"/>
    <w:rsid w:val="3D3B4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/>
      <w:autoSpaceDN/>
      <w:adjustRightInd w:val="0"/>
      <w:snapToGrid w:val="0"/>
      <w:spacing w:line="500" w:lineRule="exact"/>
      <w:textAlignment w:val="baseline"/>
    </w:pPr>
    <w:rPr>
      <w:rFonts w:ascii="仿宋" w:hAnsi="仿宋" w:eastAsia="仿宋" w:cs="仿宋"/>
      <w:snapToGrid w:val="0"/>
      <w:color w:val="000000"/>
      <w:sz w:val="28"/>
      <w:szCs w:val="28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2026-06-29T07:54:00Z</dcterms:created>
  <dc:creator>Administrator</dc:creator>
  <cp:lastModifiedBy>Administrator</cp:lastModifiedBy>
  <dcterms:modified xsi:type="dcterms:W3CDTF">2026-06-29T07:55:14Z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5C1552DA65764C5B8C95CE996CB9D8C5_11</vt:lpwstr>
  </property>
  <property fmtid="{D5CDD505-2E9C-101B-9397-08002B2CF9AE}" pid="4" name="KSOTemplateDocerSaveRecord">
    <vt:lpwstr>eyJoZGlkIjoiOGNkNTFlYmYxN2EyM2FiZjc4MWJiNDA4YjhhOGIwZjYifQ==</vt:lpwstr>
  </property>
</Properties>
</file>