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F953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万安县涧田中心小学运动场及卫生间维修改造项目</w:t>
      </w:r>
    </w:p>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bookmarkStart w:id="2" w:name="_GoBack"/>
      <w:bookmarkEnd w:id="2"/>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7"/>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3ED677DD">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14:paraId="14A2F333">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tbl>
      <w:tblPr>
        <w:tblStyle w:val="7"/>
        <w:tblW w:w="10065" w:type="dxa"/>
        <w:tblInd w:w="-5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6"/>
        <w:gridCol w:w="1656"/>
        <w:gridCol w:w="1778"/>
        <w:gridCol w:w="3717"/>
        <w:gridCol w:w="986"/>
        <w:gridCol w:w="1242"/>
      </w:tblGrid>
      <w:tr w14:paraId="21E73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6" w:type="dxa"/>
            <w:tcBorders>
              <w:top w:val="single" w:color="000000" w:sz="8" w:space="0"/>
              <w:left w:val="single" w:color="000000" w:sz="8" w:space="0"/>
              <w:bottom w:val="single" w:color="000000" w:sz="4" w:space="0"/>
              <w:right w:val="single" w:color="000000" w:sz="4" w:space="0"/>
            </w:tcBorders>
            <w:shd w:val="clear" w:color="auto" w:fill="auto"/>
            <w:vAlign w:val="center"/>
          </w:tcPr>
          <w:p w14:paraId="65DF2E1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序号</w:t>
            </w:r>
          </w:p>
        </w:tc>
        <w:tc>
          <w:tcPr>
            <w:tcW w:w="165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7A2A0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项目编码</w:t>
            </w:r>
          </w:p>
        </w:tc>
        <w:tc>
          <w:tcPr>
            <w:tcW w:w="177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37A099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项目名称</w:t>
            </w:r>
          </w:p>
        </w:tc>
        <w:tc>
          <w:tcPr>
            <w:tcW w:w="371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1C806F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项目特征描述</w:t>
            </w:r>
          </w:p>
        </w:tc>
        <w:tc>
          <w:tcPr>
            <w:tcW w:w="98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1B45F6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单位</w:t>
            </w:r>
          </w:p>
        </w:tc>
        <w:tc>
          <w:tcPr>
            <w:tcW w:w="1242"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351FED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工程量</w:t>
            </w:r>
          </w:p>
        </w:tc>
      </w:tr>
      <w:tr w14:paraId="54B2F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1B5CDD7F">
            <w:pPr>
              <w:keepNext w:val="0"/>
              <w:keepLines w:val="0"/>
              <w:pageBreakBefore w:val="0"/>
              <w:widowControl/>
              <w:kinsoku/>
              <w:wordWrap/>
              <w:overflowPunct/>
              <w:topLinePunct w:val="0"/>
              <w:autoSpaceDE/>
              <w:autoSpaceDN/>
              <w:bidi w:val="0"/>
              <w:adjustRightInd/>
              <w:snapToGrid/>
              <w:spacing w:line="300" w:lineRule="exact"/>
              <w:jc w:val="center"/>
              <w:rPr>
                <w:rStyle w:val="10"/>
                <w:rFonts w:hint="eastAsia" w:ascii="宋体" w:hAnsi="宋体" w:eastAsia="宋体" w:cs="宋体"/>
                <w:b/>
                <w:bCs/>
                <w:sz w:val="22"/>
                <w:szCs w:val="22"/>
                <w:lang w:val="en-US" w:eastAsia="zh-CN" w:bidi="ar"/>
              </w:rPr>
            </w:pPr>
            <w:r>
              <w:rPr>
                <w:rStyle w:val="10"/>
                <w:rFonts w:hint="eastAsia" w:ascii="宋体" w:hAnsi="宋体" w:eastAsia="宋体" w:cs="宋体"/>
                <w:b/>
                <w:bCs/>
                <w:sz w:val="22"/>
                <w:szCs w:val="22"/>
                <w:lang w:val="en-US" w:eastAsia="zh-CN" w:bidi="ar"/>
              </w:rPr>
              <w:t>运动场改造工程</w:t>
            </w:r>
          </w:p>
        </w:tc>
      </w:tr>
      <w:tr w14:paraId="3B8A6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036F0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23C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040203009001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18A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人造草皮</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C3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1、铺设50mm厚(绿, 白)人造草皮,填充石英砂,橡胶颗粒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2、6cmAC-13C沥青砼(SBS 1-D改性沥青)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3、改性乳化沥青下封层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4、铺设抗裂贴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5、原有人造草皮面层铲除外</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运2公里,基层处理干净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6、原有混凝土结构层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FC8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D4A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739.33 </w:t>
            </w:r>
          </w:p>
        </w:tc>
      </w:tr>
      <w:tr w14:paraId="71135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2A4C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A716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040203009002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943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弹性面层</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31A4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1、5mm厚硅PU面层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2、6cmAC-13C沥青砼(SBS  1-D改性沥青)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3、改性乳化沥青下封层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4、铺设抗裂贴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5、原有硅PU面层铲除外运2公</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里,基层处理干净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6、原有混凝土结构层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39CB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92A0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793.73 </w:t>
            </w:r>
          </w:p>
        </w:tc>
      </w:tr>
      <w:tr w14:paraId="5BEA3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A76A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142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040203009003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6E38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弹性面层</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E38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1、喷绘白色热熔标线(50mm宽)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2、3mm厚双组份喷面料喷2次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3、13mm厚全塑型纯PU(聚氨酯)底料摊铺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4、6cmAC-13C沥青砼(SBS  1-D改性沥青)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5、改性乳化沥青下封层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6、铺设抗裂贴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7、原有塑胶面层铲除外运2公</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里,基层处理干净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8、原有混凝土结构层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0FE4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3A38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1049.94 </w:t>
            </w:r>
          </w:p>
        </w:tc>
      </w:tr>
      <w:tr w14:paraId="2563E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E540A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5CC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040501017001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BA4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混凝土方沟</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9125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原有排水沟盖板抬高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1、60cm厚C20混凝土抬高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2、原有盖板拆装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3、13mm厚全塑型塑胶面层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D58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E78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156.71 </w:t>
            </w:r>
          </w:p>
        </w:tc>
      </w:tr>
      <w:tr w14:paraId="10D30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67E54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DBD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04B001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F1FB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运动器材</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76D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足球球门采用成品定制标准5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米球网</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32C4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5284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w:t>
            </w:r>
          </w:p>
        </w:tc>
      </w:tr>
      <w:tr w14:paraId="6A548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5F93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8BE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04B002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5C9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运动器材</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478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国际标准成品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采购两个移动式篮球架 ，蓝圈上沿离地：3.05m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7195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1495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w:t>
            </w:r>
          </w:p>
        </w:tc>
      </w:tr>
      <w:tr w14:paraId="432F9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D773D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CF2B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040805001001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A9F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常规照明灯</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DCD2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1、2*200WLED</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投光灯，灯杆高6m ，含基础等全部内容，做法项大样图</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87F5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0BA4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 </w:t>
            </w:r>
          </w:p>
        </w:tc>
      </w:tr>
      <w:tr w14:paraId="1AF25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DB60B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AB1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011601003001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6EC6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其他大型机械进出场及安拆</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0D1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1、沥青混凝土摊铺机进出场费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1B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项</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4BC0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w:t>
            </w:r>
          </w:p>
        </w:tc>
      </w:tr>
      <w:tr w14:paraId="2DF69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261D8655">
            <w:pPr>
              <w:keepNext w:val="0"/>
              <w:keepLines w:val="0"/>
              <w:pageBreakBefore w:val="0"/>
              <w:widowControl/>
              <w:kinsoku/>
              <w:wordWrap/>
              <w:overflowPunct/>
              <w:topLinePunct w:val="0"/>
              <w:autoSpaceDE/>
              <w:autoSpaceDN/>
              <w:bidi w:val="0"/>
              <w:adjustRightInd/>
              <w:snapToGrid/>
              <w:spacing w:line="300" w:lineRule="exact"/>
              <w:jc w:val="center"/>
              <w:rPr>
                <w:rFonts w:hint="eastAsia" w:ascii="宋体" w:hAnsi="宋体" w:eastAsia="宋体" w:cs="宋体"/>
                <w:b/>
                <w:bCs/>
                <w:i w:val="0"/>
                <w:iCs w:val="0"/>
                <w:color w:val="000000"/>
                <w:sz w:val="22"/>
                <w:szCs w:val="22"/>
                <w:u w:val="none"/>
              </w:rPr>
            </w:pPr>
            <w:r>
              <w:rPr>
                <w:rStyle w:val="10"/>
                <w:rFonts w:hint="eastAsia" w:ascii="宋体" w:hAnsi="宋体" w:eastAsia="宋体" w:cs="宋体"/>
                <w:b/>
                <w:bCs/>
                <w:sz w:val="22"/>
                <w:szCs w:val="22"/>
                <w:lang w:val="en-US" w:eastAsia="zh-CN" w:bidi="ar"/>
              </w:rPr>
              <w:t>学生宿舍楼卫生间改造工程（10间）</w:t>
            </w:r>
          </w:p>
        </w:tc>
      </w:tr>
      <w:tr w14:paraId="0FEF0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D5989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2653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192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砌体拆除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0FD6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原砖砌踏步、挡板 、洗涤池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拆除 ，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B054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0D2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22.32 </w:t>
            </w:r>
          </w:p>
        </w:tc>
      </w:tr>
      <w:tr w14:paraId="3DB37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56E0C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65DC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01B013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853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混凝土拆除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A4E2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混凝土洗涤池拆除 ，  垃圾弃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D1A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5E61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6.23 </w:t>
            </w:r>
          </w:p>
        </w:tc>
      </w:tr>
      <w:tr w14:paraId="32E60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B3B86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9B5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B87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892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原装修地面瓷砖铲除 ，  垃圾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FAF3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AE1C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320 </w:t>
            </w:r>
          </w:p>
        </w:tc>
      </w:tr>
      <w:tr w14:paraId="29D9F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5CE77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099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C6E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0A0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原装修墙面瓷砖铲除 ，  垃圾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0C71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701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458.64 </w:t>
            </w:r>
          </w:p>
        </w:tc>
      </w:tr>
      <w:tr w14:paraId="41315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C6803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C8A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8177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DB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原装修墙面天棚涂料铲除，</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B827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C4E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760.64 </w:t>
            </w:r>
          </w:p>
        </w:tc>
      </w:tr>
      <w:tr w14:paraId="18E9B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36E30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1D4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010401002002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2F3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实心砖墙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BF7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60厚砖砌挡板、新建洗涤池</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1AA6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42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13.73 </w:t>
            </w:r>
          </w:p>
        </w:tc>
      </w:tr>
      <w:tr w14:paraId="18130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13D50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6FBD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011102003001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477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块料楼地面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154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地面装修做法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参赣03J001-18-地27</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 10厚彩色釉面砖面层，干水泥擦缝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3、20厚1 :2水泥砂浆结合层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5、15厚1 :3水泥砂浆找平层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EAC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4B89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64 </w:t>
            </w:r>
          </w:p>
        </w:tc>
      </w:tr>
      <w:tr w14:paraId="36277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0A38E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8FF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011102003002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9D9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块料楼地面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7169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楼面装修做法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参赣03J001-48-楼27</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 10厚彩色釉面面层，干水泥擦缝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3、20厚1 :2水泥砂浆结层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5、30~50厚 (最高处)C20细石混凝土从门口处向有地漏方向泛水，最低处≥30厚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 、2mm聚氨酯防水涂料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w:t>
            </w:r>
            <w:r>
              <w:rPr>
                <w:rStyle w:val="11"/>
                <w:rFonts w:hint="eastAsia" w:ascii="宋体" w:hAnsi="宋体" w:eastAsia="宋体" w:cs="宋体"/>
                <w:sz w:val="22"/>
                <w:szCs w:val="22"/>
                <w:lang w:val="en-US" w:eastAsia="zh-CN" w:bidi="ar"/>
              </w:rPr>
              <w:t>、</w:t>
            </w:r>
            <w:r>
              <w:rPr>
                <w:rStyle w:val="10"/>
                <w:rFonts w:hint="eastAsia" w:ascii="宋体" w:hAnsi="宋体" w:eastAsia="宋体" w:cs="宋体"/>
                <w:sz w:val="22"/>
                <w:szCs w:val="22"/>
                <w:lang w:val="en-US" w:eastAsia="zh-CN" w:bidi="ar"/>
              </w:rPr>
              <w:t>15厚1 :3水泥砂浆找平层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E10B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BF4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256 </w:t>
            </w:r>
          </w:p>
        </w:tc>
      </w:tr>
      <w:tr w14:paraId="07EFC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E629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7A1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011203003001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51D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块料墙 、柱面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A05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墙面装修做法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参赣03J001-96-墙裙32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1、3厚陶瓷墙地砖胶粘剂粘贴内墙釉面瓷砖 ，稀白水泥浆擦缝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2、6厚1 :0.1 :2.5水泥混合砂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浆结合层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3、12厚1 :3水泥砂浆打底扫毛</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5B9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49C1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914.62 </w:t>
            </w:r>
          </w:p>
        </w:tc>
      </w:tr>
      <w:tr w14:paraId="07290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B3C34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2CC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83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墙面喷刷涂料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B86B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1、喷内墙用薄质涂料两遍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C29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6259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440.64 </w:t>
            </w:r>
          </w:p>
        </w:tc>
      </w:tr>
      <w:tr w14:paraId="7A467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5A2A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F99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011404002001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1B70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天棚喷刷涂料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1215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1、喷内墙薄质涂料二遍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9F19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00C9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320 </w:t>
            </w:r>
          </w:p>
        </w:tc>
      </w:tr>
      <w:tr w14:paraId="5C4C0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AD937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F36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010802001001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337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金属(塑钢)门</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BFAF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700*1200塑钢门安装</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BC8E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581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58.8 </w:t>
            </w:r>
          </w:p>
        </w:tc>
      </w:tr>
      <w:tr w14:paraId="04033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EBCC4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7C7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010502025001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5E87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混凝土洗涤池</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2A7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1、混凝土洗涤池</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8682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9275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7.02 </w:t>
            </w:r>
          </w:p>
        </w:tc>
      </w:tr>
      <w:tr w14:paraId="5313E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EC196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B18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010506001001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46A4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混凝土洗涤池钢筋</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6D4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1、混凝土洗涤池钢筋</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C7DD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t</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1108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0.04 </w:t>
            </w:r>
          </w:p>
        </w:tc>
      </w:tr>
      <w:tr w14:paraId="6802D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BC4E8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C8F7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010505014001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5E29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零星现浇构件模板</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25F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1、混凝土洗涤池模板</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071D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EF8B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100.69 </w:t>
            </w:r>
          </w:p>
        </w:tc>
      </w:tr>
      <w:tr w14:paraId="27119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2AF4E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B96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010401008002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D92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零星砌砖</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3E68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砖砌踏步</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CF60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6A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11.928 </w:t>
            </w:r>
          </w:p>
        </w:tc>
      </w:tr>
      <w:tr w14:paraId="65F85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03BE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9BA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031003006001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FFF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eastAsia="宋体"/>
                <w:b/>
                <w:bCs/>
                <w:color w:val="auto"/>
                <w:sz w:val="24"/>
                <w:szCs w:val="24"/>
                <w:highlight w:val="none"/>
                <w:lang w:val="en-US" w:eastAsia="zh-CN"/>
              </w:rPr>
              <w:t>★</w:t>
            </w:r>
            <w:r>
              <w:rPr>
                <w:rStyle w:val="10"/>
                <w:rFonts w:hint="eastAsia" w:ascii="宋体" w:hAnsi="宋体" w:eastAsia="宋体" w:cs="宋体"/>
                <w:b/>
                <w:bCs/>
                <w:sz w:val="22"/>
                <w:szCs w:val="22"/>
                <w:lang w:val="en-US" w:eastAsia="zh-CN" w:bidi="ar"/>
              </w:rPr>
              <w:t>大便器</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ECE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:低位水箱蹲式大便器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附件名称、数量 :含所有附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件</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F13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组</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A9F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 </w:t>
            </w:r>
          </w:p>
        </w:tc>
      </w:tr>
      <w:tr w14:paraId="70E16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F466F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0E03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031003014001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01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eastAsia="宋体"/>
                <w:b/>
                <w:bCs/>
                <w:color w:val="auto"/>
                <w:sz w:val="24"/>
                <w:szCs w:val="24"/>
                <w:highlight w:val="none"/>
                <w:lang w:val="en-US" w:eastAsia="zh-CN"/>
              </w:rPr>
              <w:t>★</w:t>
            </w:r>
            <w:r>
              <w:rPr>
                <w:rStyle w:val="10"/>
                <w:rFonts w:hint="eastAsia" w:ascii="宋体" w:hAnsi="宋体" w:eastAsia="宋体" w:cs="宋体"/>
                <w:b/>
                <w:bCs/>
                <w:sz w:val="22"/>
                <w:szCs w:val="22"/>
                <w:lang w:val="en-US" w:eastAsia="zh-CN" w:bidi="ar"/>
              </w:rPr>
              <w:t>给、排水附件</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1F4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水龙头安装</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60C8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6C05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 </w:t>
            </w:r>
          </w:p>
        </w:tc>
      </w:tr>
      <w:tr w14:paraId="35E06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4D43B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6381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031003010001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013E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淋浴器</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951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淋浴器安装</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31C1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8AA0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 </w:t>
            </w:r>
          </w:p>
        </w:tc>
      </w:tr>
      <w:tr w14:paraId="22EF9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05B3F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9CE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031003014002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F474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给 、排水附件</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7FD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1、地漏安装  DN75(含存水弯)</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1E1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4EAF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 </w:t>
            </w:r>
          </w:p>
        </w:tc>
      </w:tr>
      <w:tr w14:paraId="39A38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A9F50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5A2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031002003001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C9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塑料阀门</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FB0F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1、类型 :截止阀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2、规格:DN32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3、满足设计要求 ，  详见图纸</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97BD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E5DA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 </w:t>
            </w:r>
          </w:p>
        </w:tc>
      </w:tr>
      <w:tr w14:paraId="17F50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36AFC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7115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560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3F9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:室内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2、规格:PPR管DN40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:热熔粘接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 、洗设计要求 :消毒冲洗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5、管道压力：1.6MPa</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8B6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BEC2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 </w:t>
            </w:r>
          </w:p>
        </w:tc>
      </w:tr>
      <w:tr w14:paraId="79B5A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3CECF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E88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7EA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B39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:室内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2、规格:PPR管DN32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:热熔粘接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 、洗设计要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求 :消毒冲洗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5、管道压力：1.6MPa</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E06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2683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141.88 </w:t>
            </w:r>
          </w:p>
        </w:tc>
      </w:tr>
      <w:tr w14:paraId="450C4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1A16D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5D55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D04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F60F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:室内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2.规格:PPR管DN25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:热熔粘接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4.压力试验及吹、洗设计要求：消毒冲洗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5、管道压力：1.6MPa</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F65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AE7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139.74 </w:t>
            </w:r>
          </w:p>
        </w:tc>
      </w:tr>
      <w:tr w14:paraId="74575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093B7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08A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75FF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39DE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:室内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2.规格:PPR管DN20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:热熔粘接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 、洗设计要求 :消毒冲洗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5、管道压力：1.6MPa</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D887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5A5F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57.4 </w:t>
            </w:r>
          </w:p>
        </w:tc>
      </w:tr>
      <w:tr w14:paraId="6DB88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F20EA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B7DA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031001008005</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5FC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6C8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:污（废）  水管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2.材质 、规格 :UPVC管DN150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 、洗</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B9CC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51B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 </w:t>
            </w:r>
          </w:p>
        </w:tc>
      </w:tr>
      <w:tr w14:paraId="4CD29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D28B8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329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031001008006</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479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17E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:污（废）  水管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2.材质 、规格 :UPVC管DN100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:粘接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4.压力试验及吹 、洗</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BE9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7E8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55.19 </w:t>
            </w:r>
          </w:p>
        </w:tc>
      </w:tr>
      <w:tr w14:paraId="2ED3B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FEB0E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FDB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031001008007</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860A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塑料管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6B37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1.安装部位 :污（废）  水管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2.材质 、规格 :UPVC管DN75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3.连接形式 :粘接</w:t>
            </w:r>
            <w:r>
              <w:rPr>
                <w:rStyle w:val="12"/>
                <w:rFonts w:hint="eastAsia" w:ascii="宋体" w:hAnsi="宋体" w:eastAsia="宋体" w:cs="宋体"/>
                <w:sz w:val="22"/>
                <w:szCs w:val="22"/>
                <w:lang w:val="en-US" w:eastAsia="zh-CN" w:bidi="ar"/>
              </w:rPr>
              <w:br w:type="textWrapping"/>
            </w:r>
            <w:r>
              <w:rPr>
                <w:rStyle w:val="10"/>
                <w:rFonts w:hint="eastAsia" w:ascii="宋体" w:hAnsi="宋体" w:eastAsia="宋体" w:cs="宋体"/>
                <w:sz w:val="22"/>
                <w:szCs w:val="22"/>
                <w:lang w:val="en-US" w:eastAsia="zh-CN" w:bidi="ar"/>
              </w:rPr>
              <w:t>4.压力试验及吹 、洗</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46A1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375F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5.3 </w:t>
            </w:r>
          </w:p>
        </w:tc>
      </w:tr>
      <w:tr w14:paraId="28D72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F2916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7EBB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031004014002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63BE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成品管卡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22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:成品管卡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型号 、规格 :DN100</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2888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6763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 </w:t>
            </w:r>
          </w:p>
        </w:tc>
      </w:tr>
      <w:tr w14:paraId="6F594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8B72B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809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031004014003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F65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成品管卡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D1B2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:成品管卡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型号 、规格 :DN75</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A964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4C8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 </w:t>
            </w:r>
          </w:p>
        </w:tc>
      </w:tr>
      <w:tr w14:paraId="3D172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10791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E54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031004014004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3EC2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成品管卡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337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:成品管卡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型号 、规格 :DN32</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50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97C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158 </w:t>
            </w:r>
          </w:p>
        </w:tc>
      </w:tr>
      <w:tr w14:paraId="1FCBD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7B4BD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B47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031004014005</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A456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成品管卡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5774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:成品管卡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型号 、规格 :DN25</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ED2C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3668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175 </w:t>
            </w:r>
          </w:p>
        </w:tc>
      </w:tr>
      <w:tr w14:paraId="2718B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824D4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6BE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031004014006</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033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成品管卡</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CF3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 :成品管卡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型号 、规格 :DN20</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7FA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个</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27C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 </w:t>
            </w:r>
          </w:p>
        </w:tc>
      </w:tr>
      <w:tr w14:paraId="28C4B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66461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42</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D22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011404002001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01B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天棚装饰</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C920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kern w:val="0"/>
                <w:sz w:val="22"/>
                <w:szCs w:val="22"/>
                <w:u w:val="none"/>
                <w:lang w:val="en-US" w:eastAsia="zh-CN" w:bidi="ar"/>
              </w:rPr>
            </w:pPr>
            <w:r>
              <w:rPr>
                <w:rStyle w:val="10"/>
                <w:rFonts w:hint="eastAsia" w:ascii="宋体" w:hAnsi="宋体" w:eastAsia="宋体" w:cs="宋体"/>
                <w:sz w:val="24"/>
                <w:szCs w:val="24"/>
                <w:lang w:val="en-US" w:eastAsia="zh-CN" w:bidi="ar"/>
              </w:rPr>
              <w:t>天棚吊顶装饰</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360B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56B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158</w:t>
            </w:r>
          </w:p>
        </w:tc>
      </w:tr>
      <w:tr w14:paraId="2A9E7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5CC1E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43</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81ED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011404001003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219D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墙裙墙面装饰</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D09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墙裙墙面装饰</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D54C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Style w:val="10"/>
                <w:rFonts w:hint="eastAsia" w:ascii="宋体" w:hAnsi="宋体" w:eastAsia="宋体" w:cs="宋体"/>
                <w:sz w:val="22"/>
                <w:szCs w:val="22"/>
                <w:lang w:val="en-US" w:eastAsia="zh-CN" w:bidi="ar"/>
              </w:rPr>
            </w:pPr>
            <w:r>
              <w:rPr>
                <w:rStyle w:val="10"/>
                <w:rFonts w:hint="eastAsia" w:ascii="宋体" w:hAnsi="宋体" w:eastAsia="宋体" w:cs="宋体"/>
                <w:sz w:val="24"/>
                <w:szCs w:val="24"/>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66A1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120.27</w:t>
            </w:r>
          </w:p>
        </w:tc>
      </w:tr>
      <w:tr w14:paraId="6504D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6116E322">
            <w:pPr>
              <w:keepNext w:val="0"/>
              <w:keepLines w:val="0"/>
              <w:pageBreakBefore w:val="0"/>
              <w:widowControl/>
              <w:kinsoku/>
              <w:wordWrap/>
              <w:overflowPunct/>
              <w:topLinePunct w:val="0"/>
              <w:autoSpaceDE/>
              <w:autoSpaceDN/>
              <w:bidi w:val="0"/>
              <w:adjustRightInd/>
              <w:snapToGrid/>
              <w:spacing w:line="300" w:lineRule="exact"/>
              <w:jc w:val="center"/>
              <w:rPr>
                <w:rStyle w:val="10"/>
                <w:rFonts w:hint="eastAsia" w:ascii="宋体" w:hAnsi="宋体" w:eastAsia="宋体" w:cs="宋体"/>
                <w:b/>
                <w:bCs/>
                <w:sz w:val="22"/>
                <w:szCs w:val="22"/>
                <w:lang w:val="en-US" w:eastAsia="zh-CN" w:bidi="ar"/>
              </w:rPr>
            </w:pPr>
            <w:r>
              <w:rPr>
                <w:rStyle w:val="10"/>
                <w:rFonts w:hint="eastAsia" w:ascii="宋体" w:hAnsi="宋体" w:eastAsia="宋体" w:cs="宋体"/>
                <w:b/>
                <w:bCs/>
                <w:sz w:val="22"/>
                <w:szCs w:val="22"/>
                <w:lang w:val="en-US" w:eastAsia="zh-CN" w:bidi="ar"/>
              </w:rPr>
              <w:t>教学楼卫生间改造工程</w:t>
            </w:r>
          </w:p>
        </w:tc>
      </w:tr>
      <w:tr w14:paraId="0503E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F3C13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692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01B014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4C2A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砌体拆除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012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原砖砌踏步、挡板 ，  垃圾弃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0AA2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73E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10.83 </w:t>
            </w:r>
          </w:p>
        </w:tc>
      </w:tr>
      <w:tr w14:paraId="64C3D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1F9134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FD4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01B005</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6907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大理石台面拆除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7D03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1.大理石台面拆除</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9EEE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8A7C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 </w:t>
            </w:r>
          </w:p>
        </w:tc>
      </w:tr>
      <w:tr w14:paraId="177C5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FBAA1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B2D7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01B009</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F8AF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原洗手盆拆除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0172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1.原洗手盆拆除</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5BB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6D23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 </w:t>
            </w:r>
          </w:p>
        </w:tc>
      </w:tr>
      <w:tr w14:paraId="35A79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37B6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A43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011505001001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7FC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大理石台面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4B6E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1、大理石台面</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9F6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694D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 </w:t>
            </w:r>
          </w:p>
        </w:tc>
      </w:tr>
      <w:tr w14:paraId="684B7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DF22D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AA7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010401002001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840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实心砖墙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CB0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60厚砖砌挡板砌筑</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217A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3255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3.315 </w:t>
            </w:r>
          </w:p>
        </w:tc>
      </w:tr>
      <w:tr w14:paraId="195FE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35125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49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7EB8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010401008001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F5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零星砌砖</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CE65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砖砌踏步</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60B0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m3</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7B9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7.517 </w:t>
            </w:r>
          </w:p>
        </w:tc>
      </w:tr>
      <w:tr w14:paraId="55D9D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5581B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1346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010607009001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E829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钢板天沟</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4E45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0.5厚不锈钢板</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CCE3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88C5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59.96 </w:t>
            </w:r>
          </w:p>
        </w:tc>
      </w:tr>
      <w:tr w14:paraId="57EC7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1B659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A40F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01B006</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417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637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原装修地面瓷砖铲除（含找平层），垃圾弃置3km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2F2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67EC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216.9 </w:t>
            </w:r>
          </w:p>
        </w:tc>
      </w:tr>
      <w:tr w14:paraId="7C1CB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17DAD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4E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01B007</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9C9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1E42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原装修墙面瓷砖铲除（含找平层），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6408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854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435.6 </w:t>
            </w:r>
          </w:p>
        </w:tc>
      </w:tr>
      <w:tr w14:paraId="47671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C7A3A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EB7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01B008</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F76F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49EC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原装修天棚涂料铲除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D6BC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C52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216.9 </w:t>
            </w:r>
          </w:p>
        </w:tc>
      </w:tr>
      <w:tr w14:paraId="60876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0FB09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3A59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01B012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91F1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307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原装修墙面涂料铲除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01F5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624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470.01 </w:t>
            </w:r>
          </w:p>
        </w:tc>
      </w:tr>
      <w:tr w14:paraId="04F17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6BF59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DE0B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011102003003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82DA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块料楼地面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A1F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地面装修做法参赣03J001-18-地27</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 10厚彩色釉面砖面层，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干水泥擦缝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3、20厚1 :2水泥砂浆结合层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5、15厚1 :3水泥砂浆找平层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C586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98C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43.38 </w:t>
            </w:r>
          </w:p>
        </w:tc>
      </w:tr>
      <w:tr w14:paraId="3A558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6"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589B9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F1AF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011102003004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A5CD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块料楼地面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6075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楼面装修做法参赣03J001-48-楼27</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1、8~ 10厚彩色釉面面层， 干水泥擦缝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3、20厚1 :2水泥砂浆结层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4、刷素水泥浆一道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5、30~50厚 (最高处)C20细石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混凝土从门口处向有地漏方向泛水 ，最低处≥30厚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 、2mm聚氨酯防水涂料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 、15厚1 :3水泥砂浆找平层</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CB18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B80E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173.52 </w:t>
            </w:r>
          </w:p>
        </w:tc>
      </w:tr>
      <w:tr w14:paraId="4196E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917C5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napToGrid w:val="0"/>
                <w:color w:val="000000"/>
                <w:sz w:val="22"/>
                <w:szCs w:val="22"/>
                <w:u w:val="none"/>
                <w:lang w:val="en-US" w:eastAsia="en-US" w:bidi="ar-SA"/>
              </w:rPr>
            </w:pPr>
            <w:r>
              <w:rPr>
                <w:rFonts w:hint="eastAsia" w:ascii="宋体" w:hAnsi="宋体" w:eastAsia="宋体" w:cs="宋体"/>
                <w:i w:val="0"/>
                <w:iCs w:val="0"/>
                <w:color w:val="000000"/>
                <w:kern w:val="0"/>
                <w:sz w:val="22"/>
                <w:szCs w:val="22"/>
                <w:u w:val="none"/>
                <w:lang w:val="en-US" w:eastAsia="zh-CN" w:bidi="ar"/>
              </w:rPr>
              <w:t xml:space="preserve">57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075F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011203003002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BC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块料墙 、柱面</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1F1F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墙面装修做法参赣03J001-96-墙裙32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1、3厚陶瓷墙地砖胶粘剂粘</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贴内墙釉面瓷砖， 稀白水泥浆擦缝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2、6厚1 :0.1 :2.5水泥混合砂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浆结合层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3、12厚1 :3水泥砂浆打底扫</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毛</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5CF4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CEF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552.55 </w:t>
            </w:r>
          </w:p>
        </w:tc>
      </w:tr>
      <w:tr w14:paraId="0F675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12F47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2AF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011201001001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DC1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 、柱面一般抹灰</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DD13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1、喷内墙用薄质涂料两遍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1B1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FF1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470.01 </w:t>
            </w:r>
          </w:p>
        </w:tc>
      </w:tr>
      <w:tr w14:paraId="0FE58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A760A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077A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011404002002</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290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天棚喷刷涂料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5A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1、喷内墙薄质涂料二遍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D271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0898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216.9 </w:t>
            </w:r>
          </w:p>
        </w:tc>
      </w:tr>
      <w:tr w14:paraId="1AF44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062B570D">
            <w:pPr>
              <w:keepNext w:val="0"/>
              <w:keepLines w:val="0"/>
              <w:pageBreakBefore w:val="0"/>
              <w:widowControl/>
              <w:kinsoku/>
              <w:wordWrap/>
              <w:overflowPunct/>
              <w:topLinePunct w:val="0"/>
              <w:autoSpaceDE/>
              <w:autoSpaceDN/>
              <w:bidi w:val="0"/>
              <w:adjustRightInd/>
              <w:snapToGrid/>
              <w:spacing w:line="300" w:lineRule="exact"/>
              <w:jc w:val="center"/>
              <w:rPr>
                <w:rStyle w:val="10"/>
                <w:rFonts w:hint="eastAsia" w:ascii="宋体" w:hAnsi="宋体" w:eastAsia="宋体" w:cs="宋体"/>
                <w:b/>
                <w:bCs/>
                <w:sz w:val="22"/>
                <w:szCs w:val="22"/>
                <w:lang w:val="en-US" w:eastAsia="zh-CN" w:bidi="ar"/>
              </w:rPr>
            </w:pPr>
            <w:r>
              <w:rPr>
                <w:rStyle w:val="10"/>
                <w:rFonts w:hint="eastAsia" w:ascii="宋体" w:hAnsi="宋体" w:eastAsia="宋体" w:cs="宋体"/>
                <w:b/>
                <w:bCs/>
                <w:sz w:val="22"/>
                <w:szCs w:val="22"/>
                <w:lang w:val="en-US" w:eastAsia="zh-CN" w:bidi="ar"/>
              </w:rPr>
              <w:t>综合楼装修改造工程</w:t>
            </w:r>
          </w:p>
        </w:tc>
      </w:tr>
      <w:tr w14:paraId="7A0EF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29E97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58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934E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01B010</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73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4189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原装修墙面、天棚涂料铲除,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0DA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05AA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3079.79 </w:t>
            </w:r>
          </w:p>
        </w:tc>
      </w:tr>
      <w:tr w14:paraId="1F44F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CDE6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59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7F4B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011404001003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EEBB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墙面喷刷涂料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C65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1、喷外墙用薄质涂料三遍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3CB0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35C5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369.18 </w:t>
            </w:r>
          </w:p>
        </w:tc>
      </w:tr>
      <w:tr w14:paraId="5DF58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FA3C9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13D4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011404001004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76D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墙面喷刷涂料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DAA0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1、喷内墙用薄质涂料两遍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0690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38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700.71 </w:t>
            </w:r>
          </w:p>
        </w:tc>
      </w:tr>
      <w:tr w14:paraId="08A92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2F56F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61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0DA5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011404002003</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DAC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天棚喷刷涂料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EE2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1、喷内墙薄质涂料二遍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973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D3C6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2009.9 </w:t>
            </w:r>
          </w:p>
        </w:tc>
      </w:tr>
      <w:tr w14:paraId="68DBA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02E5A0BC">
            <w:pPr>
              <w:keepNext w:val="0"/>
              <w:keepLines w:val="0"/>
              <w:pageBreakBefore w:val="0"/>
              <w:widowControl/>
              <w:kinsoku/>
              <w:wordWrap/>
              <w:overflowPunct/>
              <w:topLinePunct w:val="0"/>
              <w:autoSpaceDE/>
              <w:autoSpaceDN/>
              <w:bidi w:val="0"/>
              <w:adjustRightInd/>
              <w:snapToGrid/>
              <w:spacing w:line="300" w:lineRule="exact"/>
              <w:jc w:val="center"/>
              <w:rPr>
                <w:rStyle w:val="10"/>
                <w:rFonts w:hint="eastAsia" w:ascii="宋体" w:hAnsi="宋体" w:eastAsia="宋体" w:cs="宋体"/>
                <w:b/>
                <w:bCs/>
                <w:sz w:val="22"/>
                <w:szCs w:val="22"/>
                <w:lang w:val="en-US" w:eastAsia="zh-CN" w:bidi="ar"/>
              </w:rPr>
            </w:pPr>
            <w:r>
              <w:rPr>
                <w:rStyle w:val="10"/>
                <w:rFonts w:hint="eastAsia" w:ascii="宋体" w:hAnsi="宋体" w:eastAsia="宋体" w:cs="宋体"/>
                <w:b/>
                <w:bCs/>
                <w:sz w:val="22"/>
                <w:szCs w:val="22"/>
                <w:lang w:val="en-US" w:eastAsia="zh-CN" w:bidi="ar"/>
              </w:rPr>
              <w:t>学生宿舍楼装修改造工程</w:t>
            </w:r>
          </w:p>
        </w:tc>
      </w:tr>
      <w:tr w14:paraId="5801F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97E0F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62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66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01B011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87DE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装饰面层拆除</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24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原装修墙面、天棚涂料铲除,  垃圾弃置3km</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6AEE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509D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3669.56 </w:t>
            </w:r>
          </w:p>
        </w:tc>
      </w:tr>
      <w:tr w14:paraId="3D7C9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4F7D5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63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1229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011404001005</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0BD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墙面喷刷涂料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191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1、喷外墙用薄质涂料三遍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276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2121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379.02 </w:t>
            </w:r>
          </w:p>
        </w:tc>
      </w:tr>
      <w:tr w14:paraId="1F8C6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4A3A1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64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ADE1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011404001006</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43BA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墙面喷刷涂料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DD2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1、喷内墙用薄质涂料两遍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497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07B7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1468.08 </w:t>
            </w:r>
          </w:p>
        </w:tc>
      </w:tr>
      <w:tr w14:paraId="77460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D629D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284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011404002004</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894B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天棚喷刷涂料</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2AB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1、喷内墙薄质涂料二遍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2、刮腻子两遍</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243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m2</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BB9A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1822.46 </w:t>
            </w:r>
          </w:p>
        </w:tc>
      </w:tr>
      <w:tr w14:paraId="2E97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10065"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6F0EA540">
            <w:pPr>
              <w:keepNext w:val="0"/>
              <w:keepLines w:val="0"/>
              <w:pageBreakBefore w:val="0"/>
              <w:widowControl/>
              <w:kinsoku/>
              <w:wordWrap/>
              <w:overflowPunct/>
              <w:topLinePunct w:val="0"/>
              <w:autoSpaceDE/>
              <w:autoSpaceDN/>
              <w:bidi w:val="0"/>
              <w:adjustRightInd/>
              <w:snapToGrid/>
              <w:spacing w:line="300" w:lineRule="exact"/>
              <w:jc w:val="center"/>
              <w:rPr>
                <w:rStyle w:val="10"/>
                <w:rFonts w:hint="eastAsia" w:ascii="宋体" w:hAnsi="宋体" w:eastAsia="宋体" w:cs="宋体"/>
                <w:b/>
                <w:bCs/>
                <w:sz w:val="22"/>
                <w:szCs w:val="22"/>
                <w:lang w:val="en-US" w:eastAsia="zh-CN" w:bidi="ar"/>
              </w:rPr>
            </w:pPr>
            <w:r>
              <w:rPr>
                <w:rStyle w:val="10"/>
                <w:rFonts w:hint="eastAsia" w:ascii="宋体" w:hAnsi="宋体" w:eastAsia="宋体" w:cs="宋体"/>
                <w:b/>
                <w:bCs/>
                <w:sz w:val="22"/>
                <w:szCs w:val="22"/>
                <w:lang w:val="en-US" w:eastAsia="zh-CN" w:bidi="ar"/>
              </w:rPr>
              <w:t>措施项目</w:t>
            </w:r>
          </w:p>
        </w:tc>
      </w:tr>
      <w:tr w14:paraId="09279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68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83CA1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66 </w:t>
            </w:r>
          </w:p>
        </w:tc>
        <w:tc>
          <w:tcPr>
            <w:tcW w:w="1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1E4F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011601002001</w:t>
            </w:r>
          </w:p>
        </w:tc>
        <w:tc>
          <w:tcPr>
            <w:tcW w:w="1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B5C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垂直运输</w:t>
            </w:r>
          </w:p>
        </w:tc>
        <w:tc>
          <w:tcPr>
            <w:tcW w:w="37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DA2F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装饰垂直运输费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839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Style w:val="10"/>
                <w:rFonts w:hint="eastAsia" w:ascii="宋体" w:hAnsi="宋体" w:eastAsia="宋体" w:cs="宋体"/>
                <w:sz w:val="22"/>
                <w:szCs w:val="22"/>
                <w:lang w:val="en-US" w:eastAsia="zh-CN" w:bidi="ar"/>
              </w:rPr>
              <w:t>项</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F44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w:t>
            </w:r>
          </w:p>
        </w:tc>
      </w:tr>
    </w:tbl>
    <w:p w14:paraId="314871B7">
      <w:pPr>
        <w:adjustRightInd w:val="0"/>
        <w:spacing w:line="360" w:lineRule="auto"/>
        <w:jc w:val="both"/>
        <w:rPr>
          <w:rFonts w:hint="eastAsia"/>
          <w:color w:val="auto"/>
          <w:sz w:val="24"/>
          <w:szCs w:val="24"/>
          <w:highlight w:val="none"/>
        </w:rPr>
      </w:pPr>
    </w:p>
    <w:p w14:paraId="3DA0A35A">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32"/>
          <w:szCs w:val="32"/>
          <w:u w:val="none"/>
          <w:lang w:val="en-US" w:eastAsia="zh-CN" w:bidi="ar"/>
        </w:rPr>
      </w:pPr>
    </w:p>
    <w:tbl>
      <w:tblPr>
        <w:tblStyle w:val="7"/>
        <w:tblW w:w="9784" w:type="dxa"/>
        <w:tblInd w:w="-49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0"/>
        <w:gridCol w:w="1184"/>
        <w:gridCol w:w="4000"/>
        <w:gridCol w:w="1166"/>
        <w:gridCol w:w="1267"/>
        <w:gridCol w:w="1317"/>
      </w:tblGrid>
      <w:tr w14:paraId="6CFC5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784" w:type="dxa"/>
            <w:gridSpan w:val="6"/>
            <w:tcBorders>
              <w:top w:val="nil"/>
              <w:left w:val="nil"/>
              <w:bottom w:val="nil"/>
              <w:right w:val="nil"/>
            </w:tcBorders>
            <w:shd w:val="clear" w:color="auto" w:fill="auto"/>
            <w:vAlign w:val="center"/>
          </w:tcPr>
          <w:p w14:paraId="24717B45">
            <w:pPr>
              <w:keepNext w:val="0"/>
              <w:keepLines w:val="0"/>
              <w:widowControl/>
              <w:suppressLineNumbers w:val="0"/>
              <w:jc w:val="center"/>
              <w:textAlignment w:val="center"/>
              <w:rPr>
                <w:rFonts w:hint="eastAsia" w:ascii="宋体" w:hAnsi="宋体" w:eastAsia="宋体" w:cs="宋体"/>
                <w:b/>
                <w:bCs/>
                <w:i w:val="0"/>
                <w:iCs w:val="0"/>
                <w:snapToGrid w:val="0"/>
                <w:color w:val="000000"/>
                <w:kern w:val="0"/>
                <w:sz w:val="32"/>
                <w:szCs w:val="32"/>
                <w:u w:val="none"/>
                <w:lang w:val="en-US" w:eastAsia="zh-CN" w:bidi="ar"/>
              </w:rPr>
            </w:pPr>
            <w:r>
              <w:rPr>
                <w:rFonts w:hint="eastAsia" w:ascii="宋体" w:hAnsi="宋体" w:eastAsia="宋体" w:cs="宋体"/>
                <w:b/>
                <w:bCs/>
                <w:i w:val="0"/>
                <w:iCs w:val="0"/>
                <w:snapToGrid w:val="0"/>
                <w:color w:val="000000"/>
                <w:kern w:val="0"/>
                <w:sz w:val="32"/>
                <w:szCs w:val="32"/>
                <w:u w:val="none"/>
                <w:lang w:val="en-US" w:eastAsia="zh-CN" w:bidi="ar"/>
              </w:rPr>
              <w:t>增值税计价表</w:t>
            </w:r>
          </w:p>
        </w:tc>
      </w:tr>
      <w:tr w14:paraId="62C5B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9784" w:type="dxa"/>
            <w:gridSpan w:val="6"/>
            <w:tcBorders>
              <w:top w:val="nil"/>
              <w:left w:val="nil"/>
              <w:bottom w:val="nil"/>
              <w:right w:val="nil"/>
            </w:tcBorders>
            <w:shd w:val="clear" w:color="auto" w:fill="auto"/>
            <w:vAlign w:val="top"/>
          </w:tcPr>
          <w:p w14:paraId="237AC13D">
            <w:pPr>
              <w:keepNext w:val="0"/>
              <w:keepLines w:val="0"/>
              <w:widowControl/>
              <w:suppressLineNumbers w:val="0"/>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工程名称：  万安县涧田中心小学运动场及卫生间维修改造项目</w:t>
            </w:r>
          </w:p>
        </w:tc>
      </w:tr>
      <w:tr w14:paraId="37428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85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1A7071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序号</w:t>
            </w:r>
          </w:p>
        </w:tc>
        <w:tc>
          <w:tcPr>
            <w:tcW w:w="118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5AD52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项目名称</w:t>
            </w:r>
          </w:p>
        </w:tc>
        <w:tc>
          <w:tcPr>
            <w:tcW w:w="400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B598A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计算基础说明</w:t>
            </w:r>
          </w:p>
        </w:tc>
        <w:tc>
          <w:tcPr>
            <w:tcW w:w="116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9D6D9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计算基础</w:t>
            </w:r>
          </w:p>
        </w:tc>
        <w:tc>
          <w:tcPr>
            <w:tcW w:w="126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D7BB6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税率（%）</w:t>
            </w:r>
          </w:p>
        </w:tc>
        <w:tc>
          <w:tcPr>
            <w:tcW w:w="1317"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1F56F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金额（元）</w:t>
            </w:r>
          </w:p>
        </w:tc>
      </w:tr>
      <w:tr w14:paraId="015CF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8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826E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20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增值税</w:t>
            </w:r>
          </w:p>
        </w:tc>
        <w:tc>
          <w:tcPr>
            <w:tcW w:w="4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274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分部分项工程费合计+措施项目费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合计+其他项目费合计-其中：  专</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业工程暂估价-分包费_直接费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0C51B">
            <w:pPr>
              <w:jc w:val="right"/>
              <w:rPr>
                <w:rFonts w:hint="eastAsia" w:ascii="宋体" w:hAnsi="宋体" w:eastAsia="宋体" w:cs="宋体"/>
                <w:i w:val="0"/>
                <w:iCs w:val="0"/>
                <w:color w:val="000000"/>
                <w:sz w:val="21"/>
                <w:szCs w:val="21"/>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BDE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 </w:t>
            </w:r>
          </w:p>
        </w:tc>
        <w:tc>
          <w:tcPr>
            <w:tcW w:w="131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56180F">
            <w:pPr>
              <w:jc w:val="left"/>
              <w:rPr>
                <w:rFonts w:hint="eastAsia" w:ascii="宋体" w:hAnsi="宋体" w:eastAsia="宋体" w:cs="宋体"/>
                <w:i w:val="0"/>
                <w:iCs w:val="0"/>
                <w:color w:val="000000"/>
                <w:sz w:val="21"/>
                <w:szCs w:val="21"/>
                <w:u w:val="none"/>
              </w:rPr>
            </w:pPr>
          </w:p>
        </w:tc>
      </w:tr>
      <w:tr w14:paraId="710EA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50" w:type="dxa"/>
            <w:tcBorders>
              <w:top w:val="single" w:color="000000" w:sz="4" w:space="0"/>
              <w:left w:val="single" w:color="000000" w:sz="8" w:space="0"/>
              <w:bottom w:val="single" w:color="000000" w:sz="4" w:space="0"/>
              <w:right w:val="single" w:color="000000" w:sz="4" w:space="0"/>
            </w:tcBorders>
            <w:shd w:val="clear" w:color="auto" w:fill="auto"/>
            <w:vAlign w:val="top"/>
          </w:tcPr>
          <w:p w14:paraId="5EC4D90A">
            <w:pPr>
              <w:jc w:val="left"/>
              <w:rPr>
                <w:rFonts w:hint="eastAsia" w:ascii="宋体" w:hAnsi="宋体" w:eastAsia="宋体" w:cs="宋体"/>
                <w:i w:val="0"/>
                <w:iCs w:val="0"/>
                <w:color w:val="000000"/>
                <w:sz w:val="21"/>
                <w:szCs w:val="21"/>
                <w:u w:val="none"/>
              </w:rPr>
            </w:pP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top"/>
          </w:tcPr>
          <w:p w14:paraId="46197296">
            <w:pPr>
              <w:jc w:val="left"/>
              <w:rPr>
                <w:rFonts w:hint="eastAsia" w:ascii="宋体" w:hAnsi="宋体" w:eastAsia="宋体" w:cs="宋体"/>
                <w:i w:val="0"/>
                <w:iCs w:val="0"/>
                <w:color w:val="000000"/>
                <w:sz w:val="21"/>
                <w:szCs w:val="21"/>
                <w:u w:val="none"/>
              </w:rPr>
            </w:pPr>
          </w:p>
        </w:tc>
        <w:tc>
          <w:tcPr>
            <w:tcW w:w="4000" w:type="dxa"/>
            <w:tcBorders>
              <w:top w:val="single" w:color="000000" w:sz="4" w:space="0"/>
              <w:left w:val="single" w:color="000000" w:sz="4" w:space="0"/>
              <w:bottom w:val="single" w:color="000000" w:sz="4" w:space="0"/>
              <w:right w:val="single" w:color="000000" w:sz="4" w:space="0"/>
            </w:tcBorders>
            <w:shd w:val="clear" w:color="auto" w:fill="auto"/>
            <w:vAlign w:val="top"/>
          </w:tcPr>
          <w:p w14:paraId="4D58E87E">
            <w:pPr>
              <w:jc w:val="left"/>
              <w:rPr>
                <w:rFonts w:hint="eastAsia" w:ascii="宋体" w:hAnsi="宋体" w:eastAsia="宋体" w:cs="宋体"/>
                <w:i w:val="0"/>
                <w:iCs w:val="0"/>
                <w:color w:val="000000"/>
                <w:sz w:val="21"/>
                <w:szCs w:val="21"/>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top"/>
          </w:tcPr>
          <w:p w14:paraId="2BDE9D8B">
            <w:pPr>
              <w:jc w:val="left"/>
              <w:rPr>
                <w:rFonts w:hint="eastAsia" w:ascii="宋体" w:hAnsi="宋体" w:eastAsia="宋体" w:cs="宋体"/>
                <w:i w:val="0"/>
                <w:iCs w:val="0"/>
                <w:color w:val="000000"/>
                <w:sz w:val="21"/>
                <w:szCs w:val="21"/>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top"/>
          </w:tcPr>
          <w:p w14:paraId="665BA936">
            <w:pPr>
              <w:jc w:val="left"/>
              <w:rPr>
                <w:rFonts w:hint="eastAsia" w:ascii="宋体" w:hAnsi="宋体" w:eastAsia="宋体" w:cs="宋体"/>
                <w:i w:val="0"/>
                <w:iCs w:val="0"/>
                <w:color w:val="000000"/>
                <w:sz w:val="21"/>
                <w:szCs w:val="21"/>
                <w:u w:val="none"/>
              </w:rPr>
            </w:pPr>
          </w:p>
        </w:tc>
        <w:tc>
          <w:tcPr>
            <w:tcW w:w="1317" w:type="dxa"/>
            <w:tcBorders>
              <w:top w:val="single" w:color="000000" w:sz="4" w:space="0"/>
              <w:left w:val="single" w:color="000000" w:sz="4" w:space="0"/>
              <w:bottom w:val="single" w:color="000000" w:sz="4" w:space="0"/>
              <w:right w:val="single" w:color="000000" w:sz="8" w:space="0"/>
            </w:tcBorders>
            <w:shd w:val="clear" w:color="auto" w:fill="auto"/>
            <w:vAlign w:val="top"/>
          </w:tcPr>
          <w:p w14:paraId="045BB912">
            <w:pPr>
              <w:jc w:val="left"/>
              <w:rPr>
                <w:rFonts w:hint="eastAsia" w:ascii="宋体" w:hAnsi="宋体" w:eastAsia="宋体" w:cs="宋体"/>
                <w:i w:val="0"/>
                <w:iCs w:val="0"/>
                <w:color w:val="000000"/>
                <w:sz w:val="21"/>
                <w:szCs w:val="21"/>
                <w:u w:val="none"/>
              </w:rPr>
            </w:pPr>
          </w:p>
        </w:tc>
      </w:tr>
      <w:tr w14:paraId="6B64A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50" w:type="dxa"/>
            <w:tcBorders>
              <w:top w:val="single" w:color="000000" w:sz="4" w:space="0"/>
              <w:left w:val="single" w:color="000000" w:sz="8" w:space="0"/>
              <w:bottom w:val="single" w:color="000000" w:sz="4" w:space="0"/>
              <w:right w:val="single" w:color="000000" w:sz="4" w:space="0"/>
            </w:tcBorders>
            <w:shd w:val="clear" w:color="auto" w:fill="auto"/>
            <w:vAlign w:val="top"/>
          </w:tcPr>
          <w:p w14:paraId="42447A62">
            <w:pPr>
              <w:jc w:val="left"/>
              <w:rPr>
                <w:rFonts w:hint="eastAsia" w:ascii="宋体" w:hAnsi="宋体" w:eastAsia="宋体" w:cs="宋体"/>
                <w:i w:val="0"/>
                <w:iCs w:val="0"/>
                <w:color w:val="000000"/>
                <w:sz w:val="21"/>
                <w:szCs w:val="21"/>
                <w:u w:val="none"/>
              </w:rPr>
            </w:pPr>
          </w:p>
        </w:tc>
        <w:tc>
          <w:tcPr>
            <w:tcW w:w="1184" w:type="dxa"/>
            <w:tcBorders>
              <w:top w:val="single" w:color="000000" w:sz="4" w:space="0"/>
              <w:left w:val="single" w:color="000000" w:sz="4" w:space="0"/>
              <w:bottom w:val="single" w:color="000000" w:sz="4" w:space="0"/>
              <w:right w:val="single" w:color="000000" w:sz="4" w:space="0"/>
            </w:tcBorders>
            <w:shd w:val="clear" w:color="auto" w:fill="auto"/>
            <w:vAlign w:val="top"/>
          </w:tcPr>
          <w:p w14:paraId="24C0B48A">
            <w:pPr>
              <w:jc w:val="left"/>
              <w:rPr>
                <w:rFonts w:hint="eastAsia" w:ascii="宋体" w:hAnsi="宋体" w:eastAsia="宋体" w:cs="宋体"/>
                <w:i w:val="0"/>
                <w:iCs w:val="0"/>
                <w:color w:val="000000"/>
                <w:sz w:val="21"/>
                <w:szCs w:val="21"/>
                <w:u w:val="none"/>
              </w:rPr>
            </w:pPr>
          </w:p>
        </w:tc>
        <w:tc>
          <w:tcPr>
            <w:tcW w:w="4000" w:type="dxa"/>
            <w:tcBorders>
              <w:top w:val="single" w:color="000000" w:sz="4" w:space="0"/>
              <w:left w:val="single" w:color="000000" w:sz="4" w:space="0"/>
              <w:bottom w:val="single" w:color="000000" w:sz="4" w:space="0"/>
              <w:right w:val="single" w:color="000000" w:sz="4" w:space="0"/>
            </w:tcBorders>
            <w:shd w:val="clear" w:color="auto" w:fill="auto"/>
            <w:vAlign w:val="top"/>
          </w:tcPr>
          <w:p w14:paraId="786E5369">
            <w:pPr>
              <w:jc w:val="left"/>
              <w:rPr>
                <w:rFonts w:hint="eastAsia" w:ascii="宋体" w:hAnsi="宋体" w:eastAsia="宋体" w:cs="宋体"/>
                <w:i w:val="0"/>
                <w:iCs w:val="0"/>
                <w:color w:val="000000"/>
                <w:sz w:val="21"/>
                <w:szCs w:val="21"/>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top"/>
          </w:tcPr>
          <w:p w14:paraId="513CB9C1">
            <w:pPr>
              <w:jc w:val="left"/>
              <w:rPr>
                <w:rFonts w:hint="eastAsia" w:ascii="宋体" w:hAnsi="宋体" w:eastAsia="宋体" w:cs="宋体"/>
                <w:i w:val="0"/>
                <w:iCs w:val="0"/>
                <w:color w:val="000000"/>
                <w:sz w:val="21"/>
                <w:szCs w:val="21"/>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top"/>
          </w:tcPr>
          <w:p w14:paraId="478C306A">
            <w:pPr>
              <w:jc w:val="left"/>
              <w:rPr>
                <w:rFonts w:hint="eastAsia" w:ascii="宋体" w:hAnsi="宋体" w:eastAsia="宋体" w:cs="宋体"/>
                <w:i w:val="0"/>
                <w:iCs w:val="0"/>
                <w:color w:val="000000"/>
                <w:sz w:val="21"/>
                <w:szCs w:val="21"/>
                <w:u w:val="none"/>
              </w:rPr>
            </w:pPr>
          </w:p>
        </w:tc>
        <w:tc>
          <w:tcPr>
            <w:tcW w:w="1317" w:type="dxa"/>
            <w:tcBorders>
              <w:top w:val="single" w:color="000000" w:sz="4" w:space="0"/>
              <w:left w:val="single" w:color="000000" w:sz="4" w:space="0"/>
              <w:bottom w:val="single" w:color="000000" w:sz="4" w:space="0"/>
              <w:right w:val="single" w:color="000000" w:sz="8" w:space="0"/>
            </w:tcBorders>
            <w:shd w:val="clear" w:color="auto" w:fill="auto"/>
            <w:vAlign w:val="top"/>
          </w:tcPr>
          <w:p w14:paraId="258CB82E">
            <w:pPr>
              <w:jc w:val="left"/>
              <w:rPr>
                <w:rFonts w:hint="eastAsia" w:ascii="宋体" w:hAnsi="宋体" w:eastAsia="宋体" w:cs="宋体"/>
                <w:i w:val="0"/>
                <w:iCs w:val="0"/>
                <w:color w:val="000000"/>
                <w:sz w:val="21"/>
                <w:szCs w:val="21"/>
                <w:u w:val="none"/>
              </w:rPr>
            </w:pPr>
          </w:p>
        </w:tc>
      </w:tr>
      <w:tr w14:paraId="7373C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467" w:type="dxa"/>
            <w:gridSpan w:val="5"/>
            <w:tcBorders>
              <w:top w:val="single" w:color="000000" w:sz="4" w:space="0"/>
              <w:left w:val="single" w:color="000000" w:sz="8" w:space="0"/>
              <w:bottom w:val="single" w:color="000000" w:sz="8" w:space="0"/>
              <w:right w:val="single" w:color="000000" w:sz="4" w:space="0"/>
            </w:tcBorders>
            <w:shd w:val="clear" w:color="auto" w:fill="auto"/>
            <w:vAlign w:val="center"/>
          </w:tcPr>
          <w:p w14:paraId="3ABA03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合计</w:t>
            </w:r>
          </w:p>
        </w:tc>
        <w:tc>
          <w:tcPr>
            <w:tcW w:w="1317"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2B79808">
            <w:pPr>
              <w:jc w:val="left"/>
              <w:rPr>
                <w:rFonts w:hint="eastAsia" w:ascii="宋体" w:hAnsi="宋体" w:eastAsia="宋体" w:cs="宋体"/>
                <w:i w:val="0"/>
                <w:iCs w:val="0"/>
                <w:color w:val="000000"/>
                <w:sz w:val="21"/>
                <w:szCs w:val="21"/>
                <w:u w:val="none"/>
              </w:rPr>
            </w:pPr>
          </w:p>
        </w:tc>
      </w:tr>
    </w:tbl>
    <w:p w14:paraId="5A822C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619" w:leftChars="-295" w:firstLine="0" w:firstLineChars="0"/>
        <w:jc w:val="left"/>
        <w:textAlignment w:val="baseline"/>
        <w:rPr>
          <w:rFonts w:hint="eastAsia" w:ascii="宋体" w:hAnsi="宋体" w:eastAsia="宋体" w:cs="宋体"/>
          <w:snapToGrid w:val="0"/>
          <w:color w:val="000000"/>
          <w:kern w:val="0"/>
          <w:sz w:val="24"/>
          <w:szCs w:val="24"/>
          <w:lang w:val="en-US" w:eastAsia="zh-CN" w:bidi="ar"/>
        </w:rPr>
      </w:pPr>
    </w:p>
    <w:p w14:paraId="7E07E6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2、施工要求 </w:t>
      </w:r>
    </w:p>
    <w:p w14:paraId="6764BF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（1）本项目应按采购人要求及国家、建设部、工程施工技术（验收）规程、规范标准作业，并配合好采购人的施工要求。 </w:t>
      </w:r>
    </w:p>
    <w:p w14:paraId="2D21B7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（2）成交供应商须自行承担项目实施期间的全部安全责任。为所有施工人员购买工伤保险及足额的商业意外伤害险。</w:t>
      </w:r>
      <w:r>
        <w:rPr>
          <w:rFonts w:hint="default" w:ascii="Segoe UI" w:hAnsi="Segoe UI" w:eastAsia="Segoe UI" w:cs="Segoe UI"/>
          <w:i w:val="0"/>
          <w:iCs w:val="0"/>
          <w:caps w:val="0"/>
          <w:color w:val="0F1115"/>
          <w:spacing w:val="0"/>
          <w:sz w:val="24"/>
          <w:szCs w:val="24"/>
          <w:shd w:val="clear" w:fill="FFFFFF"/>
        </w:rPr>
        <w:t>保险购买义务的履行风险均由成交供应商自行承担，采购人概不负责。</w:t>
      </w:r>
      <w:r>
        <w:rPr>
          <w:rFonts w:hint="eastAsia" w:ascii="宋体" w:hAnsi="宋体" w:eastAsia="宋体" w:cs="宋体"/>
          <w:b/>
          <w:bCs/>
          <w:snapToGrid w:val="0"/>
          <w:color w:val="000000"/>
          <w:kern w:val="0"/>
          <w:sz w:val="24"/>
          <w:szCs w:val="24"/>
          <w:lang w:val="en-US" w:eastAsia="zh-CN" w:bidi="ar"/>
        </w:rPr>
        <w:t xml:space="preserve"> </w:t>
      </w:r>
      <w:r>
        <w:rPr>
          <w:rFonts w:hint="eastAsia" w:ascii="宋体" w:hAnsi="宋体" w:eastAsia="宋体" w:cs="宋体"/>
          <w:snapToGrid w:val="0"/>
          <w:color w:val="000000"/>
          <w:kern w:val="0"/>
          <w:sz w:val="24"/>
          <w:szCs w:val="24"/>
          <w:lang w:val="en-US" w:eastAsia="zh-CN" w:bidi="ar"/>
        </w:rPr>
        <w:t xml:space="preserve"> </w:t>
      </w:r>
    </w:p>
    <w:p w14:paraId="47BEE1F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b/>
          <w:bCs/>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3</w:t>
      </w:r>
      <w:r>
        <w:rPr>
          <w:rFonts w:hint="eastAsia" w:ascii="宋体" w:hAnsi="宋体" w:eastAsia="宋体"/>
          <w:color w:val="auto"/>
          <w:sz w:val="24"/>
          <w:szCs w:val="24"/>
          <w:highlight w:val="none"/>
          <w:lang w:eastAsia="zh-CN"/>
        </w:rPr>
        <w:t>）</w:t>
      </w:r>
      <w:r>
        <w:rPr>
          <w:rFonts w:hint="eastAsia" w:eastAsia="宋体"/>
          <w:b/>
          <w:bCs/>
          <w:color w:val="auto"/>
          <w:sz w:val="24"/>
          <w:szCs w:val="24"/>
          <w:highlight w:val="none"/>
          <w:lang w:val="en-US" w:eastAsia="zh-CN"/>
        </w:rPr>
        <w:t>清单中标“★”属于强制节能产品，响应供应商在响应文件报价一览明细表中必须明确产品品牌、型号，并在响应文件中提供该型号对应的《节能产品认证证书》扫描件或中国政府采购网节能产品查询截图加盖响应供应商公章。</w:t>
      </w:r>
    </w:p>
    <w:p w14:paraId="129C5A7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3、安全文明施工 </w:t>
      </w:r>
    </w:p>
    <w:p w14:paraId="38B33D1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（1）保证按照指定地点堆放扩建物料，不大量堆积扩建的物料，采用各种措施降噪、降尘，并符合有关规定。 </w:t>
      </w:r>
    </w:p>
    <w:p w14:paraId="1BD9625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（2）结构及保留设施保护对于回收材料及设备，在指定地点停放，并派专人看管等待处理。对于保留的设施采用必要的防护，保证其在扩建施工过程中不受损坏。 </w:t>
      </w:r>
    </w:p>
    <w:p w14:paraId="7DD2790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及时将垃圾清运出场。垃圾清运通道应及时洒水降尘。做好对施工人员的技术交底，并对参施人员进行质量及安全教育；机械施工时，设专人指导，严格按操作规程进行施工作业，不得违章施工；施工过程中严格执行施工过程控制程序，确保施工质量。 </w:t>
      </w:r>
    </w:p>
    <w:p w14:paraId="1262C7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（4）机械设备使用做到定人、定机、定岗位， 明确责任。用电时应做到一机、一闸、一保险，配电箱应有门锁及防雨措施。现场安全负责人对违章作业，违章指挥现象，必须做到严格、 严肃、果断和及时地纠正和处理。电动机械和电动工具必需漏电保护器，其保护零线的电气连接应符合要求。扩建堆放的材料场地，要专人看管，加强治安保卫，严禁烟火，要配有一定的消防器材，以防万一。 </w:t>
      </w:r>
    </w:p>
    <w:p w14:paraId="23F4DC7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（5）如经采购人现场考核施工现场、人员或相关方面不合格的，应立即按采购人要求整改，整改期间造成的损失由成交供应商承担。 </w:t>
      </w:r>
    </w:p>
    <w:p w14:paraId="43C0F90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现场勘查：供应商可自行安排时间进行实地勘察,为报价取得依据，一旦成交，不得以不了解现场情况为理由而提出额外费用，采购人将不予考虑。踏勘现场的费用自理，在现场考察过程中，供应商如果发生人身伤亡、财物或其它损失，不论何种原因造成，均由供应商自负。 </w:t>
      </w:r>
    </w:p>
    <w:p w14:paraId="21B34B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5、企业及人员要求： </w:t>
      </w:r>
    </w:p>
    <w:p w14:paraId="7EA1A80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（1）供应商须具有市政公用工程施工总承包三级及以上资质及安全生产许可证</w:t>
      </w:r>
      <w:r>
        <w:rPr>
          <w:rFonts w:hint="eastAsia" w:ascii="宋体" w:hAnsi="宋体" w:eastAsia="宋体" w:cs="宋体"/>
          <w:b/>
          <w:bCs/>
          <w:snapToGrid w:val="0"/>
          <w:color w:val="000000"/>
          <w:kern w:val="0"/>
          <w:sz w:val="24"/>
          <w:szCs w:val="24"/>
          <w:lang w:val="en-US" w:eastAsia="zh-CN" w:bidi="ar"/>
        </w:rPr>
        <w:t xml:space="preserve">（提供证书扫描件加盖响应供应商公章）。 </w:t>
      </w:r>
    </w:p>
    <w:p w14:paraId="7805CEE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（2）项目负责人：具有市政公用工程专业二级及以上建造师证书及安全考核证书 B 类证书</w:t>
      </w:r>
      <w:r>
        <w:rPr>
          <w:rFonts w:hint="eastAsia" w:ascii="宋体" w:hAnsi="宋体" w:eastAsia="宋体" w:cs="宋体"/>
          <w:b/>
          <w:bCs/>
          <w:snapToGrid w:val="0"/>
          <w:color w:val="000000"/>
          <w:kern w:val="0"/>
          <w:sz w:val="24"/>
          <w:szCs w:val="24"/>
          <w:lang w:val="en-US" w:eastAsia="zh-CN" w:bidi="ar"/>
        </w:rPr>
        <w:t>（提供证书扫描件、开标前六个月任意一个月供应商为其缴纳的</w:t>
      </w:r>
      <w:r>
        <w:rPr>
          <w:rFonts w:hint="eastAsia" w:ascii="宋体" w:hAnsi="宋体" w:eastAsia="宋体" w:cs="宋体"/>
          <w:b/>
          <w:bCs/>
          <w:color w:val="auto"/>
          <w:spacing w:val="-1"/>
          <w:sz w:val="24"/>
          <w:szCs w:val="24"/>
          <w:lang w:val="en-US" w:eastAsia="zh-CN"/>
        </w:rPr>
        <w:t>社会基本养老保险</w:t>
      </w:r>
      <w:r>
        <w:rPr>
          <w:rFonts w:hint="eastAsia" w:ascii="宋体" w:hAnsi="宋体" w:eastAsia="宋体" w:cs="宋体"/>
          <w:b/>
          <w:bCs/>
          <w:snapToGrid w:val="0"/>
          <w:color w:val="000000"/>
          <w:kern w:val="0"/>
          <w:sz w:val="24"/>
          <w:szCs w:val="24"/>
          <w:lang w:val="en-US" w:eastAsia="zh-CN" w:bidi="ar"/>
        </w:rPr>
        <w:t>证明加盖响应供应商公章）</w:t>
      </w:r>
      <w:r>
        <w:rPr>
          <w:rFonts w:hint="eastAsia" w:ascii="宋体" w:hAnsi="宋体" w:eastAsia="宋体" w:cs="宋体"/>
          <w:b w:val="0"/>
          <w:bCs w:val="0"/>
          <w:snapToGrid w:val="0"/>
          <w:color w:val="000000"/>
          <w:kern w:val="0"/>
          <w:sz w:val="24"/>
          <w:szCs w:val="24"/>
          <w:lang w:val="en-US" w:eastAsia="zh-CN" w:bidi="ar"/>
        </w:rPr>
        <w:t>。</w:t>
      </w:r>
    </w:p>
    <w:p w14:paraId="3B7428B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b w:val="0"/>
          <w:bCs w:val="0"/>
        </w:rPr>
      </w:pPr>
      <w:r>
        <w:rPr>
          <w:rFonts w:hint="eastAsia" w:ascii="宋体" w:hAnsi="宋体" w:eastAsia="宋体" w:cs="宋体"/>
          <w:b w:val="0"/>
          <w:bCs w:val="0"/>
          <w:snapToGrid w:val="0"/>
          <w:color w:val="000000"/>
          <w:kern w:val="0"/>
          <w:sz w:val="24"/>
          <w:szCs w:val="24"/>
          <w:lang w:val="en-US" w:eastAsia="zh-CN" w:bidi="ar"/>
        </w:rPr>
        <w:t>（3）市政四大员：施工员、质量员、材料员提供有效的岗位证书或职业培训合格证，专职安全员提供 C 类安全生产考核合格证书，其中“施工员、质量员”均为市政专业。</w:t>
      </w:r>
      <w:r>
        <w:rPr>
          <w:rFonts w:hint="eastAsia" w:ascii="宋体" w:hAnsi="宋体" w:eastAsia="宋体" w:cs="宋体"/>
          <w:b/>
          <w:bCs/>
          <w:snapToGrid w:val="0"/>
          <w:color w:val="000000"/>
          <w:kern w:val="0"/>
          <w:sz w:val="24"/>
          <w:szCs w:val="24"/>
          <w:lang w:val="en-US" w:eastAsia="zh-CN" w:bidi="ar"/>
        </w:rPr>
        <w:t>（提供证书扫描件、开标前六个月任意一个月供应商为其缴纳的</w:t>
      </w:r>
      <w:r>
        <w:rPr>
          <w:rFonts w:hint="eastAsia" w:ascii="宋体" w:hAnsi="宋体" w:eastAsia="宋体" w:cs="宋体"/>
          <w:b/>
          <w:bCs/>
          <w:color w:val="auto"/>
          <w:spacing w:val="-1"/>
          <w:sz w:val="24"/>
          <w:szCs w:val="24"/>
          <w:lang w:val="en-US" w:eastAsia="zh-CN"/>
        </w:rPr>
        <w:t>社会基本养老保险</w:t>
      </w:r>
      <w:r>
        <w:rPr>
          <w:rFonts w:ascii="宋体" w:hAnsi="宋体" w:eastAsia="宋体" w:cs="宋体"/>
          <w:b/>
          <w:bCs/>
          <w:color w:val="auto"/>
          <w:spacing w:val="-1"/>
          <w:sz w:val="24"/>
          <w:szCs w:val="24"/>
        </w:rPr>
        <w:t>证明</w:t>
      </w:r>
      <w:r>
        <w:rPr>
          <w:rFonts w:hint="eastAsia" w:ascii="宋体" w:hAnsi="宋体" w:eastAsia="宋体" w:cs="宋体"/>
          <w:b/>
          <w:bCs/>
          <w:color w:val="auto"/>
          <w:spacing w:val="-1"/>
          <w:sz w:val="24"/>
          <w:szCs w:val="24"/>
          <w:lang w:val="en-US" w:eastAsia="zh-CN"/>
        </w:rPr>
        <w:t>材料扫描件加盖</w:t>
      </w:r>
      <w:r>
        <w:rPr>
          <w:rFonts w:hint="eastAsia" w:ascii="宋体" w:hAnsi="宋体" w:eastAsia="宋体" w:cs="宋体"/>
          <w:b/>
          <w:bCs/>
          <w:snapToGrid w:val="0"/>
          <w:color w:val="000000"/>
          <w:kern w:val="0"/>
          <w:sz w:val="24"/>
          <w:szCs w:val="24"/>
          <w:lang w:val="en-US" w:eastAsia="zh-CN" w:bidi="ar"/>
        </w:rPr>
        <w:t>响应</w:t>
      </w:r>
      <w:r>
        <w:rPr>
          <w:rFonts w:hint="eastAsia" w:ascii="宋体" w:hAnsi="宋体" w:eastAsia="宋体" w:cs="宋体"/>
          <w:b/>
          <w:bCs/>
          <w:color w:val="auto"/>
          <w:spacing w:val="-1"/>
          <w:sz w:val="24"/>
          <w:szCs w:val="24"/>
          <w:lang w:val="en-US" w:eastAsia="zh-CN"/>
        </w:rPr>
        <w:t>供应商公章</w:t>
      </w:r>
      <w:r>
        <w:rPr>
          <w:rFonts w:hint="eastAsia" w:ascii="宋体" w:hAnsi="宋体" w:eastAsia="宋体" w:cs="宋体"/>
          <w:b/>
          <w:bCs/>
          <w:snapToGrid w:val="0"/>
          <w:color w:val="000000"/>
          <w:kern w:val="0"/>
          <w:sz w:val="24"/>
          <w:szCs w:val="24"/>
          <w:lang w:val="en-US" w:eastAsia="zh-CN" w:bidi="ar"/>
        </w:rPr>
        <w:t>）</w:t>
      </w:r>
      <w:r>
        <w:rPr>
          <w:rFonts w:hint="eastAsia" w:ascii="宋体" w:hAnsi="宋体" w:eastAsia="宋体" w:cs="宋体"/>
          <w:b w:val="0"/>
          <w:bCs w:val="0"/>
          <w:snapToGrid w:val="0"/>
          <w:color w:val="000000"/>
          <w:kern w:val="0"/>
          <w:sz w:val="24"/>
          <w:szCs w:val="24"/>
          <w:lang w:val="en-US" w:eastAsia="zh-CN" w:bidi="ar"/>
        </w:rPr>
        <w:t>。</w:t>
      </w:r>
    </w:p>
    <w:p w14:paraId="77CD8A6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（4）</w:t>
      </w:r>
      <w:r>
        <w:rPr>
          <w:rFonts w:ascii="Segoe UI" w:hAnsi="Segoe UI" w:eastAsia="Segoe UI" w:cs="Segoe UI"/>
          <w:b w:val="0"/>
          <w:bCs w:val="0"/>
          <w:i w:val="0"/>
          <w:iCs w:val="0"/>
          <w:caps w:val="0"/>
          <w:color w:val="0F1115"/>
          <w:spacing w:val="0"/>
          <w:sz w:val="24"/>
          <w:szCs w:val="24"/>
          <w:shd w:val="clear" w:fill="FFFFFF"/>
        </w:rPr>
        <w:t>拟派人员无在建工程及无一人多岗要求</w:t>
      </w:r>
      <w:r>
        <w:rPr>
          <w:rFonts w:hint="eastAsia" w:ascii="Segoe UI" w:hAnsi="Segoe UI" w:eastAsia="宋体" w:cs="Segoe UI"/>
          <w:b w:val="0"/>
          <w:bCs w:val="0"/>
          <w:i w:val="0"/>
          <w:iCs w:val="0"/>
          <w:caps w:val="0"/>
          <w:color w:val="0F1115"/>
          <w:spacing w:val="0"/>
          <w:sz w:val="24"/>
          <w:szCs w:val="24"/>
          <w:shd w:val="clear" w:fill="FFFFFF"/>
          <w:lang w:eastAsia="zh-CN"/>
        </w:rPr>
        <w:t>：</w:t>
      </w:r>
      <w:r>
        <w:rPr>
          <w:rFonts w:ascii="Segoe UI" w:hAnsi="Segoe UI" w:eastAsia="Segoe UI" w:cs="Segoe UI"/>
          <w:i w:val="0"/>
          <w:iCs w:val="0"/>
          <w:caps w:val="0"/>
          <w:color w:val="0F1115"/>
          <w:spacing w:val="0"/>
          <w:sz w:val="24"/>
          <w:szCs w:val="24"/>
          <w:shd w:val="clear" w:fill="FFFFFF"/>
        </w:rPr>
        <w:t>投标人拟派本项目的项目负责人及“四大员”，截至本项目投标截止时间止，均不得在任何其他在建项目中担任相同或类似岗位，不得存在一人多岗现象，亦不得在其他项目中标公示中被列为同类岗位候选人员；若上述人员目前确已在其他在建项目中任职同类岗位的，须在投标截止时间前按规定程序办理完成人员变更手续并取得书面变更批准文件，投标人须在开标时主动书面告知采购人，并将变更批准手续复印件（加盖投标人公章）随响应文件一并提交，开标后提供或补充的变更材料一律不予认可。</w:t>
      </w:r>
      <w:r>
        <w:rPr>
          <w:rFonts w:ascii="Segoe UI" w:hAnsi="Segoe UI" w:eastAsia="Segoe UI" w:cs="Segoe UI"/>
          <w:b/>
          <w:bCs/>
          <w:i w:val="0"/>
          <w:iCs w:val="0"/>
          <w:caps w:val="0"/>
          <w:color w:val="0F1115"/>
          <w:spacing w:val="0"/>
          <w:sz w:val="24"/>
          <w:szCs w:val="24"/>
          <w:shd w:val="clear" w:fill="FFFFFF"/>
        </w:rPr>
        <w:t>（响应文件中须提供加盖单位公章及法定代表人签字或盖章的《拟派人员无在建工程及无一人多岗承诺函》，格式</w:t>
      </w:r>
      <w:r>
        <w:rPr>
          <w:rFonts w:hint="eastAsia" w:ascii="Segoe UI" w:hAnsi="Segoe UI" w:eastAsia="宋体" w:cs="Segoe UI"/>
          <w:b/>
          <w:bCs/>
          <w:i w:val="0"/>
          <w:iCs w:val="0"/>
          <w:caps w:val="0"/>
          <w:color w:val="0F1115"/>
          <w:spacing w:val="0"/>
          <w:sz w:val="24"/>
          <w:szCs w:val="24"/>
          <w:shd w:val="clear" w:fill="FFFFFF"/>
          <w:lang w:val="en-US" w:eastAsia="zh-CN"/>
        </w:rPr>
        <w:t>自拟</w:t>
      </w:r>
      <w:r>
        <w:rPr>
          <w:rFonts w:ascii="Segoe UI" w:hAnsi="Segoe UI" w:eastAsia="Segoe UI" w:cs="Segoe UI"/>
          <w:b/>
          <w:bCs/>
          <w:i w:val="0"/>
          <w:iCs w:val="0"/>
          <w:caps w:val="0"/>
          <w:color w:val="0F1115"/>
          <w:spacing w:val="0"/>
          <w:sz w:val="24"/>
          <w:szCs w:val="24"/>
          <w:shd w:val="clear" w:fill="FFFFFF"/>
        </w:rPr>
        <w:t>；未提供、承诺内容不符合上述要求或印章不齐全的，视为无效响应。）</w:t>
      </w:r>
    </w:p>
    <w:p w14:paraId="312A2A11">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right="0"/>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w:t>
      </w:r>
      <w:r>
        <w:rPr>
          <w:rFonts w:hint="eastAsia" w:cs="宋体"/>
          <w:i w:val="0"/>
          <w:iCs w:val="0"/>
          <w:caps w:val="0"/>
          <w:color w:val="auto"/>
          <w:spacing w:val="0"/>
          <w:sz w:val="24"/>
          <w:szCs w:val="24"/>
          <w:shd w:val="clear" w:fill="FFFFFF"/>
          <w:lang w:val="en-US" w:eastAsia="zh-CN"/>
        </w:rPr>
        <w:t>5</w:t>
      </w:r>
      <w:r>
        <w:rPr>
          <w:rFonts w:hint="eastAsia" w:ascii="宋体" w:hAnsi="宋体" w:eastAsia="宋体" w:cs="宋体"/>
          <w:i w:val="0"/>
          <w:iCs w:val="0"/>
          <w:caps w:val="0"/>
          <w:color w:val="auto"/>
          <w:spacing w:val="0"/>
          <w:sz w:val="24"/>
          <w:szCs w:val="24"/>
          <w:shd w:val="clear" w:fill="FFFFFF"/>
        </w:rPr>
        <w:t>）人员变更的严格限制：项目施工阶段至工程交工或竣工验收期间，项目建造师（项目经理）、专职安全员、质量员、施工员等关键岗位人员，除死亡、丧失劳动能力、参军入伍等情形外，原则上不得变更。因上述特殊原因，确实需要变更关键岗位人员的，必须提供证明材料，经采购人、行政监督部门等核实后，符合要求的，按规定办理相关手续。无论何种原因变更关键岗位人员，变更后的关键的岗位人员业绩、 信誉、执业资格和职称等应符合采购文件及合同约定有关要求，不得低于变更前人员的相应条件，且至少在项目开标前在中标单位缴纳社保 6 个月中任一个月。</w:t>
      </w:r>
    </w:p>
    <w:p w14:paraId="61AF8CB9">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right="0"/>
        <w:textAlignment w:val="auto"/>
        <w:rPr>
          <w:rFonts w:hint="eastAsia" w:ascii="宋体" w:hAnsi="宋体" w:eastAsia="宋体" w:cs="宋体"/>
          <w:b/>
          <w:bCs/>
          <w:i w:val="0"/>
          <w:iCs w:val="0"/>
          <w:caps w:val="0"/>
          <w:color w:val="auto"/>
          <w:spacing w:val="0"/>
          <w:sz w:val="24"/>
          <w:szCs w:val="24"/>
          <w:shd w:val="clear" w:fill="FFFFFF"/>
        </w:rPr>
      </w:pPr>
      <w:r>
        <w:rPr>
          <w:rFonts w:hint="eastAsia" w:ascii="Calibri" w:hAnsi="Calibri" w:cs="Calibri"/>
          <w:b/>
          <w:bCs/>
          <w:i w:val="0"/>
          <w:iCs w:val="0"/>
          <w:caps w:val="0"/>
          <w:color w:val="auto"/>
          <w:spacing w:val="0"/>
          <w:sz w:val="24"/>
          <w:szCs w:val="24"/>
          <w:shd w:val="clear" w:fill="FFFFFF"/>
          <w:lang w:val="en-US" w:eastAsia="zh-CN"/>
        </w:rPr>
        <w:t>（6）</w:t>
      </w:r>
      <w:r>
        <w:rPr>
          <w:rFonts w:hint="eastAsia" w:ascii="宋体" w:hAnsi="宋体" w:eastAsia="宋体" w:cs="宋体"/>
          <w:b/>
          <w:bCs/>
          <w:i w:val="0"/>
          <w:iCs w:val="0"/>
          <w:caps w:val="0"/>
          <w:color w:val="auto"/>
          <w:spacing w:val="0"/>
          <w:sz w:val="24"/>
          <w:szCs w:val="24"/>
          <w:shd w:val="clear" w:fill="FFFFFF"/>
        </w:rPr>
        <w:t>多项目中标冲突处理规则：若同一</w:t>
      </w:r>
      <w:r>
        <w:rPr>
          <w:rFonts w:hint="eastAsia" w:ascii="宋体" w:hAnsi="宋体" w:eastAsia="宋体" w:cs="宋体"/>
          <w:b/>
          <w:bCs/>
          <w:i w:val="0"/>
          <w:iCs w:val="0"/>
          <w:caps w:val="0"/>
          <w:color w:val="auto"/>
          <w:spacing w:val="0"/>
          <w:sz w:val="24"/>
          <w:szCs w:val="24"/>
          <w:shd w:val="clear" w:fill="FFFFFF"/>
          <w:lang w:val="en-US" w:eastAsia="zh-CN"/>
        </w:rPr>
        <w:t>项目负责人及</w:t>
      </w:r>
      <w:r>
        <w:rPr>
          <w:rFonts w:hint="eastAsia" w:ascii="宋体" w:hAnsi="宋体" w:eastAsia="宋体" w:cs="宋体"/>
          <w:b/>
          <w:bCs/>
          <w:i w:val="0"/>
          <w:iCs w:val="0"/>
          <w:caps w:val="0"/>
          <w:color w:val="auto"/>
          <w:spacing w:val="0"/>
          <w:sz w:val="24"/>
          <w:szCs w:val="24"/>
          <w:shd w:val="clear" w:fill="FFFFFF"/>
        </w:rPr>
        <w:t>关键岗位人员在本项目投标截止时间前后同时参与了其他项目的投标</w:t>
      </w:r>
      <w:r>
        <w:rPr>
          <w:rFonts w:hint="eastAsia" w:cs="宋体"/>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且均被列为第一中标候选人</w:t>
      </w:r>
      <w:r>
        <w:rPr>
          <w:rFonts w:hint="eastAsia" w:ascii="宋体" w:hAnsi="宋体" w:eastAsia="宋体"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lang w:val="en-US" w:eastAsia="zh-CN"/>
        </w:rPr>
        <w:t>或</w:t>
      </w:r>
      <w:r>
        <w:rPr>
          <w:rFonts w:hint="eastAsia" w:ascii="宋体" w:hAnsi="宋体" w:eastAsia="宋体" w:cs="宋体"/>
          <w:b/>
          <w:bCs/>
          <w:i w:val="0"/>
          <w:iCs w:val="0"/>
          <w:caps w:val="0"/>
          <w:color w:val="auto"/>
          <w:spacing w:val="0"/>
          <w:sz w:val="24"/>
          <w:szCs w:val="24"/>
          <w:shd w:val="clear" w:fill="FFFFFF"/>
        </w:rPr>
        <w:t>在本项目中标候选人公示期间被发现已在其他项目中列为第一中标候选人，</w:t>
      </w:r>
      <w:r>
        <w:rPr>
          <w:rFonts w:ascii="Segoe UI" w:hAnsi="Segoe UI" w:eastAsia="Segoe UI" w:cs="Segoe UI"/>
          <w:b/>
          <w:bCs/>
          <w:i w:val="0"/>
          <w:iCs w:val="0"/>
          <w:caps w:val="0"/>
          <w:color w:val="auto"/>
          <w:spacing w:val="0"/>
          <w:sz w:val="24"/>
          <w:szCs w:val="24"/>
          <w:shd w:val="clear" w:fill="FFFFFF"/>
        </w:rPr>
        <w:t>或中标后被查实上述人员已被其他项目中标锁定</w:t>
      </w:r>
      <w:r>
        <w:rPr>
          <w:rFonts w:hint="eastAsia" w:ascii="Segoe UI" w:hAnsi="Segoe UI" w:eastAsia="宋体" w:cs="Segoe UI"/>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则投标人必须在本项目中标结果公示期间或自收到中标通知书之日起1个工作日内，向采购人提交放弃其他项目中标资格</w:t>
      </w:r>
      <w:r>
        <w:rPr>
          <w:rFonts w:hint="eastAsia" w:ascii="Segoe UI" w:hAnsi="Segoe UI" w:eastAsia="宋体" w:cs="Segoe UI"/>
          <w:b/>
          <w:bCs/>
          <w:i w:val="0"/>
          <w:iCs w:val="0"/>
          <w:caps w:val="0"/>
          <w:color w:val="auto"/>
          <w:spacing w:val="0"/>
          <w:sz w:val="24"/>
          <w:szCs w:val="24"/>
          <w:shd w:val="clear" w:fill="FFFFFF"/>
          <w:lang w:val="en-US" w:eastAsia="zh-CN"/>
        </w:rPr>
        <w:t>的</w:t>
      </w:r>
      <w:r>
        <w:rPr>
          <w:rFonts w:ascii="Segoe UI" w:hAnsi="Segoe UI" w:eastAsia="Segoe UI" w:cs="Segoe UI"/>
          <w:b/>
          <w:bCs/>
          <w:i w:val="0"/>
          <w:iCs w:val="0"/>
          <w:caps w:val="0"/>
          <w:color w:val="auto"/>
          <w:spacing w:val="0"/>
          <w:sz w:val="24"/>
          <w:szCs w:val="24"/>
          <w:shd w:val="clear" w:fill="FFFFFF"/>
        </w:rPr>
        <w:t>书面文件；</w:t>
      </w:r>
      <w:r>
        <w:rPr>
          <w:rFonts w:hint="eastAsia" w:ascii="宋体" w:hAnsi="宋体" w:eastAsia="宋体" w:cs="宋体"/>
          <w:b/>
          <w:bCs/>
          <w:i w:val="0"/>
          <w:iCs w:val="0"/>
          <w:caps w:val="0"/>
          <w:color w:val="auto"/>
          <w:spacing w:val="0"/>
          <w:sz w:val="24"/>
          <w:szCs w:val="24"/>
          <w:shd w:val="clear" w:fill="FFFFFF"/>
        </w:rPr>
        <w:t>逾期未提交的，采购人上报财政部门</w:t>
      </w:r>
      <w:r>
        <w:rPr>
          <w:rFonts w:hint="eastAsia"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rPr>
        <w:t>依据《政府采购法》第七十七条、《政府采购法实施条例》第七十二条予以处罚</w:t>
      </w:r>
      <w:r>
        <w:rPr>
          <w:rFonts w:hint="eastAsia" w:cs="宋体"/>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并有权决定依序递补下一中标候选人为中标供应商或重新组织招标</w:t>
      </w:r>
      <w:r>
        <w:rPr>
          <w:rFonts w:hint="eastAsia" w:ascii="宋体" w:hAnsi="宋体" w:eastAsia="宋体" w:cs="宋体"/>
          <w:b/>
          <w:bCs/>
          <w:i w:val="0"/>
          <w:iCs w:val="0"/>
          <w:caps w:val="0"/>
          <w:color w:val="auto"/>
          <w:spacing w:val="0"/>
          <w:sz w:val="24"/>
          <w:szCs w:val="24"/>
          <w:shd w:val="clear" w:fill="FFFFFF"/>
        </w:rPr>
        <w:t>，由此造成的项目延误损失由原中标供应商</w:t>
      </w:r>
      <w:r>
        <w:rPr>
          <w:rFonts w:ascii="Segoe UI" w:hAnsi="Segoe UI" w:eastAsia="Segoe UI" w:cs="Segoe UI"/>
          <w:b/>
          <w:bCs/>
          <w:i w:val="0"/>
          <w:iCs w:val="0"/>
          <w:caps w:val="0"/>
          <w:color w:val="auto"/>
          <w:spacing w:val="0"/>
          <w:sz w:val="24"/>
          <w:szCs w:val="24"/>
          <w:shd w:val="clear" w:fill="FFFFFF"/>
        </w:rPr>
        <w:t>全额</w:t>
      </w:r>
      <w:r>
        <w:rPr>
          <w:rFonts w:hint="eastAsia" w:ascii="宋体" w:hAnsi="宋体" w:eastAsia="宋体" w:cs="宋体"/>
          <w:b/>
          <w:bCs/>
          <w:i w:val="0"/>
          <w:iCs w:val="0"/>
          <w:caps w:val="0"/>
          <w:color w:val="auto"/>
          <w:spacing w:val="0"/>
          <w:sz w:val="24"/>
          <w:szCs w:val="24"/>
          <w:shd w:val="clear" w:fill="FFFFFF"/>
        </w:rPr>
        <w:t>承担；同时</w:t>
      </w:r>
      <w:r>
        <w:rPr>
          <w:rFonts w:hint="eastAsia"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rPr>
        <w:t>采购人将相关情况书面报告财政部门，依法追究其虚假应标的相应法律责任。</w:t>
      </w:r>
    </w:p>
    <w:p w14:paraId="7CBC98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b/>
          <w:bCs/>
          <w:snapToGrid w:val="0"/>
          <w:color w:val="000000"/>
          <w:kern w:val="0"/>
          <w:sz w:val="24"/>
          <w:szCs w:val="24"/>
          <w:lang w:val="en-US" w:eastAsia="zh-CN" w:bidi="ar"/>
        </w:rPr>
        <w:t xml:space="preserve"> </w:t>
      </w:r>
      <w:r>
        <w:rPr>
          <w:rFonts w:hint="eastAsia" w:ascii="宋体" w:hAnsi="宋体" w:eastAsia="宋体" w:cs="宋体"/>
          <w:snapToGrid w:val="0"/>
          <w:color w:val="000000"/>
          <w:kern w:val="0"/>
          <w:sz w:val="24"/>
          <w:szCs w:val="24"/>
          <w:lang w:val="en-US" w:eastAsia="zh-CN" w:bidi="ar"/>
        </w:rPr>
        <w:t xml:space="preserve">7、质量要求： </w:t>
      </w:r>
    </w:p>
    <w:p w14:paraId="24AAEA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材料供应要求：①材料由供应商按设计质量、规范要求自行采购，但质量、品牌、供货地点采购前须征得采购单位和监理单位同意并提供材料样品后方可采购使用。②凡供应商采购的主要材料，必须提供出厂合格证书及试验资料，水泥、砂、石等进场后均必须做二次试验并将试验报告送采购人，坚决杜绝不合格材料进入施工现场，否则，采购人有权制止使用并追究成交供应商的违约责任。 </w:t>
      </w:r>
    </w:p>
    <w:p w14:paraId="02A9871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本工程的工程质量应符合国家工程质量验收标准合格要求。成交供应商应按现行的国家施工验收规范和质量评定标准及施工图纸、施工说明书等技术文件为依据施工。如工程质量达不到约定条件的部分，一经发现，可要求成交供应商返工，直至达到合同约定条件，并由成交供应商承担返工及相关材料费用。返工后仍达不到约定条件，应继续返工到约定条件或合格标准。 </w:t>
      </w:r>
    </w:p>
    <w:p w14:paraId="739304E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8、验收要求 </w:t>
      </w:r>
    </w:p>
    <w:p w14:paraId="36DE263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（1）必须在规定的时间内，按照采购人提出的标准要求完成交办项目，并及时以书面形式向采购人申请验收，验收标准应按国家、建设部、工程施工技术（验收）规程、规范标准进行验收。 </w:t>
      </w:r>
    </w:p>
    <w:p w14:paraId="55E760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（2）在验收过程中发现技术问题，成交供应商应负责按照采购人的要求采取补足、更换等措施妥善处理，并承担由此发生的一切费用和损失。 </w:t>
      </w:r>
    </w:p>
    <w:p w14:paraId="1D5893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（3）验收结果需整改的，成交供应商必须在采购人规定的时间内进行整改，直至项目通过验收，采购人出具验收单。 </w:t>
      </w:r>
    </w:p>
    <w:p w14:paraId="1CEF1D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（4）项目结算时，须附项目验收单作为依据，验收所产生的一切费用由成交供应商全部承担。 </w:t>
      </w:r>
    </w:p>
    <w:p w14:paraId="451770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9、本工程项目须严格遵守《建筑法》《建设工程质量管理条例》及项目所在地住房和城乡建设主管部门的监管规定。项目开工前，采购人（建设单位）负责按规定向住建部门申领《建筑工程施工许可证》，供应商应按采购人要求，及时、如实地提供申领所需的施工组织设计、资质证书、人员证件等全部材料。施工过程中，供应商必须无条件接受住建主管部门及其委托的质量、安全监督机构的监管检查，工程竣工验收合格后，供应商应在 7 日内向采购人完整移交竣工验收备案所需的技术档案、质量保修书等法定资料，配合采购人完成竣工验收备案。</w:t>
      </w:r>
    </w:p>
    <w:p w14:paraId="4AF5A96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default"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三、商务要求</w:t>
      </w:r>
    </w:p>
    <w:p w14:paraId="02948E4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pPr>
      <w:r>
        <w:rPr>
          <w:rFonts w:hint="eastAsia" w:ascii="宋体" w:hAnsi="宋体" w:eastAsia="宋体" w:cs="宋体"/>
          <w:snapToGrid w:val="0"/>
          <w:color w:val="000000"/>
          <w:kern w:val="0"/>
          <w:sz w:val="24"/>
          <w:szCs w:val="24"/>
          <w:lang w:val="en-US" w:eastAsia="zh-CN" w:bidi="ar"/>
        </w:rPr>
        <w:t>1、合同期限： 自合同签订之日起 30 天。</w:t>
      </w:r>
      <w:r>
        <w:rPr>
          <w:rFonts w:hint="eastAsia" w:ascii="宋体" w:hAnsi="宋体" w:eastAsia="宋体" w:cs="宋体"/>
          <w:color w:val="auto"/>
          <w:spacing w:val="0"/>
          <w:position w:val="0"/>
          <w:sz w:val="24"/>
          <w:szCs w:val="24"/>
          <w:highlight w:val="none"/>
          <w:u w:val="none"/>
          <w:lang w:val="en-US" w:eastAsia="zh-CN"/>
        </w:rPr>
        <w:t>供应商未按期完工，工期每推延一天竣工在审计结算中直接扣除2000元/日历天的违约金，延期违约金限额为合同价格的2%。</w:t>
      </w:r>
      <w:r>
        <w:rPr>
          <w:rFonts w:hint="eastAsia" w:ascii="宋体" w:hAnsi="宋体" w:eastAsia="宋体" w:cs="宋体"/>
          <w:snapToGrid w:val="0"/>
          <w:color w:val="000000"/>
          <w:kern w:val="0"/>
          <w:sz w:val="24"/>
          <w:szCs w:val="24"/>
          <w:lang w:val="en-US" w:eastAsia="zh-CN" w:bidi="ar"/>
        </w:rPr>
        <w:t xml:space="preserve"> </w:t>
      </w:r>
    </w:p>
    <w:p w14:paraId="6C4900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2、项目地点：万安县涧田中心小学。 </w:t>
      </w:r>
    </w:p>
    <w:p w14:paraId="2CAA01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snapToGrid w:val="0"/>
          <w:color w:val="000000"/>
          <w:kern w:val="0"/>
          <w:sz w:val="24"/>
          <w:szCs w:val="24"/>
          <w:lang w:val="en-US" w:eastAsia="zh-CN" w:bidi="ar"/>
        </w:rPr>
        <w:t>3、付款方式：</w:t>
      </w:r>
      <w:r>
        <w:rPr>
          <w:rFonts w:hint="eastAsia" w:ascii="宋体" w:hAnsi="宋体" w:eastAsia="宋体" w:cs="宋体"/>
          <w:color w:val="auto"/>
          <w:sz w:val="24"/>
          <w:szCs w:val="24"/>
        </w:rPr>
        <w:t>根据实际发生工程量，经业主、监理和施工方三方共同核实后支付已完成工程量的80％；项目竣工验收，凭竣工验收备案表，累计拨付到已完成工程量的85％；审计完成，凭审计报告，累计拨付到审定价的97%；工程验收后满壹年，工程无质量问题，累计拨付到工程审定价的100%。</w:t>
      </w:r>
      <w:r>
        <w:rPr>
          <w:rFonts w:hint="eastAsia" w:ascii="宋体" w:hAnsi="宋体" w:eastAsia="宋体" w:cs="宋体"/>
          <w:b w:val="0"/>
          <w:bCs w:val="0"/>
          <w:i w:val="0"/>
          <w:iCs w:val="0"/>
          <w:caps w:val="0"/>
          <w:color w:val="auto"/>
          <w:spacing w:val="0"/>
          <w:sz w:val="24"/>
          <w:szCs w:val="24"/>
          <w:shd w:val="clear" w:fill="FFFFFF"/>
        </w:rPr>
        <w:t>成交供应商每次申请款项时，须开具税率为9%的增值税专用发票。若成交供应商无法按约定税率开具发票，则视为成交供应商未能完全履行合同义务，采购人有权按合同约定追究其违约责任，并依据实际开具发票的税率调整应付工程款。</w:t>
      </w:r>
    </w:p>
    <w:p w14:paraId="673C0CF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4、质保期：整个项目质量保证期为 1年（国家另有规定的从其规定），质量保证期自采购人在验收报告上签署“验收合格”之日起计算，在质保期内出现的任何问题成交供应商须免费返工，所需的一切费用由成交供应商自行承担。未按要求免费返工的，采购人有权没收工程尾款。 </w:t>
      </w:r>
    </w:p>
    <w:p w14:paraId="7C0B81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val="0"/>
          <w:bCs w:val="0"/>
          <w:color w:val="auto"/>
          <w:spacing w:val="-3"/>
          <w:sz w:val="24"/>
          <w:szCs w:val="24"/>
          <w:lang w:val="en-US" w:eastAsia="zh-CN"/>
        </w:rPr>
      </w:pPr>
      <w:r>
        <w:rPr>
          <w:rFonts w:hint="eastAsia" w:ascii="宋体" w:hAnsi="宋体" w:eastAsia="宋体" w:cs="宋体"/>
          <w:b w:val="0"/>
          <w:bCs w:val="0"/>
          <w:color w:val="auto"/>
          <w:spacing w:val="-3"/>
          <w:sz w:val="24"/>
          <w:szCs w:val="24"/>
          <w:lang w:val="en-US" w:eastAsia="zh-CN"/>
        </w:rPr>
        <w:t>5、在竣工验收前，招标人将委托具有相应资质的第三方检测机构需对</w:t>
      </w:r>
      <w:r>
        <w:rPr>
          <w:rFonts w:hint="default" w:ascii="Calibri" w:hAnsi="Calibri" w:eastAsia="宋体" w:cs="Calibri"/>
          <w:b w:val="0"/>
          <w:bCs w:val="0"/>
          <w:color w:val="auto"/>
          <w:spacing w:val="-3"/>
          <w:sz w:val="24"/>
          <w:szCs w:val="24"/>
          <w:lang w:val="en-US" w:eastAsia="zh-CN"/>
        </w:rPr>
        <w:t>①</w:t>
      </w:r>
      <w:r>
        <w:rPr>
          <w:rFonts w:hint="eastAsia" w:ascii="宋体" w:hAnsi="宋体" w:eastAsia="宋体" w:cs="宋体"/>
          <w:b w:val="0"/>
          <w:bCs w:val="0"/>
          <w:color w:val="auto"/>
          <w:spacing w:val="-3"/>
          <w:sz w:val="24"/>
          <w:szCs w:val="24"/>
          <w:lang w:val="en-US" w:eastAsia="zh-CN"/>
        </w:rPr>
        <w:t>人造草皮、</w:t>
      </w:r>
      <w:r>
        <w:rPr>
          <w:rFonts w:hint="eastAsia" w:ascii="宋体" w:hAnsi="宋体" w:eastAsia="宋体" w:cs="宋体"/>
          <w:i w:val="0"/>
          <w:iCs w:val="0"/>
          <w:color w:val="000000"/>
          <w:kern w:val="0"/>
          <w:sz w:val="24"/>
          <w:szCs w:val="24"/>
          <w:u w:val="none"/>
          <w:lang w:val="en-US" w:eastAsia="zh-CN" w:bidi="ar"/>
        </w:rPr>
        <w:t>硅PU面层及</w:t>
      </w:r>
      <w:r>
        <w:rPr>
          <w:rFonts w:hint="eastAsia" w:ascii="宋体" w:hAnsi="宋体" w:eastAsia="宋体" w:cs="宋体"/>
          <w:b w:val="0"/>
          <w:bCs w:val="0"/>
          <w:color w:val="auto"/>
          <w:spacing w:val="-3"/>
          <w:sz w:val="24"/>
          <w:szCs w:val="24"/>
          <w:lang w:val="en-US" w:eastAsia="zh-CN"/>
        </w:rPr>
        <w:t>全塑型纯PU(聚氨酯)面层进行检测，检测结果符合GB 36246-2018</w:t>
      </w:r>
      <w:r>
        <w:rPr>
          <w:rFonts w:ascii="Segoe UI" w:hAnsi="Segoe UI" w:eastAsia="Segoe UI" w:cs="Segoe UI"/>
          <w:b w:val="0"/>
          <w:bCs w:val="0"/>
          <w:i w:val="0"/>
          <w:iCs w:val="0"/>
          <w:caps w:val="0"/>
          <w:color w:val="0F1115"/>
          <w:spacing w:val="0"/>
          <w:sz w:val="24"/>
          <w:szCs w:val="24"/>
          <w:shd w:val="clear" w:fill="FFFFFF"/>
        </w:rPr>
        <w:t>《中小学合成材料面层运动场地》</w:t>
      </w:r>
      <w:r>
        <w:rPr>
          <w:rFonts w:hint="eastAsia" w:ascii="Segoe UI" w:hAnsi="Segoe UI" w:eastAsia="宋体" w:cs="Segoe UI"/>
          <w:b w:val="0"/>
          <w:bCs w:val="0"/>
          <w:i w:val="0"/>
          <w:iCs w:val="0"/>
          <w:caps w:val="0"/>
          <w:color w:val="0F1115"/>
          <w:spacing w:val="0"/>
          <w:sz w:val="24"/>
          <w:szCs w:val="24"/>
          <w:shd w:val="clear" w:fill="FFFFFF"/>
          <w:lang w:val="en-US" w:eastAsia="zh-CN"/>
        </w:rPr>
        <w:t>标准</w:t>
      </w:r>
      <w:r>
        <w:rPr>
          <w:rFonts w:hint="eastAsia" w:ascii="Segoe UI" w:hAnsi="Segoe UI" w:eastAsia="宋体" w:cs="Segoe UI"/>
          <w:b w:val="0"/>
          <w:bCs w:val="0"/>
          <w:i w:val="0"/>
          <w:iCs w:val="0"/>
          <w:caps w:val="0"/>
          <w:color w:val="0F1115"/>
          <w:spacing w:val="0"/>
          <w:sz w:val="24"/>
          <w:szCs w:val="24"/>
          <w:shd w:val="clear" w:fill="FFFFFF"/>
          <w:lang w:eastAsia="zh-CN"/>
        </w:rPr>
        <w:t>。</w:t>
      </w:r>
      <w:r>
        <w:rPr>
          <w:rFonts w:hint="default" w:ascii="Calibri" w:hAnsi="Calibri" w:eastAsia="宋体" w:cs="Calibri"/>
          <w:b w:val="0"/>
          <w:bCs w:val="0"/>
          <w:i w:val="0"/>
          <w:iCs w:val="0"/>
          <w:caps w:val="0"/>
          <w:color w:val="0F1115"/>
          <w:spacing w:val="0"/>
          <w:sz w:val="24"/>
          <w:szCs w:val="24"/>
          <w:shd w:val="clear" w:fill="FFFFFF"/>
          <w:lang w:eastAsia="zh-CN"/>
        </w:rPr>
        <w:t>②</w:t>
      </w:r>
      <w:r>
        <w:rPr>
          <w:rFonts w:hint="eastAsia" w:ascii="Calibri" w:hAnsi="Calibri" w:eastAsia="宋体" w:cs="Calibri"/>
          <w:b w:val="0"/>
          <w:bCs w:val="0"/>
          <w:i w:val="0"/>
          <w:iCs w:val="0"/>
          <w:caps w:val="0"/>
          <w:color w:val="0F1115"/>
          <w:spacing w:val="0"/>
          <w:sz w:val="24"/>
          <w:szCs w:val="24"/>
          <w:shd w:val="clear" w:fill="FFFFFF"/>
          <w:lang w:val="en-US" w:eastAsia="zh-CN"/>
        </w:rPr>
        <w:t>学生宿舍楼及综合楼</w:t>
      </w:r>
      <w:r>
        <w:rPr>
          <w:rFonts w:hint="eastAsia" w:ascii="Segoe UI" w:hAnsi="Segoe UI" w:eastAsia="宋体" w:cs="Segoe UI"/>
          <w:b w:val="0"/>
          <w:bCs w:val="0"/>
          <w:i w:val="0"/>
          <w:iCs w:val="0"/>
          <w:caps w:val="0"/>
          <w:color w:val="0F1115"/>
          <w:spacing w:val="0"/>
          <w:sz w:val="24"/>
          <w:szCs w:val="24"/>
          <w:shd w:val="clear" w:fill="FFFFFF"/>
          <w:lang w:val="en-US" w:eastAsia="zh-CN"/>
        </w:rPr>
        <w:t>室内空气质量进行检测，检测参数包括：氡、甲醛、氨、苯、甲苯、二甲苯、TVOC（共7项），</w:t>
      </w:r>
      <w:r>
        <w:rPr>
          <w:rFonts w:hint="eastAsia" w:ascii="宋体" w:hAnsi="宋体" w:eastAsia="宋体" w:cs="宋体"/>
          <w:b w:val="0"/>
          <w:bCs w:val="0"/>
          <w:color w:val="auto"/>
          <w:spacing w:val="-3"/>
          <w:sz w:val="24"/>
          <w:szCs w:val="24"/>
          <w:lang w:val="en-US" w:eastAsia="zh-CN"/>
        </w:rPr>
        <w:t>检测结果需符合</w:t>
      </w:r>
      <w:r>
        <w:rPr>
          <w:rFonts w:hint="eastAsia" w:ascii="Segoe UI" w:hAnsi="Segoe UI" w:eastAsia="宋体" w:cs="Segoe UI"/>
          <w:b w:val="0"/>
          <w:bCs w:val="0"/>
          <w:i w:val="0"/>
          <w:iCs w:val="0"/>
          <w:caps w:val="0"/>
          <w:color w:val="0F1115"/>
          <w:spacing w:val="0"/>
          <w:sz w:val="24"/>
          <w:szCs w:val="24"/>
          <w:shd w:val="clear" w:fill="FFFFFF"/>
          <w:lang w:val="en-US" w:eastAsia="zh-CN"/>
        </w:rPr>
        <w:t>《民用建筑工程室内环境污染控制标准》</w:t>
      </w:r>
      <w:r>
        <w:rPr>
          <w:rFonts w:hint="eastAsia" w:ascii="宋体" w:hAnsi="宋体" w:eastAsia="宋体" w:cs="宋体"/>
          <w:b w:val="0"/>
          <w:bCs w:val="0"/>
          <w:color w:val="auto"/>
          <w:spacing w:val="-3"/>
          <w:sz w:val="24"/>
          <w:szCs w:val="24"/>
          <w:lang w:val="en-US" w:eastAsia="zh-CN"/>
        </w:rPr>
        <w:t>GB 50325-2020 标</w:t>
      </w:r>
      <w:r>
        <w:rPr>
          <w:rFonts w:hint="eastAsia" w:ascii="Segoe UI" w:hAnsi="Segoe UI" w:eastAsia="宋体" w:cs="Segoe UI"/>
          <w:b w:val="0"/>
          <w:bCs w:val="0"/>
          <w:i w:val="0"/>
          <w:iCs w:val="0"/>
          <w:caps w:val="0"/>
          <w:color w:val="0F1115"/>
          <w:spacing w:val="0"/>
          <w:sz w:val="24"/>
          <w:szCs w:val="24"/>
          <w:shd w:val="clear" w:fill="FFFFFF"/>
          <w:lang w:val="en-US" w:eastAsia="zh-CN"/>
        </w:rPr>
        <w:t>准。</w:t>
      </w:r>
      <w:r>
        <w:rPr>
          <w:rFonts w:hint="eastAsia" w:ascii="宋体" w:hAnsi="宋体" w:eastAsia="宋体" w:cs="宋体"/>
          <w:b w:val="0"/>
          <w:bCs w:val="0"/>
          <w:color w:val="auto"/>
          <w:spacing w:val="-3"/>
          <w:sz w:val="24"/>
          <w:szCs w:val="24"/>
          <w:lang w:val="en-US" w:eastAsia="zh-CN"/>
        </w:rPr>
        <w:t>如有标准更新，按国家最新发布的强制性标准执行。检测费用由中标人承担。</w:t>
      </w:r>
    </w:p>
    <w:p w14:paraId="7D4E90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6、响应供应商近三年来无拖欠农民工工资，若查实响应供应商有拖欠农民工工资情况，招标单位取消其投标和中标资格，扣除投标保证金，并将列入失信惩戒名单。农民工工资不能低于最低工资标准。</w:t>
      </w:r>
      <w:r>
        <w:rPr>
          <w:rFonts w:hint="eastAsia" w:ascii="宋体" w:hAnsi="宋体" w:eastAsia="宋体" w:cs="宋体"/>
          <w:b/>
          <w:bCs/>
          <w:snapToGrid w:val="0"/>
          <w:color w:val="000000"/>
          <w:kern w:val="0"/>
          <w:sz w:val="24"/>
          <w:szCs w:val="24"/>
          <w:lang w:val="en-US" w:eastAsia="zh-CN" w:bidi="ar"/>
        </w:rPr>
        <w:t>（提供承诺函加盖响应供应商公章，格式自拟）</w:t>
      </w:r>
      <w:r>
        <w:rPr>
          <w:rFonts w:hint="eastAsia" w:ascii="宋体" w:hAnsi="宋体" w:eastAsia="宋体" w:cs="宋体"/>
          <w:snapToGrid w:val="0"/>
          <w:color w:val="000000"/>
          <w:kern w:val="0"/>
          <w:sz w:val="24"/>
          <w:szCs w:val="24"/>
          <w:lang w:val="en-US" w:eastAsia="zh-CN" w:bidi="ar"/>
        </w:rPr>
        <w:t>。</w:t>
      </w:r>
    </w:p>
    <w:p w14:paraId="1577B0A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7、安全保证：成交供应商在施工和验收期间应接受采购人的协调和管理。在整个过程中，成交供应商应采取严格的安全措施，如出现安全事故，由成交供应商承担事故的全部责任以及发生的一切费用。 </w:t>
      </w:r>
    </w:p>
    <w:p w14:paraId="5E45F65B">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1"/>
        <w:textAlignment w:val="baseline"/>
        <w:rPr>
          <w:rFonts w:ascii="宋体" w:hAnsi="宋体" w:eastAsia="宋体" w:cs="宋体"/>
          <w:sz w:val="24"/>
          <w:szCs w:val="24"/>
        </w:rPr>
      </w:pPr>
      <w:r>
        <w:rPr>
          <w:rFonts w:hint="eastAsia" w:ascii="宋体" w:hAnsi="宋体" w:eastAsia="宋体" w:cs="宋体"/>
          <w:color w:val="auto"/>
          <w:spacing w:val="-3"/>
          <w:sz w:val="24"/>
          <w:szCs w:val="24"/>
          <w:lang w:val="en-US" w:eastAsia="zh-CN"/>
        </w:rPr>
        <w:t>8、</w:t>
      </w:r>
      <w:r>
        <w:rPr>
          <w:rFonts w:ascii="宋体" w:hAnsi="宋体" w:eastAsia="宋体" w:cs="宋体"/>
          <w:b/>
          <w:bCs/>
          <w:spacing w:val="-3"/>
          <w:sz w:val="24"/>
          <w:szCs w:val="24"/>
        </w:rPr>
        <w:t>异常低价审查</w:t>
      </w:r>
    </w:p>
    <w:p w14:paraId="472B50E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宋体" w:hAnsi="宋体" w:eastAsia="宋体" w:cs="宋体"/>
          <w:sz w:val="24"/>
          <w:szCs w:val="24"/>
        </w:rPr>
      </w:pPr>
      <w:r>
        <w:rPr>
          <w:rFonts w:hint="eastAsia" w:ascii="宋体" w:hAnsi="宋体" w:eastAsia="宋体" w:cs="宋体"/>
          <w:spacing w:val="-2"/>
          <w:sz w:val="24"/>
          <w:szCs w:val="24"/>
          <w:lang w:val="en-US" w:eastAsia="zh-CN"/>
        </w:rPr>
        <w:t>8</w:t>
      </w:r>
      <w:r>
        <w:rPr>
          <w:rFonts w:ascii="宋体" w:hAnsi="宋体" w:eastAsia="宋体" w:cs="宋体"/>
          <w:spacing w:val="-2"/>
          <w:sz w:val="24"/>
          <w:szCs w:val="24"/>
        </w:rPr>
        <w:t>.1 评审中出现下列情形之一的，谈判小组应当启动异常低价投标审查程序：</w:t>
      </w:r>
    </w:p>
    <w:p w14:paraId="6031E6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（1）响应报价低于全部通过符合性审查供应商响应报价平均值50%的，即响应报价&lt;全部通过符合性审查供应商响应报价平均值×50%；</w:t>
      </w:r>
    </w:p>
    <w:p w14:paraId="649CAEA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（2）响应报价低于通过符合性审查的次低报价供应商响应报价50%的，即响应报价&lt;通过符合性审查的次低报价供应商响应报价×50%；</w:t>
      </w:r>
    </w:p>
    <w:p w14:paraId="1D28DEF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（3）响应报价低于采购项目最高限价45%的，即响应报价&lt;采购项目最高限价×45%；</w:t>
      </w:r>
    </w:p>
    <w:p w14:paraId="12E9805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（4）谈判小组认为供应商报价过低，有可能影响产品质量或者不能诚信履约的其他情形。</w:t>
      </w:r>
    </w:p>
    <w:p w14:paraId="131B4B3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相关法律法规对供应商报价有规定的，从其规定。</w:t>
      </w:r>
    </w:p>
    <w:p w14:paraId="7540A50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以上“响应报价”未特别说明的，均指“最后报价”。</w:t>
      </w:r>
    </w:p>
    <w:p w14:paraId="13D8B1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8.2 谈判小组启动异常低价审查后，相关供应商在评审现场</w:t>
      </w:r>
      <w:r>
        <w:rPr>
          <w:rFonts w:hint="eastAsia" w:ascii="宋体" w:hAnsi="宋体" w:eastAsia="宋体" w:cs="宋体"/>
          <w:b/>
          <w:bCs/>
          <w:snapToGrid w:val="0"/>
          <w:color w:val="000000"/>
          <w:kern w:val="0"/>
          <w:sz w:val="24"/>
          <w:szCs w:val="24"/>
          <w:lang w:val="en-US" w:eastAsia="zh-CN" w:bidi="ar"/>
        </w:rPr>
        <w:t>40分钟内</w:t>
      </w:r>
      <w:r>
        <w:rPr>
          <w:rFonts w:hint="eastAsia" w:ascii="宋体" w:hAnsi="宋体" w:eastAsia="宋体" w:cs="宋体"/>
          <w:snapToGrid w:val="0"/>
          <w:color w:val="000000"/>
          <w:kern w:val="0"/>
          <w:sz w:val="24"/>
          <w:szCs w:val="24"/>
          <w:lang w:val="en-US" w:eastAsia="zh-CN" w:bidi="ar"/>
        </w:rPr>
        <w:t>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投标（响应）处理，并在评审报告中记录审查相关情况。</w:t>
      </w:r>
    </w:p>
    <w:p w14:paraId="739834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9、违约责任： </w:t>
      </w:r>
    </w:p>
    <w:p w14:paraId="7A093C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（1）因采购人原因导致工期延误的，据实办理工期顺延；因供应商原因造成工期延误，逾期竣工违约金的计算方法为：2000元/日历天，最高不超过合同总价 2%，从履约保证金或工程款中扣除。 </w:t>
      </w:r>
    </w:p>
    <w:p w14:paraId="6C08C9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（2）成交供应商</w:t>
      </w:r>
      <w:r>
        <w:rPr>
          <w:rFonts w:hint="default" w:ascii="宋体" w:hAnsi="宋体" w:eastAsia="宋体" w:cs="宋体"/>
          <w:b w:val="0"/>
          <w:bCs w:val="0"/>
          <w:spacing w:val="-1"/>
          <w:sz w:val="24"/>
          <w:szCs w:val="24"/>
          <w:lang w:val="en-US" w:eastAsia="zh-CN"/>
        </w:rPr>
        <w:t>的注册建造师、施工现场“</w:t>
      </w:r>
      <w:r>
        <w:rPr>
          <w:rFonts w:hint="eastAsia" w:ascii="宋体" w:hAnsi="宋体" w:eastAsia="宋体" w:cs="宋体"/>
          <w:b w:val="0"/>
          <w:bCs w:val="0"/>
          <w:spacing w:val="-1"/>
          <w:sz w:val="24"/>
          <w:szCs w:val="24"/>
          <w:lang w:val="en-US" w:eastAsia="zh-CN"/>
        </w:rPr>
        <w:t>四</w:t>
      </w:r>
      <w:r>
        <w:rPr>
          <w:rFonts w:hint="default" w:ascii="宋体" w:hAnsi="宋体" w:eastAsia="宋体" w:cs="宋体"/>
          <w:b w:val="0"/>
          <w:bCs w:val="0"/>
          <w:spacing w:val="-1"/>
          <w:sz w:val="24"/>
          <w:szCs w:val="24"/>
          <w:lang w:val="en-US" w:eastAsia="zh-CN"/>
        </w:rPr>
        <w:t>大员</w:t>
      </w:r>
      <w:r>
        <w:rPr>
          <w:rFonts w:hint="eastAsia" w:ascii="宋体" w:hAnsi="宋体" w:eastAsia="宋体" w:cs="宋体"/>
          <w:b w:val="0"/>
          <w:bCs w:val="0"/>
          <w:spacing w:val="-1"/>
          <w:sz w:val="24"/>
          <w:szCs w:val="24"/>
          <w:lang w:val="en-US" w:eastAsia="zh-CN"/>
        </w:rPr>
        <w:t>”</w:t>
      </w:r>
      <w:r>
        <w:rPr>
          <w:rFonts w:hint="default" w:ascii="宋体" w:hAnsi="宋体" w:eastAsia="宋体" w:cs="宋体"/>
          <w:b w:val="0"/>
          <w:bCs w:val="0"/>
          <w:spacing w:val="-1"/>
          <w:sz w:val="24"/>
          <w:szCs w:val="24"/>
          <w:lang w:val="en-US" w:eastAsia="zh-CN"/>
        </w:rPr>
        <w:t>每月在施工现场不少于22 天，在场每天必须到本项目的项目办签名报到，注册建造师每缺勤一天缴纳违</w:t>
      </w:r>
      <w:r>
        <w:rPr>
          <w:rFonts w:hint="eastAsia" w:ascii="宋体" w:hAnsi="宋体" w:eastAsia="宋体" w:cs="宋体"/>
          <w:b w:val="0"/>
          <w:bCs w:val="0"/>
          <w:spacing w:val="-1"/>
          <w:sz w:val="24"/>
          <w:szCs w:val="24"/>
          <w:lang w:val="en-US" w:eastAsia="zh-CN"/>
        </w:rPr>
        <w:t>约金人民币贰仟元，施工员、质量员、材料员、专职安全员每缺勤一天缴纳违约金人民币壹仟元，</w:t>
      </w:r>
      <w:r>
        <w:rPr>
          <w:rFonts w:hint="eastAsia" w:ascii="宋体" w:hAnsi="宋体" w:eastAsia="宋体" w:cs="宋体"/>
          <w:snapToGrid w:val="0"/>
          <w:color w:val="000000"/>
          <w:kern w:val="0"/>
          <w:sz w:val="24"/>
          <w:szCs w:val="24"/>
          <w:lang w:val="en-US" w:eastAsia="zh-CN" w:bidi="ar"/>
        </w:rPr>
        <w:t xml:space="preserve">最高不超过合同总价 2%，从履约保证金或工程款中扣除。 </w:t>
      </w:r>
    </w:p>
    <w:p w14:paraId="07DA686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（3）项目经理未经批准，擅自离开施工现场，每月缺勤累计达到 15 人次的视同违约，采购人有权单方面终止合同并没收其履约保证金，同时成交供应商需按照合同法及其他相关法律法规向采购人作出相应的违约赔偿 。 </w:t>
      </w:r>
    </w:p>
    <w:p w14:paraId="32681AD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（4）成交供应商擅自更换项目经理的，采购人有权单方面终止合同并没收其履约保证金。 </w:t>
      </w:r>
    </w:p>
    <w:p w14:paraId="52E2B7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10、其他 </w:t>
      </w:r>
    </w:p>
    <w:p w14:paraId="5DE5962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（1）采购人有权对拟成交供应商所提供的资质证明在合同签订前对其相关资质资料原件进行核实，对于提供虚假证明材料的供应商，采购人有权取消其成交资格并上报同级财政部门。 </w:t>
      </w:r>
    </w:p>
    <w:p w14:paraId="29936C9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（2）本项目一旦成交，成交供应商必须承诺由成交供应商在职人员负责管理，不允许转包给第三方，一经发现，采购人有权取消成交资格、扣除履约保证金及追偿相应损失。 </w:t>
      </w:r>
    </w:p>
    <w:p w14:paraId="6F99F0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（3）未尽事宜，以与采购人签订合同为准。 </w:t>
      </w:r>
    </w:p>
    <w:p w14:paraId="721F5F1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5"/>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42</w:t>
    </w:r>
    <w:r>
      <w:rPr>
        <w:rStyle w:val="9"/>
      </w:rPr>
      <w:fldChar w:fldCharType="end"/>
    </w:r>
  </w:p>
  <w:p w14:paraId="446452A1">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D956CD"/>
    <w:rsid w:val="03D956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9">
    <w:name w:val="page number"/>
    <w:basedOn w:val="8"/>
    <w:qFormat/>
    <w:uiPriority w:val="99"/>
    <w:rPr>
      <w:rFonts w:cs="Times New Roman"/>
    </w:rPr>
  </w:style>
  <w:style w:type="character" w:customStyle="1" w:styleId="10">
    <w:name w:val="font21"/>
    <w:basedOn w:val="8"/>
    <w:qFormat/>
    <w:uiPriority w:val="0"/>
    <w:rPr>
      <w:rFonts w:ascii="微软雅黑" w:hAnsi="微软雅黑" w:eastAsia="微软雅黑" w:cs="微软雅黑"/>
      <w:color w:val="000000"/>
      <w:sz w:val="18"/>
      <w:szCs w:val="18"/>
      <w:u w:val="none"/>
    </w:rPr>
  </w:style>
  <w:style w:type="character" w:customStyle="1" w:styleId="11">
    <w:name w:val="font31"/>
    <w:qFormat/>
    <w:uiPriority w:val="0"/>
    <w:rPr>
      <w:rFonts w:hint="eastAsia" w:ascii="宋体" w:hAnsi="宋体" w:eastAsia="宋体" w:cs="宋体"/>
      <w:color w:val="000000"/>
      <w:sz w:val="21"/>
      <w:szCs w:val="21"/>
      <w:u w:val="none"/>
    </w:rPr>
  </w:style>
  <w:style w:type="character" w:customStyle="1" w:styleId="12">
    <w:name w:val="font41"/>
    <w:basedOn w:val="8"/>
    <w:qFormat/>
    <w:uiPriority w:val="0"/>
    <w:rPr>
      <w:rFonts w:hint="default" w:ascii="Arial" w:hAnsi="Arial" w:cs="Arial"/>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2026-06-27T08:57:00Z</dcterms:created>
  <dc:creator>Administrator</dc:creator>
  <cp:lastModifiedBy>Administrator</cp:lastModifiedBy>
  <dcterms:modified xsi:type="dcterms:W3CDTF">2026-06-27T08:57:37Z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5E2A1E31EF6D4A82A4921DEDB5134352_11</vt:lpwstr>
  </property>
  <property fmtid="{D5CDD505-2E9C-101B-9397-08002B2CF9AE}" pid="4" name="KSOTemplateDocerSaveRecord">
    <vt:lpwstr>eyJoZGlkIjoiZDUwNjczNTAzMDUzOTQ0NjE0MmQ1NDVkMzEwMDVlOTIiLCJ1c2VySWQiOiIxMTI4Mjk2MDU1In0=</vt:lpwstr>
  </property>
</Properties>
</file>