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hint="eastAsia" w:ascii="仿宋" w:hAnsi="仿宋" w:eastAsia="仿宋" w:cs="仿宋"/>
          <w:color w:val="auto"/>
          <w:sz w:val="31"/>
          <w:szCs w:val="31"/>
          <w:highlight w:val="none"/>
          <w:lang w:eastAsia="zh-CN"/>
        </w:rPr>
      </w:pPr>
      <w:bookmarkStart w:id="0" w:name="_Toc23942"/>
      <w:bookmarkStart w:id="1" w:name="_Toc8513"/>
      <w:bookmarkStart w:id="2" w:name="_Toc23947"/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bookmarkEnd w:id="0"/>
      <w:bookmarkEnd w:id="1"/>
      <w:bookmarkEnd w:id="2"/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rFonts w:hint="eastAsia" w:ascii="仿宋" w:hAnsi="仿宋" w:eastAsia="仿宋" w:cs="仿宋"/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bookmarkStart w:id="3" w:name="_Toc24125"/>
      <w:bookmarkStart w:id="4" w:name="_Toc24766"/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3"/>
      <w:bookmarkEnd w:id="4"/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rFonts w:hint="eastAsia" w:ascii="仿宋" w:hAnsi="仿宋" w:eastAsia="仿宋" w:cs="仿宋"/>
          <w:color w:val="auto"/>
          <w:highlight w:val="none"/>
        </w:rPr>
      </w:pPr>
    </w:p>
    <w:tbl>
      <w:tblPr>
        <w:tblStyle w:val="9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bookmarkStart w:id="10" w:name="_GoBack"/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10"/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40F7ED8D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22D0E8F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12B2619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0743B18A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144BF3D0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08CE9823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u w:val="none"/>
                <w:lang w:val="en-US" w:eastAsia="zh-CN"/>
              </w:rPr>
              <w:t>新余高新技术产业开发区城东办事处2026年物业管理及食堂托管服务采购项目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0E4CD573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详见“商务条件”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856DFA6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详见“商务条件”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4BB6DCE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详见“商务条件”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350793D5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详见“商务条件”</w:t>
            </w:r>
          </w:p>
        </w:tc>
      </w:tr>
    </w:tbl>
    <w:p w14:paraId="4F86D054">
      <w:pPr>
        <w:pageBreakBefore w:val="0"/>
        <w:widowControl w:val="0"/>
        <w:wordWrap/>
        <w:overflowPunct/>
        <w:topLinePunct w:val="0"/>
        <w:bidi w:val="0"/>
        <w:rPr>
          <w:rFonts w:hint="eastAsia" w:ascii="仿宋" w:hAnsi="仿宋" w:eastAsia="仿宋" w:cs="仿宋"/>
          <w:color w:val="auto"/>
          <w:highlight w:val="none"/>
        </w:rPr>
      </w:pPr>
    </w:p>
    <w:p w14:paraId="0C0723DB">
      <w:pPr>
        <w:pageBreakBefore w:val="0"/>
        <w:widowControl w:val="0"/>
        <w:wordWrap/>
        <w:overflowPunct/>
        <w:topLinePunct w:val="0"/>
        <w:bidi w:val="0"/>
        <w:rPr>
          <w:rFonts w:hint="eastAsia" w:ascii="仿宋" w:hAnsi="仿宋" w:eastAsia="仿宋" w:cs="仿宋"/>
          <w:color w:val="auto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</w:p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bookmarkStart w:id="5" w:name="bookmark81"/>
      <w:bookmarkEnd w:id="5"/>
      <w:bookmarkStart w:id="6" w:name="_Toc15349"/>
      <w:bookmarkStart w:id="7" w:name="_Toc13918"/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6"/>
      <w:bookmarkEnd w:id="7"/>
    </w:p>
    <w:p w14:paraId="5D258939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rFonts w:hint="eastAsia" w:ascii="仿宋" w:hAnsi="仿宋" w:eastAsia="仿宋" w:cs="仿宋"/>
          <w:color w:val="auto"/>
          <w:highlight w:val="none"/>
        </w:rPr>
      </w:pPr>
    </w:p>
    <w:p w14:paraId="6EF4E5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rFonts w:hint="eastAsia" w:ascii="仿宋" w:hAnsi="仿宋" w:eastAsia="仿宋" w:cs="仿宋"/>
          <w:color w:val="auto"/>
          <w:highlight w:val="none"/>
        </w:rPr>
      </w:pPr>
    </w:p>
    <w:p w14:paraId="0D9C0787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rFonts w:hint="eastAsia" w:ascii="仿宋" w:hAnsi="仿宋" w:eastAsia="仿宋" w:cs="仿宋"/>
          <w:color w:val="auto"/>
          <w:highlight w:val="none"/>
        </w:rPr>
      </w:pPr>
    </w:p>
    <w:p w14:paraId="6BEA5A0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一、项目基本概况</w:t>
      </w:r>
    </w:p>
    <w:p w14:paraId="38482A0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1.服务地点：新余高新技术产业开发区城东办事处机关行政办公区域（含办公楼、院内公共区域、机关食堂）。</w:t>
      </w:r>
    </w:p>
    <w:p w14:paraId="147DD6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2.服务模式：物业管理+机关食堂托管一体化服务，实行总价包干（不含食材采购费，食材由办事处另行采购或据实结算）。</w:t>
      </w:r>
    </w:p>
    <w:p w14:paraId="2C13E01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二、物业管理详细需求</w:t>
      </w:r>
    </w:p>
    <w:p w14:paraId="4D7986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（一）人员配置（最低标配，不得低于此标准）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1443"/>
        <w:gridCol w:w="1425"/>
        <w:gridCol w:w="5854"/>
      </w:tblGrid>
      <w:tr w14:paraId="771C1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155AB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443" w:type="dxa"/>
            <w:vAlign w:val="center"/>
          </w:tcPr>
          <w:p w14:paraId="505B8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岗位名称</w:t>
            </w:r>
          </w:p>
        </w:tc>
        <w:tc>
          <w:tcPr>
            <w:tcW w:w="1425" w:type="dxa"/>
            <w:vAlign w:val="center"/>
          </w:tcPr>
          <w:p w14:paraId="154DA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数量（名）</w:t>
            </w:r>
          </w:p>
        </w:tc>
        <w:tc>
          <w:tcPr>
            <w:tcW w:w="5854" w:type="dxa"/>
            <w:vAlign w:val="center"/>
          </w:tcPr>
          <w:p w14:paraId="2DD84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5A6EA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25949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443" w:type="dxa"/>
            <w:vAlign w:val="center"/>
          </w:tcPr>
          <w:p w14:paraId="79E78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项目经理（兼保安队长）</w:t>
            </w:r>
          </w:p>
        </w:tc>
        <w:tc>
          <w:tcPr>
            <w:tcW w:w="1425" w:type="dxa"/>
            <w:vAlign w:val="center"/>
          </w:tcPr>
          <w:p w14:paraId="6FB7A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854" w:type="dxa"/>
          </w:tcPr>
          <w:p w14:paraId="372F2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项目经理兼保安队长，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具有项目经理及保安员相关资格，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统筹物业+食堂一体化全服务运营。负责团队管理、制度建设与考核监督；主管园区安保值守、巡逻、消防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设施管理及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隐患排查及秩序维护；统筹保洁、绿化、全域消杀工作；监管水电设施维修、食堂运营及食品安全管理；牵头各类突发事件应急处置，落实全套台账管理，对接甲方完成日常考核与临时任务，保障项目整体服务质量达标。</w:t>
            </w:r>
          </w:p>
        </w:tc>
      </w:tr>
      <w:tr w14:paraId="0A2F8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23F7B0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1443" w:type="dxa"/>
            <w:vAlign w:val="center"/>
          </w:tcPr>
          <w:p w14:paraId="239F2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安保人员</w:t>
            </w:r>
          </w:p>
        </w:tc>
        <w:tc>
          <w:tcPr>
            <w:tcW w:w="1425" w:type="dxa"/>
            <w:vAlign w:val="center"/>
          </w:tcPr>
          <w:p w14:paraId="3A5A63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5854" w:type="dxa"/>
          </w:tcPr>
          <w:p w14:paraId="45708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55 周岁及以下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，实行24小时值班制度，熟悉基础安保执勤规范，具备扎实消防安全专业常识，责任心极强、服从管理、执行力强，具备基础应急应变能力，能冷静处理安防及消防突发险情，持证上岗。具有中级消防设施操作员证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（提供全国联网查询截图及证件扫描件）</w:t>
            </w:r>
          </w:p>
        </w:tc>
      </w:tr>
      <w:tr w14:paraId="18A69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53A7E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443" w:type="dxa"/>
            <w:vAlign w:val="center"/>
          </w:tcPr>
          <w:p w14:paraId="1AB81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保洁人员</w:t>
            </w:r>
          </w:p>
        </w:tc>
        <w:tc>
          <w:tcPr>
            <w:tcW w:w="1425" w:type="dxa"/>
            <w:vAlign w:val="center"/>
          </w:tcPr>
          <w:p w14:paraId="3CC57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5854" w:type="dxa"/>
          </w:tcPr>
          <w:p w14:paraId="50CEFC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60岁及以下，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负责办公楼、庭院及食堂外围日常清扫保洁，做好会议室会前会后清洁，及时清运垃圾、擦拭公共设施，配合区域消杀，妥善保管保洁工具，发现设施隐患及时上报，完成各类临时保洁任务。</w:t>
            </w:r>
          </w:p>
        </w:tc>
      </w:tr>
      <w:tr w14:paraId="07C91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32343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1443" w:type="dxa"/>
            <w:vAlign w:val="center"/>
          </w:tcPr>
          <w:p w14:paraId="7D280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食堂主厨</w:t>
            </w:r>
          </w:p>
        </w:tc>
        <w:tc>
          <w:tcPr>
            <w:tcW w:w="1425" w:type="dxa"/>
            <w:vAlign w:val="center"/>
          </w:tcPr>
          <w:p w14:paraId="3ED21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854" w:type="dxa"/>
          </w:tcPr>
          <w:p w14:paraId="476B1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需持证上岗，具备5年以上机关食堂烹饪经验，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担任机关食堂主厨，负责日常荤素菜品、汤品的烹制工作，按要求每周更新菜谱；可制作馒头、包子等常规中式面点，结合基础营养知识搭配餐食，保障饮食健康。严格落实食品留样、餐具消毒、后厨消杀等食品安全制度，协助查验食材质量，管理食堂日常作业秩序，配合完成各类迎检与临时供餐任务，坚守食品安全底线。</w:t>
            </w:r>
          </w:p>
        </w:tc>
      </w:tr>
      <w:tr w14:paraId="104F8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5222F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443" w:type="dxa"/>
            <w:vAlign w:val="center"/>
          </w:tcPr>
          <w:p w14:paraId="1F892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帮厨/切配</w:t>
            </w:r>
          </w:p>
        </w:tc>
        <w:tc>
          <w:tcPr>
            <w:tcW w:w="1425" w:type="dxa"/>
            <w:vAlign w:val="center"/>
          </w:tcPr>
          <w:p w14:paraId="03322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854" w:type="dxa"/>
          </w:tcPr>
          <w:p w14:paraId="20CA3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配合主厨完成食材清洗、分拣、切配加工，生熟食材分区存放，餐前做好备餐辅助，及时清理操作区域残渣，清洗规整厨具，查验食材品质，服从后厨调度安排。</w:t>
            </w:r>
          </w:p>
        </w:tc>
      </w:tr>
      <w:tr w14:paraId="68033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 w14:paraId="22C34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1443" w:type="dxa"/>
            <w:vAlign w:val="center"/>
          </w:tcPr>
          <w:p w14:paraId="252F2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食堂保洁/洗碗</w:t>
            </w:r>
          </w:p>
        </w:tc>
        <w:tc>
          <w:tcPr>
            <w:tcW w:w="1425" w:type="dxa"/>
            <w:vAlign w:val="center"/>
          </w:tcPr>
          <w:p w14:paraId="7B327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854" w:type="dxa"/>
          </w:tcPr>
          <w:p w14:paraId="3B958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负责餐后餐具回收、清洗与高温消毒，清扫餐厅、后厨及储物间，分类处置餐厨垃圾并冲洗垃圾桶，落实食堂消杀防虫害工作，做好清洁工具管理，配合消毒台账登记，完成食堂临时清洁工作。</w:t>
            </w:r>
          </w:p>
        </w:tc>
      </w:tr>
      <w:tr w14:paraId="29F86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2" w:type="dxa"/>
            <w:gridSpan w:val="2"/>
            <w:vAlign w:val="center"/>
          </w:tcPr>
          <w:p w14:paraId="434F9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合计：</w:t>
            </w:r>
          </w:p>
        </w:tc>
        <w:tc>
          <w:tcPr>
            <w:tcW w:w="1425" w:type="dxa"/>
            <w:vAlign w:val="center"/>
          </w:tcPr>
          <w:p w14:paraId="4369C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5854" w:type="dxa"/>
          </w:tcPr>
          <w:p w14:paraId="3C8B9B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备注：所有食堂工作人员上岗前必须办理健康证，无传染病、无不良从业记录。所有人员工作期间着装规范、整洁卫生。</w:t>
            </w:r>
          </w:p>
        </w:tc>
      </w:tr>
    </w:tbl>
    <w:p w14:paraId="6CF1C7C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</w:p>
    <w:p w14:paraId="71B222D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（二）保洁服务要求</w:t>
      </w:r>
    </w:p>
    <w:p w14:paraId="5DAEF73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办公楼区域：办公室公共区域、走廊、楼梯、卫生间每日清扫不少于2次，垃圾日产日清，做到无灰尘、无积水、无蛛网、无垃圾；会议室需做好会前布置清洁、会后清理消杀工作；办公楼玻璃、扶手定期擦拭，保持干净整洁。</w:t>
      </w:r>
    </w:p>
    <w:p w14:paraId="118E182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2.庭院公共区域：每日对地面进行清扫，及时清理绿化带内杂物、落叶，定期清洗垃圾桶，疏通排水口，确保庭院环境整洁有序。</w:t>
      </w:r>
    </w:p>
    <w:p w14:paraId="5F22791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3.食堂关联区域：食堂外围、楼道每日清洁，无油污、无异味，同步配合食堂做好周边环境卫生保障。</w:t>
      </w:r>
    </w:p>
    <w:p w14:paraId="428977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4.总体标准：全部保洁区域符合机关办公环境规范，接受采购人日常检查。</w:t>
      </w:r>
    </w:p>
    <w:p w14:paraId="7178573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（三）安保秩序服务</w:t>
      </w:r>
    </w:p>
    <w:p w14:paraId="2D8CF9A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1.严格执行24小时值守制度，上下班高峰期主动引导车辆有序停放，维护办公区域交通秩序。</w:t>
      </w:r>
    </w:p>
    <w:p w14:paraId="62BD07C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2.建立外来人员、外来车辆登记管理制度，详细做好来访台账，严禁无关人员、车辆进入办公区域。</w:t>
      </w:r>
    </w:p>
    <w:p w14:paraId="1FBC53E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3.实行夜间定时巡逻制度，重点排查防火、防盗、防安全隐患，发现问题及时上报并处置。</w:t>
      </w:r>
    </w:p>
    <w:p w14:paraId="764BD85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4.积极配合办事处开展应急处置、维稳、防疫等相关工作，服从统一调度。</w:t>
      </w:r>
    </w:p>
    <w:p w14:paraId="424A083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（四）设施设备维护</w:t>
      </w:r>
    </w:p>
    <w:p w14:paraId="6AAA763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1.负责办公区域日常水电、照明、给排水、门窗等设施的简易维修，接到维修需求后及时响应，确保设施正常使用。</w:t>
      </w:r>
    </w:p>
    <w:p w14:paraId="1FDD367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2.对公共设施进行定期巡检，建立巡检台账，发现问题后24小时内完成处置（特殊情况除外，需提前报备）。</w:t>
      </w:r>
    </w:p>
    <w:p w14:paraId="54048AB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3.配合采购人开展消防检查、消防设施保养等相关工作，做好相关记录。</w:t>
      </w:r>
    </w:p>
    <w:p w14:paraId="5CD4BBC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（五）会务及后勤保障</w:t>
      </w:r>
    </w:p>
    <w:p w14:paraId="544FBFE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1.负责各类大小会议的会前布置、茶水供应、会场卫生，会后及时清理会场，恢复原貌。</w:t>
      </w:r>
    </w:p>
    <w:p w14:paraId="31D5D14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2.协助采购人开展物资搬运、各类活动布置及环境卫生保障工作。</w:t>
      </w:r>
    </w:p>
    <w:p w14:paraId="2C9EBEF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3.服从办事处统一调度，完成各类临时交办的后勤保障任务。</w:t>
      </w:r>
    </w:p>
    <w:p w14:paraId="416533D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（六）绿化养护</w:t>
      </w:r>
    </w:p>
    <w:p w14:paraId="70E2230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负责办公区域院内绿植、草坪的日常浇水、除草、修剪工作，定期开展病虫害防治，确保绿植长势良好，提升办公环境美观度。</w:t>
      </w:r>
    </w:p>
    <w:p w14:paraId="1E17B07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三、机关食堂托管详细需求</w:t>
      </w:r>
    </w:p>
    <w:p w14:paraId="04A48CB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（一）餐食标准</w:t>
      </w:r>
    </w:p>
    <w:p w14:paraId="503728C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1.供餐时间：以工作日午餐为主，根据采购人需求，可按需提供早餐、加班餐、接待简餐。</w:t>
      </w:r>
    </w:p>
    <w:p w14:paraId="22CD039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2.菜品要求：每日提供2荤2素1汤，注重营养搭配，口味清淡，符合机关干部饮食习惯；每周更新菜谱，确保菜品多样化，提前报备采购人确认。</w:t>
      </w:r>
    </w:p>
    <w:p w14:paraId="45D081D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3.食材要求：食材需新鲜、优质，从正规渠道采购，做好索证索票工作，严禁使用过期、变质、三无食材。</w:t>
      </w:r>
    </w:p>
    <w:p w14:paraId="48952FE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4.调味品要求：严禁使用地沟油、不合格调味品，米面油等基础食材需选用正规品牌，确保食品安全。</w:t>
      </w:r>
    </w:p>
    <w:p w14:paraId="39A7D5B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二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）食品安全管理</w:t>
      </w:r>
    </w:p>
    <w:p w14:paraId="37BF652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1.严格执行食品留样制度，每餐餐食需按规定留样，留样时间不少于48小时，做好留样台账记录。</w:t>
      </w:r>
    </w:p>
    <w:p w14:paraId="5983158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2.餐具、厨具需进行高温消毒，做好消毒记录；食堂后厨、餐厅每日进行清洁消杀，定期开展全面消杀。</w:t>
      </w:r>
    </w:p>
    <w:p w14:paraId="2AD15E9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3.建立完善的食材采购台账、消毒台账、留样台账，做到账物相符，可追溯。</w:t>
      </w:r>
    </w:p>
    <w:p w14:paraId="3E45DD1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4.严格遵守《中华人民共和国食品安全法》及相关规定，若出现食品安全事故，由服务商承担全部责任，采购人有权终止服务合同。</w:t>
      </w:r>
    </w:p>
    <w:p w14:paraId="47D54A1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三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）食堂环境与卫生</w:t>
      </w:r>
    </w:p>
    <w:p w14:paraId="6DD3590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1.食堂后厨、餐厅、储物间保持整洁有序，无油污、无积水、无杂物，做好防蟑螂、防老鼠、防蚊虫工作。</w:t>
      </w:r>
    </w:p>
    <w:p w14:paraId="2B8A35C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2.餐厨垃圾实行日产日清，按规定分类处理，不得随意堆放。</w:t>
      </w:r>
    </w:p>
    <w:p w14:paraId="32B1095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3.定期开展食堂大扫除，确保食堂卫生符合食品安全管理标准，接受采购人及相关部门检查。</w:t>
      </w:r>
    </w:p>
    <w:p w14:paraId="4E2F283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四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）其他要求</w:t>
      </w:r>
    </w:p>
    <w:p w14:paraId="11A7DF7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1.服从办事处后勤管理部门的统一管理，接受采购人对菜品质量、卫生状况、服务态度的监督，及时整改存在的问题。</w:t>
      </w:r>
    </w:p>
    <w:p w14:paraId="20AD9D4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2.可根据节假日、工作加班等特殊情况，调整供餐时间、供餐品类，提前与采购人沟通确认。</w:t>
      </w:r>
    </w:p>
    <w:p w14:paraId="631AB2A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3.协助采购人完成上级部门开展的食品安全检查、文明创建等相关迎检工作。</w:t>
      </w:r>
    </w:p>
    <w:p w14:paraId="27C560B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四、通用管理要求</w:t>
      </w:r>
    </w:p>
    <w:p w14:paraId="2E83F6D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1.所有服务人员（物业、食堂）需统一着装，佩戴工牌，文明礼貌、服务热情，严格遵守采购人的各项规章制度，服从管理。</w:t>
      </w:r>
    </w:p>
    <w:p w14:paraId="7933CE0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2.建立健全每日工作台账、值班台账、卫生台账、维修台账等，定期向采购人提交相关台账记录，接受检查。</w:t>
      </w:r>
    </w:p>
    <w:p w14:paraId="5EFDFCB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3.接受采购人开展的日常考核、月度考核、年度考核，考核不合格的，采购人有权要求服务商整改，整改仍不合格的，可终止服务合同。</w:t>
      </w:r>
    </w:p>
    <w:p w14:paraId="7D861E6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4.服务过程中产生的各类耗材、清洁剂、劳保用品等，均由服务商自行承担，采购人不额外支付相关费用。</w:t>
      </w:r>
    </w:p>
    <w:p w14:paraId="0E9009E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5.本项目严禁转包、分包，服务商需保证服务人员稳定，不得随意更换核心岗位人员（项目经理、主厨），确需更换的，需提前7个工作日向采购人报备，经同意后方可更换，且更换人员资质不得低于原岗位人员标准。</w:t>
      </w:r>
    </w:p>
    <w:p w14:paraId="2D42F74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五、考核标准</w:t>
      </w:r>
    </w:p>
    <w:p w14:paraId="14B835A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本考核实行百分制，分为日常考核（40分）、月度考核（30分）、年度考核（30分），考核结果与服务费用挂钩，考核不合格将按规定扣除服务费用，连续2次月度考核不合格，采购人有权终止服务合同。</w:t>
      </w:r>
    </w:p>
    <w:p w14:paraId="1800366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（一）物业管理考核（40分）</w:t>
      </w:r>
    </w:p>
    <w:p w14:paraId="7D356E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1.人员配置（10分）：按最低标配足额配备人员，人员资质达标、着装规范，缺岗1人扣3分，资质不达标1人扣5分，着装不规范每次扣1分。</w:t>
      </w:r>
    </w:p>
    <w:p w14:paraId="30EFA02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2.保洁服务（8分）：按需求完成各区域保洁，每发现1处不达标（如积水、垃圾、油污）扣1分，累计扣完为止；会议室清洁不到位每次扣2分。</w:t>
      </w:r>
    </w:p>
    <w:p w14:paraId="06482FF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3.安保秩序（7分）：严格执行24小时值守、来访登记、夜间巡逻制度，漏登记1次扣2分，脱岗1次扣5分，未按规定巡逻扣3分。</w:t>
      </w:r>
    </w:p>
    <w:p w14:paraId="66BB615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4.设施设备维护（7分）：维修响应及时，24小时内处置到位，拖延1次扣2分；未建立巡检台账扣3分，巡检不到位扣2分。</w:t>
      </w:r>
    </w:p>
    <w:p w14:paraId="0C10415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5.会务及后勤保障（4分）：会议布置、茶水供应到位，未按要求完成每次扣2分；临时后勤任务未配合完成扣2分。</w:t>
      </w:r>
    </w:p>
    <w:p w14:paraId="126BAD3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6.绿化养护（4分）：绿植长势良好，无杂草、无大面积病虫害，每发现1处不达标扣1分。</w:t>
      </w:r>
    </w:p>
    <w:p w14:paraId="46F00D6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（二）食堂托管考核（40分）</w:t>
      </w:r>
    </w:p>
    <w:p w14:paraId="0FFEDB9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1.人员配置与管理（8分）：按标配配备食堂人员，均持有效健康证、资质达标，缺岗1人扣3分，无健康证1人扣8分，着装不规范每次扣1分。</w:t>
      </w:r>
    </w:p>
    <w:p w14:paraId="15D289C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2.餐食标准（8分）：按要求提供2荤2素1汤，每周更新菜谱，菜品质量、口味达标，每少1个菜品扣2分，未更新菜谱每周扣3分，口味投诉1次扣2分。</w:t>
      </w:r>
    </w:p>
    <w:p w14:paraId="34BF1B0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3.食品安全管理（12分，一票否决项）：严格执行留样、消毒、台账管理制度，每发现1项未落实扣4分；出现食品安全隐患未整改扣8分，出现食品安全事故直接考核不合格，终止合同。</w:t>
      </w:r>
    </w:p>
    <w:p w14:paraId="6855525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4.食堂环境与卫生（8分）：后厨、餐厅、储物间整洁，无油污、无杂物、无蚊虫，每发现1处不达标扣2分；餐厨垃圾未分类处理每次扣2分。</w:t>
      </w:r>
    </w:p>
    <w:p w14:paraId="1311B29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5.其他要求（4分）：服从管理、及时整改问题，不服从调度1次扣2分，未按要求整改问题1次扣2分。</w:t>
      </w:r>
    </w:p>
    <w:p w14:paraId="6B8C23E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（三）通用管理考核（20分）</w:t>
      </w:r>
    </w:p>
    <w:p w14:paraId="37C8774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1.人员管理（6分）：服务人员文明礼貌、佩戴工牌，出现服务态度投诉1次扣2分，未佩戴工牌每次扣1分。</w:t>
      </w:r>
    </w:p>
    <w:p w14:paraId="0EB38A7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2.台账管理（6分）：按要求建立各类工作台账，定期提交，台账不完整1次扣2分，未按时提交扣3分。</w:t>
      </w:r>
    </w:p>
    <w:p w14:paraId="242AC34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3.履约管理（8分）：无转包、分包行为，核心岗位人员不随意更换，出现转包分包直接考核不合格；未经报备更换核心岗位人员1次扣8分，更换人员资质不达标扣5分。</w:t>
      </w:r>
    </w:p>
    <w:p w14:paraId="0337C9A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（四）考核奖惩说明</w:t>
      </w:r>
    </w:p>
    <w:p w14:paraId="7DC7413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1.考核得分90分及以上：全额支付当期服务费用，额外给予当期服务费5%的奖励。</w:t>
      </w:r>
    </w:p>
    <w:p w14:paraId="3F2940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2.考核得分80-89分：全额支付当期服务费用，无奖励。</w:t>
      </w:r>
    </w:p>
    <w:p w14:paraId="76FF155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3.考核得分70-79分：扣除当期服务费的10%，限期3日内整改，整改后验收合格方可支付剩余费用。</w:t>
      </w:r>
    </w:p>
    <w:p w14:paraId="2B82BC8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4.考核得分70分以下：扣除当期服务费的20%，限期5日内整改；连续2次考核得分70分以下，采购人有权终止服务合同，服务商承担相应违约责任。</w:t>
      </w:r>
    </w:p>
    <w:p w14:paraId="0275C359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="仿宋" w:hAnsi="仿宋" w:eastAsia="仿宋" w:cs="仿宋"/>
          <w:color w:val="auto"/>
          <w:highlight w:val="none"/>
        </w:rPr>
      </w:pPr>
    </w:p>
    <w:p w14:paraId="50544940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="仿宋" w:hAnsi="仿宋" w:eastAsia="仿宋" w:cs="仿宋"/>
          <w:color w:val="auto"/>
          <w:highlight w:val="none"/>
        </w:rPr>
      </w:pPr>
    </w:p>
    <w:p w14:paraId="71F84067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="仿宋" w:hAnsi="仿宋" w:eastAsia="仿宋" w:cs="仿宋"/>
          <w:color w:val="auto"/>
          <w:highlight w:val="none"/>
        </w:rPr>
      </w:pPr>
    </w:p>
    <w:p w14:paraId="6CD0063E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8" w:name="_Toc31896"/>
      <w:bookmarkStart w:id="9" w:name="_Toc27607"/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三、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商务条件</w:t>
      </w:r>
      <w:bookmarkEnd w:id="8"/>
      <w:bookmarkEnd w:id="9"/>
    </w:p>
    <w:p w14:paraId="48D7B8A7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rFonts w:hint="eastAsia" w:ascii="仿宋" w:hAnsi="仿宋" w:eastAsia="仿宋" w:cs="仿宋"/>
          <w:color w:val="auto"/>
          <w:highlight w:val="none"/>
          <w:lang w:eastAsia="zh-CN"/>
        </w:rPr>
      </w:pPr>
    </w:p>
    <w:p w14:paraId="2FD6C28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（一）服务费用</w:t>
      </w:r>
    </w:p>
    <w:p w14:paraId="5AC6FE6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本项目年度服务总费用最高限价为34.9992万元/年，实行总价包干模式，包含物业管理、食堂托管所有人工成本、服务耗材、工具设备、税费等一切相关费用，不含食材采购费（食材由采购人另行采购或据实结算，服务商配合做好食材验收、加工相关工作）。</w:t>
      </w:r>
    </w:p>
    <w:p w14:paraId="5A95F00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2.报价要求：服务商报价不得超过年度最高限价，报价一经提交，不得擅自更改，若发现报价低于成本价且无法提供合理说明，采购人有权取消其中标资格。</w:t>
      </w:r>
    </w:p>
    <w:p w14:paraId="21CE7E2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费用支付方式：按季度支付，每季度结束后10个工作日内，采购人完成当期考核，考核合格后，凭服务商开具的合法有效发票，支付当期服务费用（扣除应扣款项后）；年度考核完成后，结清剩余服务费用及奖励（若有）。</w:t>
      </w:r>
    </w:p>
    <w:p w14:paraId="5C009E8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（二）服务期限</w:t>
      </w:r>
    </w:p>
    <w:p w14:paraId="1436B51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1.本项目服务期限为1年，自双方签订服务合同之日起计算。</w:t>
      </w:r>
    </w:p>
    <w:p w14:paraId="3FCAC1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服务期满前30个工作日，同时满足以下全部条件的，双方可按原合同主要条款</w:t>
      </w:r>
      <w:r>
        <w:rPr>
          <w:rStyle w:val="8"/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</w:rPr>
        <w:t>一年一续签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：①服务商上年度不少于10个月考核得分≥80 分；②下一年度财政预算已足额落实；③服务内容、服务标准、服务范围未发生重大变更。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</w:rPr>
        <w:t>本项目</w:t>
      </w:r>
      <w:r>
        <w:rPr>
          <w:rStyle w:val="8"/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</w:rPr>
        <w:t>累计服务总年限最长不超过3年</w:t>
      </w: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24"/>
          <w:highlight w:val="none"/>
        </w:rPr>
        <w:t>，最多可续签2次。若预算未获批、政策调整或考核不达标，采购人有权不予续签，无需承担违约责任。</w:t>
      </w:r>
    </w:p>
    <w:p w14:paraId="112DF7E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3.服务期内，若服务商出现重大违约（如食品安全事故、转包分包、连续2次月度考核不合格等），采购人有权提前终止服务合同，服务商承担相应违约责任。</w:t>
      </w:r>
    </w:p>
    <w:p w14:paraId="05C90CA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（三）合同签订与履约</w:t>
      </w:r>
    </w:p>
    <w:p w14:paraId="54240DF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1.中标人在收到中标通知书后30日内，需与采购人签订服务合同，逾期未签订的，视为自动放弃中标资格，采购人有权重新采购。</w:t>
      </w:r>
    </w:p>
    <w:p w14:paraId="494E184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2.服务商需严格按照本采购需求及合同约定履行服务义务，不得擅自缩减服务范围、降低服务标准，若出现此类情况，采购人有权扣除相应服务费用，情节严重的，终止合同并追究违约责任。</w:t>
      </w:r>
    </w:p>
    <w:p w14:paraId="62337D6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（四）违约责任</w:t>
      </w:r>
    </w:p>
    <w:p w14:paraId="772649C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服务商未按合同约定配备足额工作人员、未达到服务标准的，采购人有权要求限期整改，在整改期间扣除相应服务费用；整改后仍未达标，按考核标准执行奖惩，情节严重的，终止合同，没收履约保证金，并要求服务商赔偿损失。</w:t>
      </w:r>
    </w:p>
    <w:p w14:paraId="2DFCA74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2.服务商出现转包、分包行为，或擅自更换核心岗位人员（项目经理、主厨）且未按规定报备的，采购人有权终止合同，没收履约保证金，同时服务商需支付年度服务费用20%的违约金。</w:t>
      </w:r>
    </w:p>
    <w:p w14:paraId="604B753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3.因服务商原因导致食品安全事故、安全隐患等问题，给采购人造成损失的，由服务商承担全部赔偿责任，采购人有权终止合同，没收履约保证金，并追究其相关法律责任</w:t>
      </w:r>
    </w:p>
    <w:p w14:paraId="2F1B44A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4.采购人未按合同约定按时支付服务费用的，每逾期1天，按当期应付未付金额的0.5‰支付违约金；逾期超过30天，服务商有权暂停服务，由此造成的损失由采购人承担。</w:t>
      </w:r>
    </w:p>
    <w:p w14:paraId="237754C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（五）双方权利与义务</w:t>
      </w:r>
    </w:p>
    <w:p w14:paraId="69F84D9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1.采购人权利义务：</w:t>
      </w:r>
    </w:p>
    <w:p w14:paraId="7618F39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（1）有权对服务商的服务质量、人员配置、工作落实情况进行日常监督、考核，提出整改意见。</w:t>
      </w:r>
    </w:p>
    <w:p w14:paraId="17E923B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（2）按时支付服务费用，提供必要的工作条件（如办公场地、水电接入等），配合服务商开展工作。</w:t>
      </w:r>
    </w:p>
    <w:p w14:paraId="4C57909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（3）及时向服务商传达相关工作要求、政策规定，协助服务商协调解决服务过程中遇到的合理问题。</w:t>
      </w:r>
    </w:p>
    <w:p w14:paraId="2CA352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2.服务商权利义务：</w:t>
      </w:r>
    </w:p>
    <w:p w14:paraId="0480495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（1）有权要求采购人按时支付服务费用，提供必要的工作支持。</w:t>
      </w:r>
    </w:p>
    <w:p w14:paraId="0D1CAF3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（2）严格按照采购需求及合同约定提供服务，建立完善的服务管理制度，确保服务质量达标。</w:t>
      </w:r>
    </w:p>
    <w:p w14:paraId="4A77FFC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（3）负责服务人员的招聘、培训、管理，承担服务人员的工资、社保、福利等相关费用，确保服务人员资质达标、持证上岗。</w:t>
      </w:r>
    </w:p>
    <w:p w14:paraId="5218E45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（4）服务过程中发生安全事故、投诉纠纷等，及时处理并向采购人报备，承担相应责任。</w:t>
      </w:r>
    </w:p>
    <w:p w14:paraId="07E837C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（六）不可抗力</w:t>
      </w:r>
    </w:p>
    <w:p w14:paraId="2B74BDF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因地震、洪水、台风等不可抗力因素导致无法履行合同义务的，双方均不承担违约责任，不可抗力发生后，受影响一方需及时通知对方，并在不可抗力发生后15个工作日内提供相关证明文件，双方协商后续事宜（如顺延服务期限、减免相应服务费用等）。</w:t>
      </w:r>
    </w:p>
    <w:p w14:paraId="384DBF0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2.不可抗力因素消除后，受影响一方需尽快恢复服务，确保服务连续，若无法恢复服务，双方协商解除合同，互不追究责任。</w:t>
      </w:r>
    </w:p>
    <w:p w14:paraId="031C8A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（七）争议解决</w:t>
      </w:r>
    </w:p>
    <w:p w14:paraId="575EE5E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1.本合同履行过程中发生的争议，双方应首先友好协商解决；协商不成的，任何一方均有权向甲方所在地人民法院提起诉讼。</w:t>
      </w:r>
    </w:p>
    <w:p w14:paraId="2DAA72A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2.争议解决期间，除争议事项外，双方应继续履行合同其他约定。</w:t>
      </w:r>
    </w:p>
    <w:p w14:paraId="5484B97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  <w:t>（八）其他</w:t>
      </w:r>
    </w:p>
    <w:p w14:paraId="193B5DC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1.本商务条款与采购需求、合同其他条款具有同等法律效力，若存在不一致，以合同约定为准；合同未约定的，按本采购需求及相关法律法规执行。</w:t>
      </w:r>
    </w:p>
    <w:p w14:paraId="63C75C9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2.服务期内，若相关政策、服务标准发生调整，双方应协商调整服务内容及相关条款，签订补充协议。</w:t>
      </w:r>
    </w:p>
    <w:p w14:paraId="7D5A2F5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ind w:firstLine="480" w:firstLineChars="200"/>
        <w:outlineLvl w:val="9"/>
        <w:rPr>
          <w:rFonts w:hint="eastAsia" w:ascii="仿宋" w:hAnsi="仿宋" w:eastAsia="仿宋" w:cs="仿宋"/>
          <w:color w:val="auto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4"/>
          <w:szCs w:val="24"/>
          <w:highlight w:val="none"/>
          <w:lang w:val="en-US" w:eastAsia="zh-CN" w:bidi="ar"/>
        </w:rPr>
        <w:t>3.本项目服务结束后，服务商需做好服务交接工作，移交相关台账、工具设备等，确保服务衔接顺畅，无遗留问题。</w:t>
      </w:r>
    </w:p>
    <w:p w14:paraId="244E084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51A52">
    <w:pPr>
      <w:pStyle w:val="4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1E6E87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uMeuoyAgAAYw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m4x66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1E6E87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3E1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0"/>
    <w:rPr>
      <w:b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2026-06-27T05:37:19Z</dcterms:created>
  <dc:creator>Administrator</dc:creator>
  <cp:lastModifiedBy>Administrator</cp:lastModifiedBy>
  <dcterms:modified xsi:type="dcterms:W3CDTF">2026-06-27T05:37:42Z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eyJoZGlkIjoiZmQ5YmE1MWY4NzI0NGM3ZmRkMGYwNTVkZmEzYzQ3NzIiLCJ1c2VySWQiOiI0MzQyNzY3OTgifQ==</vt:lpwstr>
  </property>
  <property fmtid="{D5CDD505-2E9C-101B-9397-08002B2CF9AE}" pid="4" name="ICV">
    <vt:lpwstr>988ADCFB6E1448FABE8DE50AF436B3A4_12</vt:lpwstr>
  </property>
</Properties>
</file>