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6F4DB6">
      <w:pPr>
        <w:pageBreakBefore w:val="0"/>
        <w:kinsoku/>
        <w:wordWrap/>
        <w:overflowPunct/>
        <w:topLinePunct w:val="0"/>
        <w:bidi w:val="0"/>
        <w:snapToGrid/>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一、技术要求</w:t>
      </w:r>
    </w:p>
    <w:p w14:paraId="628A37FF">
      <w:pPr>
        <w:pageBreakBefore w:val="0"/>
        <w:kinsoku/>
        <w:wordWrap/>
        <w:overflowPunct/>
        <w:topLinePunct w:val="0"/>
        <w:bidi w:val="0"/>
        <w:snapToGrid/>
        <w:spacing w:line="360" w:lineRule="auto"/>
        <w:jc w:val="left"/>
        <w:outlineLvl w:val="2"/>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（一）项目概况</w:t>
      </w:r>
    </w:p>
    <w:p w14:paraId="6B931F8E">
      <w:pPr>
        <w:pageBreakBefore w:val="0"/>
        <w:kinsoku/>
        <w:wordWrap/>
        <w:overflowPunct/>
        <w:topLinePunct w:val="0"/>
        <w:bidi w:val="0"/>
        <w:snapToGrid/>
        <w:spacing w:line="360" w:lineRule="auto"/>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本次采购范围为“</w:t>
      </w:r>
      <w:r>
        <w:rPr>
          <w:rFonts w:hint="eastAsia" w:ascii="宋体" w:hAnsi="宋体" w:cs="宋体"/>
          <w:b w:val="0"/>
          <w:bCs w:val="0"/>
          <w:color w:val="auto"/>
          <w:sz w:val="24"/>
          <w:szCs w:val="24"/>
          <w:highlight w:val="none"/>
          <w:lang w:eastAsia="zh-CN"/>
        </w:rPr>
        <w:t>云桌面一体机采购项目（第二次）</w:t>
      </w:r>
      <w:r>
        <w:rPr>
          <w:rFonts w:hint="eastAsia" w:ascii="宋体" w:hAnsi="宋体" w:eastAsia="宋体" w:cs="宋体"/>
          <w:b w:val="0"/>
          <w:bCs w:val="0"/>
          <w:color w:val="auto"/>
          <w:sz w:val="24"/>
          <w:szCs w:val="24"/>
          <w:highlight w:val="none"/>
        </w:rPr>
        <w:t>”。包括所有设备、配套材料、辅材（六类水晶头、六类网线、插板、电源线、线槽等）、专用工具的供货及其安装调试、技术支持、验收和培训等，即“交钥匙工程”。在项目完成至交钥匙期间，不免除供货方的保管责任。</w:t>
      </w:r>
    </w:p>
    <w:p w14:paraId="062E7656">
      <w:pPr>
        <w:pStyle w:val="2"/>
        <w:pageBreakBefore w:val="0"/>
        <w:numPr>
          <w:ilvl w:val="0"/>
          <w:numId w:val="1"/>
        </w:numPr>
        <w:kinsoku/>
        <w:wordWrap/>
        <w:overflowPunct/>
        <w:topLinePunct w:val="0"/>
        <w:bidi w:val="0"/>
        <w:snapToGrid/>
        <w:spacing w:before="0" w:line="360" w:lineRule="auto"/>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采购标的名称、技术参数要求、数量、单位（包括主件及附件，含安装）</w:t>
      </w:r>
    </w:p>
    <w:tbl>
      <w:tblPr>
        <w:tblStyle w:val="4"/>
        <w:tblW w:w="9287" w:type="dxa"/>
        <w:jc w:val="center"/>
        <w:tblLayout w:type="fixed"/>
        <w:tblCellMar>
          <w:top w:w="0" w:type="dxa"/>
          <w:left w:w="108" w:type="dxa"/>
          <w:bottom w:w="0" w:type="dxa"/>
          <w:right w:w="108" w:type="dxa"/>
        </w:tblCellMar>
      </w:tblPr>
      <w:tblGrid>
        <w:gridCol w:w="560"/>
        <w:gridCol w:w="1120"/>
        <w:gridCol w:w="6422"/>
        <w:gridCol w:w="585"/>
        <w:gridCol w:w="600"/>
      </w:tblGrid>
      <w:tr w14:paraId="6806BB82">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3F7E7C83">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序号</w:t>
            </w:r>
          </w:p>
        </w:tc>
        <w:tc>
          <w:tcPr>
            <w:tcW w:w="1120" w:type="dxa"/>
            <w:tcBorders>
              <w:top w:val="single" w:color="000000" w:sz="4" w:space="0"/>
              <w:left w:val="single" w:color="000000" w:sz="4" w:space="0"/>
              <w:bottom w:val="single" w:color="000000" w:sz="4" w:space="0"/>
              <w:right w:val="single" w:color="000000" w:sz="4" w:space="0"/>
            </w:tcBorders>
            <w:vAlign w:val="center"/>
          </w:tcPr>
          <w:p w14:paraId="727B7B10">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采购标的名称</w:t>
            </w:r>
          </w:p>
        </w:tc>
        <w:tc>
          <w:tcPr>
            <w:tcW w:w="6422" w:type="dxa"/>
            <w:tcBorders>
              <w:top w:val="single" w:color="000000" w:sz="4" w:space="0"/>
              <w:left w:val="single" w:color="000000" w:sz="4" w:space="0"/>
              <w:bottom w:val="single" w:color="000000" w:sz="4" w:space="0"/>
              <w:right w:val="single" w:color="000000" w:sz="4" w:space="0"/>
            </w:tcBorders>
            <w:vAlign w:val="center"/>
          </w:tcPr>
          <w:p w14:paraId="062D0DFA">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技术参数要求</w:t>
            </w:r>
          </w:p>
        </w:tc>
        <w:tc>
          <w:tcPr>
            <w:tcW w:w="585" w:type="dxa"/>
            <w:tcBorders>
              <w:top w:val="single" w:color="000000" w:sz="4" w:space="0"/>
              <w:left w:val="single" w:color="000000" w:sz="4" w:space="0"/>
              <w:bottom w:val="single" w:color="000000" w:sz="4" w:space="0"/>
              <w:right w:val="single" w:color="000000" w:sz="4" w:space="0"/>
            </w:tcBorders>
            <w:vAlign w:val="center"/>
          </w:tcPr>
          <w:p w14:paraId="097DD85C">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数量</w:t>
            </w:r>
          </w:p>
        </w:tc>
        <w:tc>
          <w:tcPr>
            <w:tcW w:w="600" w:type="dxa"/>
            <w:tcBorders>
              <w:top w:val="single" w:color="000000" w:sz="4" w:space="0"/>
              <w:left w:val="single" w:color="000000" w:sz="4" w:space="0"/>
              <w:bottom w:val="single" w:color="000000" w:sz="4" w:space="0"/>
              <w:right w:val="single" w:color="000000" w:sz="4" w:space="0"/>
            </w:tcBorders>
            <w:vAlign w:val="center"/>
          </w:tcPr>
          <w:p w14:paraId="3BE1FF2A">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单位</w:t>
            </w:r>
          </w:p>
        </w:tc>
      </w:tr>
      <w:tr w14:paraId="231AFAC7">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65544E7B">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1</w:t>
            </w:r>
          </w:p>
        </w:tc>
        <w:tc>
          <w:tcPr>
            <w:tcW w:w="1120" w:type="dxa"/>
            <w:tcBorders>
              <w:top w:val="single" w:color="000000" w:sz="4" w:space="0"/>
              <w:left w:val="single" w:color="000000" w:sz="4" w:space="0"/>
              <w:bottom w:val="single" w:color="000000" w:sz="4" w:space="0"/>
              <w:right w:val="single" w:color="000000" w:sz="4" w:space="0"/>
            </w:tcBorders>
            <w:vAlign w:val="center"/>
          </w:tcPr>
          <w:p w14:paraId="6E539FDE">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云桌面平台</w:t>
            </w:r>
          </w:p>
        </w:tc>
        <w:tc>
          <w:tcPr>
            <w:tcW w:w="6422" w:type="dxa"/>
            <w:tcBorders>
              <w:top w:val="single" w:color="000000" w:sz="4" w:space="0"/>
              <w:left w:val="single" w:color="000000" w:sz="4" w:space="0"/>
              <w:bottom w:val="single" w:color="000000" w:sz="4" w:space="0"/>
              <w:right w:val="single" w:color="000000" w:sz="4" w:space="0"/>
            </w:tcBorders>
            <w:vAlign w:val="center"/>
          </w:tcPr>
          <w:p w14:paraId="19290A07">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1、云桌面平台对云终端的存储空间进行统一管理，云终端数据盘满时，在云桌面管理页面提供一键清理功能。</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2、提供B/S架构的云终端统一管理界面，提供向导式的部署方法。</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云桌面平台能够对教室中学生云终端和教师终端进行统一管理，能够在同一管理界面同时查看到学生云终端和教师终端；能够在云桌面平台后台界面内实现对所有学生云终端批量配置，桌面批量新建、设置和删除，同时也能对教师终端进行镜像下发、配置。</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4、可以对传统PC实现轻量级纳管，在同一个平台上支持云化终端以及未云化的PC统一管理，支持未云化的PC接入，接入过程无需格式化PC，直接安装exe文件即可，安装后在管理平台上可查看PC的在线状态。</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5、单台服务器即可支持对VDI、IDV、TCI三类终端的统一纳管；同一虚拟教室的学生机可以按需工作在VDI、IDV、TCI任意一种模式下。</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6、云桌面平台可实时显示在线终端列表，云终端的闲置率，支持对所有终端实现一键关机功能。</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7、提供云桌面的统一管理功能，能统一监控云桌面，包含但不限于以下参数：在线情况、IP地址、终端MAC地址；并可新建、修改、删除、批量生成云桌面。</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8、为保证能够及时使用到新版本，云桌面平台软件版本及时更新，提供统一升级功能。云终端控制器可以导入升级包，升级包可以对云终端控制器、云终端、教学管理软件升级。</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9、云桌面平台和云终端都应支持上电自启动，确保异常掉电之后重新加电设备能够自动启动，无需人工干预。</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10、可以对产品实时部署质量、运行状态，进行检测，生成体检报告，对检测结果量化管理，提醒用户及时处理体检不合规项，体检项目至少包含：云主机型号检测、云主机SN号、BIOS、CPU型号、CPU温度、主机内存、内存大小、硬盘类型、硬盘大小、硬盘固件版本、终端类型、系统版本、网络设置、产品网络部署模式检测，支持体检完成后自动修复常见问题。</w:t>
            </w:r>
            <w:r>
              <w:rPr>
                <w:rFonts w:hint="eastAsia" w:ascii="宋体" w:hAnsi="宋体" w:cstheme="minorEastAsia"/>
                <w:b w:val="0"/>
                <w:bCs w:val="0"/>
                <w:color w:val="auto"/>
                <w:kern w:val="0"/>
                <w:sz w:val="24"/>
                <w:szCs w:val="24"/>
                <w:highlight w:val="none"/>
                <w:lang w:bidi="ar"/>
              </w:rPr>
              <w:t>（响应文件中须</w:t>
            </w:r>
            <w:r>
              <w:rPr>
                <w:rFonts w:hint="eastAsia" w:ascii="宋体" w:hAnsi="宋体" w:cstheme="minorEastAsia"/>
                <w:b w:val="0"/>
                <w:bCs w:val="0"/>
                <w:color w:val="auto"/>
                <w:sz w:val="24"/>
                <w:szCs w:val="24"/>
                <w:highlight w:val="none"/>
                <w:lang w:bidi="ar"/>
              </w:rPr>
              <w:t>提供具有CMA认可的第三方检验（测）机构出具的</w:t>
            </w:r>
            <w:r>
              <w:rPr>
                <w:rFonts w:hint="eastAsia" w:ascii="宋体" w:hAnsi="宋体" w:cstheme="minorEastAsia"/>
                <w:b w:val="0"/>
                <w:bCs w:val="0"/>
                <w:color w:val="auto"/>
                <w:sz w:val="24"/>
                <w:szCs w:val="24"/>
                <w:highlight w:val="none"/>
              </w:rPr>
              <w:t>检验（测）报告</w:t>
            </w:r>
            <w:r>
              <w:rPr>
                <w:rFonts w:hint="eastAsia" w:ascii="宋体" w:hAnsi="宋体" w:cstheme="minorEastAsia"/>
                <w:b w:val="0"/>
                <w:bCs w:val="0"/>
                <w:color w:val="auto"/>
                <w:sz w:val="24"/>
                <w:szCs w:val="24"/>
                <w:highlight w:val="none"/>
                <w:lang w:val="en-US" w:eastAsia="zh-CN"/>
              </w:rPr>
              <w:t>彩色</w:t>
            </w:r>
            <w:r>
              <w:rPr>
                <w:rFonts w:hint="eastAsia" w:ascii="宋体" w:hAnsi="宋体" w:cstheme="minorEastAsia"/>
                <w:b w:val="0"/>
                <w:bCs w:val="0"/>
                <w:color w:val="auto"/>
                <w:kern w:val="0"/>
                <w:sz w:val="24"/>
                <w:szCs w:val="24"/>
                <w:highlight w:val="none"/>
                <w:lang w:bidi="ar"/>
              </w:rPr>
              <w:t>扫描件{检验依据（GB/T 25000.51</w:t>
            </w:r>
            <w:r>
              <w:rPr>
                <w:rFonts w:hint="eastAsia" w:ascii="宋体" w:hAnsi="宋体" w:cstheme="minorEastAsia"/>
                <w:b w:val="0"/>
                <w:bCs w:val="0"/>
                <w:color w:val="auto"/>
                <w:kern w:val="0"/>
                <w:sz w:val="24"/>
                <w:szCs w:val="24"/>
                <w:highlight w:val="none"/>
                <w:lang w:val="en-US" w:eastAsia="zh-CN" w:bidi="ar"/>
              </w:rPr>
              <w:t>-2016</w:t>
            </w:r>
            <w:r>
              <w:rPr>
                <w:rFonts w:hint="eastAsia" w:ascii="宋体" w:hAnsi="宋体" w:cstheme="minorEastAsia"/>
                <w:b w:val="0"/>
                <w:bCs w:val="0"/>
                <w:color w:val="auto"/>
                <w:kern w:val="0"/>
                <w:sz w:val="24"/>
                <w:szCs w:val="24"/>
                <w:highlight w:val="none"/>
                <w:lang w:bidi="ar"/>
              </w:rPr>
              <w:t>）}</w:t>
            </w:r>
            <w:r>
              <w:rPr>
                <w:rFonts w:hint="eastAsia" w:ascii="宋体" w:hAnsi="宋体" w:cstheme="minorEastAsia"/>
                <w:b w:val="0"/>
                <w:bCs w:val="0"/>
                <w:color w:val="auto"/>
                <w:kern w:val="0"/>
                <w:sz w:val="24"/>
                <w:szCs w:val="24"/>
                <w:highlight w:val="none"/>
                <w:lang w:eastAsia="zh-CN" w:bidi="ar"/>
              </w:rPr>
              <w:t>、检验检测机构资质认定能力证明并加盖供应商公章</w:t>
            </w:r>
            <w:r>
              <w:rPr>
                <w:rFonts w:hint="eastAsia" w:ascii="宋体" w:hAnsi="宋体" w:cstheme="minorEastAsia"/>
                <w:b w:val="0"/>
                <w:bCs w:val="0"/>
                <w:color w:val="auto"/>
                <w:sz w:val="24"/>
                <w:szCs w:val="24"/>
                <w:highlight w:val="none"/>
                <w:lang w:bidi="ar"/>
              </w:rPr>
              <w:t>）</w:t>
            </w:r>
          </w:p>
          <w:p w14:paraId="5672641E">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11、支持管理员通过服务器集群的web管理平台唤醒远程不同网段的终端，中间无需使用跳板机转发。</w:t>
            </w:r>
          </w:p>
          <w:p w14:paraId="7D77A7DD">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12、在云桌面平台中的教室模板镜像实施交付阶段，完成Adobe相关软件、office2019及以上版本软件、C++与。net环境、视频剪辑相关软件、python编程与数据库相关环境等常用的教学软件与环境配置，镜像下发至学生端后，学生可直接打开软件使用。</w:t>
            </w:r>
          </w:p>
          <w:p w14:paraId="62132782">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13、支持数据重构，为保证硬盘故障后，数据可以快速重构，在分布式存储的方案下，1T 数据重构时间不超过15分钟。</w:t>
            </w:r>
            <w:r>
              <w:rPr>
                <w:rFonts w:hint="eastAsia" w:ascii="宋体" w:hAnsi="宋体" w:cstheme="minorEastAsia"/>
                <w:b w:val="0"/>
                <w:bCs w:val="0"/>
                <w:color w:val="auto"/>
                <w:kern w:val="0"/>
                <w:sz w:val="24"/>
                <w:szCs w:val="24"/>
                <w:highlight w:val="none"/>
                <w:lang w:bidi="ar"/>
              </w:rPr>
              <w:t>（响应文件中须</w:t>
            </w:r>
            <w:r>
              <w:rPr>
                <w:rFonts w:hint="eastAsia" w:ascii="宋体" w:hAnsi="宋体" w:cstheme="minorEastAsia"/>
                <w:b w:val="0"/>
                <w:bCs w:val="0"/>
                <w:color w:val="auto"/>
                <w:sz w:val="24"/>
                <w:szCs w:val="24"/>
                <w:highlight w:val="none"/>
                <w:lang w:bidi="ar"/>
              </w:rPr>
              <w:t>提供具有CMA认可的第三方检验（测）机构出具的</w:t>
            </w:r>
            <w:r>
              <w:rPr>
                <w:rFonts w:hint="eastAsia" w:ascii="宋体" w:hAnsi="宋体" w:cstheme="minorEastAsia"/>
                <w:b w:val="0"/>
                <w:bCs w:val="0"/>
                <w:color w:val="auto"/>
                <w:sz w:val="24"/>
                <w:szCs w:val="24"/>
                <w:highlight w:val="none"/>
              </w:rPr>
              <w:t>检验（测）报告</w:t>
            </w:r>
            <w:r>
              <w:rPr>
                <w:rFonts w:hint="eastAsia" w:ascii="宋体" w:hAnsi="宋体" w:cstheme="minorEastAsia"/>
                <w:b w:val="0"/>
                <w:bCs w:val="0"/>
                <w:color w:val="auto"/>
                <w:sz w:val="24"/>
                <w:szCs w:val="24"/>
                <w:highlight w:val="none"/>
                <w:lang w:val="en-US" w:eastAsia="zh-CN"/>
              </w:rPr>
              <w:t>彩色</w:t>
            </w:r>
            <w:r>
              <w:rPr>
                <w:rFonts w:hint="eastAsia" w:ascii="宋体" w:hAnsi="宋体" w:cstheme="minorEastAsia"/>
                <w:b w:val="0"/>
                <w:bCs w:val="0"/>
                <w:color w:val="auto"/>
                <w:kern w:val="0"/>
                <w:sz w:val="24"/>
                <w:szCs w:val="24"/>
                <w:highlight w:val="none"/>
                <w:lang w:bidi="ar"/>
              </w:rPr>
              <w:t>扫描件{检验依据（GB/T 25000.51</w:t>
            </w:r>
            <w:r>
              <w:rPr>
                <w:rFonts w:hint="eastAsia" w:ascii="宋体" w:hAnsi="宋体" w:cstheme="minorEastAsia"/>
                <w:b w:val="0"/>
                <w:bCs w:val="0"/>
                <w:color w:val="auto"/>
                <w:kern w:val="0"/>
                <w:sz w:val="24"/>
                <w:szCs w:val="24"/>
                <w:highlight w:val="none"/>
                <w:lang w:val="en-US" w:eastAsia="zh-CN" w:bidi="ar"/>
              </w:rPr>
              <w:t>-2016</w:t>
            </w:r>
            <w:r>
              <w:rPr>
                <w:rFonts w:hint="eastAsia" w:ascii="宋体" w:hAnsi="宋体" w:cstheme="minorEastAsia"/>
                <w:b w:val="0"/>
                <w:bCs w:val="0"/>
                <w:color w:val="auto"/>
                <w:kern w:val="0"/>
                <w:sz w:val="24"/>
                <w:szCs w:val="24"/>
                <w:highlight w:val="none"/>
                <w:lang w:bidi="ar"/>
              </w:rPr>
              <w:t>）}</w:t>
            </w:r>
            <w:r>
              <w:rPr>
                <w:rFonts w:hint="eastAsia" w:ascii="宋体" w:hAnsi="宋体" w:cstheme="minorEastAsia"/>
                <w:b w:val="0"/>
                <w:bCs w:val="0"/>
                <w:color w:val="auto"/>
                <w:kern w:val="0"/>
                <w:sz w:val="24"/>
                <w:szCs w:val="24"/>
                <w:highlight w:val="none"/>
                <w:lang w:eastAsia="zh-CN" w:bidi="ar"/>
              </w:rPr>
              <w:t>、检验检测机构资质认定能力证明并加盖供应商公章</w:t>
            </w:r>
            <w:r>
              <w:rPr>
                <w:rFonts w:hint="eastAsia" w:ascii="宋体" w:hAnsi="宋体" w:cstheme="minorEastAsia"/>
                <w:b w:val="0"/>
                <w:bCs w:val="0"/>
                <w:color w:val="auto"/>
                <w:sz w:val="24"/>
                <w:szCs w:val="24"/>
                <w:highlight w:val="none"/>
                <w:lang w:bidi="ar"/>
              </w:rPr>
              <w:t>）</w:t>
            </w:r>
          </w:p>
        </w:tc>
        <w:tc>
          <w:tcPr>
            <w:tcW w:w="585" w:type="dxa"/>
            <w:tcBorders>
              <w:top w:val="single" w:color="000000" w:sz="4" w:space="0"/>
              <w:left w:val="single" w:color="000000" w:sz="4" w:space="0"/>
              <w:bottom w:val="single" w:color="000000" w:sz="4" w:space="0"/>
              <w:right w:val="single" w:color="000000" w:sz="4" w:space="0"/>
            </w:tcBorders>
            <w:vAlign w:val="center"/>
          </w:tcPr>
          <w:p w14:paraId="4574D373">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1 </w:t>
            </w:r>
          </w:p>
        </w:tc>
        <w:tc>
          <w:tcPr>
            <w:tcW w:w="600" w:type="dxa"/>
            <w:tcBorders>
              <w:top w:val="single" w:color="000000" w:sz="4" w:space="0"/>
              <w:left w:val="single" w:color="000000" w:sz="4" w:space="0"/>
              <w:bottom w:val="single" w:color="000000" w:sz="4" w:space="0"/>
              <w:right w:val="single" w:color="000000" w:sz="4" w:space="0"/>
            </w:tcBorders>
            <w:vAlign w:val="center"/>
          </w:tcPr>
          <w:p w14:paraId="2DE0C60F">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套</w:t>
            </w:r>
          </w:p>
        </w:tc>
      </w:tr>
      <w:tr w14:paraId="1A2DCE52">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5D136927">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2</w:t>
            </w:r>
          </w:p>
        </w:tc>
        <w:tc>
          <w:tcPr>
            <w:tcW w:w="1120" w:type="dxa"/>
            <w:tcBorders>
              <w:top w:val="single" w:color="000000" w:sz="4" w:space="0"/>
              <w:left w:val="single" w:color="000000" w:sz="4" w:space="0"/>
              <w:bottom w:val="single" w:color="000000" w:sz="4" w:space="0"/>
              <w:right w:val="single" w:color="000000" w:sz="4" w:space="0"/>
            </w:tcBorders>
            <w:vAlign w:val="center"/>
          </w:tcPr>
          <w:p w14:paraId="4CB5D43C">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教学管理软件</w:t>
            </w:r>
          </w:p>
        </w:tc>
        <w:tc>
          <w:tcPr>
            <w:tcW w:w="6422" w:type="dxa"/>
            <w:tcBorders>
              <w:top w:val="single" w:color="000000" w:sz="4" w:space="0"/>
              <w:left w:val="single" w:color="000000" w:sz="4" w:space="0"/>
              <w:bottom w:val="single" w:color="000000" w:sz="4" w:space="0"/>
              <w:right w:val="single" w:color="000000" w:sz="4" w:space="0"/>
            </w:tcBorders>
            <w:vAlign w:val="center"/>
          </w:tcPr>
          <w:p w14:paraId="769BDE2E">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lang w:bidi="ar"/>
              </w:rPr>
            </w:pPr>
            <w:r>
              <w:rPr>
                <w:rFonts w:hint="eastAsia" w:ascii="宋体" w:hAnsi="宋体" w:eastAsia="宋体" w:cs="宋体"/>
                <w:b w:val="0"/>
                <w:bCs w:val="0"/>
                <w:color w:val="auto"/>
                <w:sz w:val="24"/>
                <w:szCs w:val="24"/>
                <w:highlight w:val="none"/>
                <w:lang w:bidi="ar"/>
              </w:rPr>
              <w:t>1、</w:t>
            </w:r>
            <w:r>
              <w:rPr>
                <w:rFonts w:hint="eastAsia" w:ascii="宋体" w:hAnsi="宋体" w:eastAsia="宋体" w:cs="宋体"/>
                <w:b w:val="0"/>
                <w:bCs w:val="0"/>
                <w:color w:val="auto"/>
                <w:kern w:val="0"/>
                <w:sz w:val="24"/>
                <w:szCs w:val="24"/>
                <w:highlight w:val="none"/>
                <w:lang w:bidi="ar"/>
              </w:rPr>
              <w:t>提供多种教学模式以匹配不同的教学需求，支持老师通过教学管理软件对学生一键切换教学镜像；切换镜像时，云终端硬件无需重新启动。</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2、支持老师在线打开学生作业；支持txt、图片等学生作业格式。在线查看学生作业后，可以在个人空间中打分，并录入评语。</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3、支持老师将学生作业标记为公开作业；支持学生通过学生端软件查看本年级所有老师标记的公开作业。</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4、随堂测试出题可支持单选、多选、判断、填空、问答等多种课堂测试，对于客观题老师可以设置答题卡录入正确答案并赋分，方便快速评分批改。</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5、支持自主注册账号、支持管理员统一账号导入；老师账号仅支持密码登录个人空间；学生账号支持密码登录和无密码登录。也可以单独修改、添加、删除账号。</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6、支持防止通过任务管理器、cmd系统命令强杀教学管理软件，支持防止学生终端在上课期间关闭锁屏、离线广播等脱离管控。</w:t>
            </w:r>
          </w:p>
          <w:p w14:paraId="54A7897D">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7、支持老师在线打开学生作业；支持txt、图片等学生作业格式。在线查看学生作业后，可以在个人空间中打分。</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8、支持老师对单一、部分或全体学生进行黑屏操作，黑屏状态下，学生的机器被锁定。</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9、支持通过教学管理软件实现一键禁止任意学生上网，禁网的同时仍应支持屏幕广播、屏幕查看等正常教学应用。</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10、教学管理软件默认提供作业布置、批改、管理和成绩统计功能组件，提供学生作业的归档和下载；支持老师在作业空间为多个或单个班级的学生布置作业，布置内容可支持word等文件格式；支持老师对作业上交截止时间进行设置。</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11、支持老师在个人空间选择要布置作业的班级，支持附件上传；完成作业布置后，学生账号登录后可立即收到老师布置的作业。</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12、支持老师将学生作业标记为公开作业；支持学生通过学生端软件查看所有老师标记的公开作业。</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13、支持通过标识码邀请方式来创建班级，即老师通过唯一的标识码邀请学生加入。</w:t>
            </w:r>
          </w:p>
        </w:tc>
        <w:tc>
          <w:tcPr>
            <w:tcW w:w="585" w:type="dxa"/>
            <w:tcBorders>
              <w:top w:val="single" w:color="000000" w:sz="4" w:space="0"/>
              <w:left w:val="single" w:color="000000" w:sz="4" w:space="0"/>
              <w:bottom w:val="single" w:color="000000" w:sz="4" w:space="0"/>
              <w:right w:val="single" w:color="000000" w:sz="4" w:space="0"/>
            </w:tcBorders>
            <w:vAlign w:val="center"/>
          </w:tcPr>
          <w:p w14:paraId="3A526723">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2 </w:t>
            </w:r>
          </w:p>
        </w:tc>
        <w:tc>
          <w:tcPr>
            <w:tcW w:w="600" w:type="dxa"/>
            <w:tcBorders>
              <w:top w:val="single" w:color="000000" w:sz="4" w:space="0"/>
              <w:left w:val="single" w:color="000000" w:sz="4" w:space="0"/>
              <w:bottom w:val="single" w:color="000000" w:sz="4" w:space="0"/>
              <w:right w:val="single" w:color="000000" w:sz="4" w:space="0"/>
            </w:tcBorders>
            <w:vAlign w:val="center"/>
          </w:tcPr>
          <w:p w14:paraId="064B84AE">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套</w:t>
            </w:r>
          </w:p>
        </w:tc>
      </w:tr>
      <w:tr w14:paraId="7657C7B2">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6A50E1B9">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3</w:t>
            </w:r>
          </w:p>
        </w:tc>
        <w:tc>
          <w:tcPr>
            <w:tcW w:w="1120" w:type="dxa"/>
            <w:tcBorders>
              <w:top w:val="single" w:color="000000" w:sz="4" w:space="0"/>
              <w:left w:val="single" w:color="000000" w:sz="4" w:space="0"/>
              <w:bottom w:val="single" w:color="000000" w:sz="4" w:space="0"/>
              <w:right w:val="single" w:color="000000" w:sz="4" w:space="0"/>
            </w:tcBorders>
            <w:vAlign w:val="center"/>
          </w:tcPr>
          <w:p w14:paraId="3BF0706A">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教师云终端</w:t>
            </w:r>
          </w:p>
        </w:tc>
        <w:tc>
          <w:tcPr>
            <w:tcW w:w="6422" w:type="dxa"/>
            <w:tcBorders>
              <w:top w:val="single" w:color="000000" w:sz="4" w:space="0"/>
              <w:left w:val="single" w:color="000000" w:sz="4" w:space="0"/>
              <w:bottom w:val="single" w:color="000000" w:sz="4" w:space="0"/>
              <w:right w:val="single" w:color="000000" w:sz="4" w:space="0"/>
            </w:tcBorders>
            <w:vAlign w:val="center"/>
          </w:tcPr>
          <w:p w14:paraId="1215762A">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1、软硬件一体化设备，分体式架构（盒子+显示器），内置虚拟化系统和软件。</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2、配置≥八核十二线程处理器；内存≥32GB；配置集成显卡；本地存储≥512GB SSD。</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3、USB接口数量≥8个（其中USB 3.0接口≥4个，USB 2.0接口≥4个），千兆网口≥1个。</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4、VGA接口≥1个，HDMI接口≥1个，音频输入输出接口≥2个，支持4段式耳机音频输入及输出。</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5、配置内存槽位≥2个，M.2 SSD槽位≥2个，2.5英寸硬盘位≥1个，Wi-Fi插槽≥1个。</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6、外置CMS接口孔，实现清除CMOS配置恢复成出厂设置。</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7、在云终端上应支持多种系统的教学镜像，提供给不同课程教学使用，不同的教学镜像可供学生自由选择，上课期间老师可以要求所有学生云终端统一进同一个教学镜像进行教学。</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8、终端支持完全离线模式，即在云桌面平台连接中断时，依然可以使用当前正在使用的镜像环境，保障业务连续性。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9、支持终端显卡透传，能够将终端物理显卡透传至虚拟机中。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10、支持主流图形设计类软件，如autoCAD、3DMAX、PS等流畅运行，保障业务平稳开展。在学生终端上支持4k清晰度高清视频流畅播放。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11、云终端提供公共存储空间，该空间可供不同课程学生上课使用，可存储部分临时文件，在云桌面平台端能够对所有云终端的公共空间提供统一管理功能，并能进行批量删除。</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12、通过教学管理软件能够实现所有学生云终端一键开启硬件设备和启动虚拟桌面。</w:t>
            </w:r>
          </w:p>
          <w:p w14:paraId="5C62F310">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cs="宋体"/>
                <w:b w:val="0"/>
                <w:bCs w:val="0"/>
                <w:color w:val="auto"/>
                <w:kern w:val="0"/>
                <w:sz w:val="24"/>
                <w:szCs w:val="24"/>
                <w:highlight w:val="none"/>
                <w:lang w:val="en-US" w:eastAsia="zh-CN"/>
              </w:rPr>
              <w:t>响应文件中</w:t>
            </w:r>
            <w:r>
              <w:rPr>
                <w:rFonts w:hint="eastAsia" w:ascii="宋体" w:hAnsi="宋体" w:eastAsia="宋体" w:cs="宋体"/>
                <w:b w:val="0"/>
                <w:bCs w:val="0"/>
                <w:color w:val="auto"/>
                <w:kern w:val="0"/>
                <w:sz w:val="24"/>
                <w:szCs w:val="24"/>
                <w:highlight w:val="none"/>
              </w:rPr>
              <w:t>须提供节能产品认证证书或在全国认证认可信息公共服务平台（https://cx.cnca.cn/CertECloud/index/index/page）节能产品</w:t>
            </w:r>
            <w:r>
              <w:rPr>
                <w:rFonts w:hint="eastAsia" w:ascii="宋体" w:hAnsi="宋体" w:eastAsia="宋体" w:cs="宋体"/>
                <w:b w:val="0"/>
                <w:bCs w:val="0"/>
                <w:color w:val="auto"/>
                <w:kern w:val="0"/>
                <w:sz w:val="24"/>
                <w:szCs w:val="24"/>
                <w:highlight w:val="none"/>
                <w:lang w:val="en-US" w:eastAsia="zh-CN"/>
              </w:rPr>
              <w:t>清单</w:t>
            </w:r>
            <w:r>
              <w:rPr>
                <w:rFonts w:hint="eastAsia" w:ascii="宋体" w:hAnsi="宋体" w:eastAsia="宋体" w:cs="宋体"/>
                <w:b w:val="0"/>
                <w:bCs w:val="0"/>
                <w:color w:val="auto"/>
                <w:kern w:val="0"/>
                <w:sz w:val="24"/>
                <w:szCs w:val="24"/>
                <w:highlight w:val="none"/>
              </w:rPr>
              <w:t>查询结果证明材料。</w:t>
            </w:r>
          </w:p>
        </w:tc>
        <w:tc>
          <w:tcPr>
            <w:tcW w:w="585" w:type="dxa"/>
            <w:tcBorders>
              <w:top w:val="single" w:color="000000" w:sz="4" w:space="0"/>
              <w:left w:val="single" w:color="000000" w:sz="4" w:space="0"/>
              <w:bottom w:val="single" w:color="000000" w:sz="4" w:space="0"/>
              <w:right w:val="single" w:color="000000" w:sz="4" w:space="0"/>
            </w:tcBorders>
            <w:vAlign w:val="center"/>
          </w:tcPr>
          <w:p w14:paraId="5B13836E">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2 </w:t>
            </w:r>
          </w:p>
        </w:tc>
        <w:tc>
          <w:tcPr>
            <w:tcW w:w="600" w:type="dxa"/>
            <w:tcBorders>
              <w:top w:val="single" w:color="000000" w:sz="4" w:space="0"/>
              <w:left w:val="single" w:color="000000" w:sz="4" w:space="0"/>
              <w:bottom w:val="single" w:color="000000" w:sz="4" w:space="0"/>
              <w:right w:val="single" w:color="000000" w:sz="4" w:space="0"/>
            </w:tcBorders>
            <w:vAlign w:val="center"/>
          </w:tcPr>
          <w:p w14:paraId="16A5EBE7">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台</w:t>
            </w:r>
          </w:p>
        </w:tc>
      </w:tr>
      <w:tr w14:paraId="768226AE">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2094DC25">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4</w:t>
            </w:r>
          </w:p>
        </w:tc>
        <w:tc>
          <w:tcPr>
            <w:tcW w:w="1120" w:type="dxa"/>
            <w:tcBorders>
              <w:top w:val="single" w:color="000000" w:sz="4" w:space="0"/>
              <w:left w:val="single" w:color="000000" w:sz="4" w:space="0"/>
              <w:bottom w:val="single" w:color="000000" w:sz="4" w:space="0"/>
              <w:right w:val="single" w:color="000000" w:sz="4" w:space="0"/>
            </w:tcBorders>
            <w:vAlign w:val="center"/>
          </w:tcPr>
          <w:p w14:paraId="09CE4140">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教师云终端显示器</w:t>
            </w:r>
          </w:p>
        </w:tc>
        <w:tc>
          <w:tcPr>
            <w:tcW w:w="6422" w:type="dxa"/>
            <w:tcBorders>
              <w:top w:val="single" w:color="000000" w:sz="4" w:space="0"/>
              <w:left w:val="single" w:color="000000" w:sz="4" w:space="0"/>
              <w:bottom w:val="single" w:color="000000" w:sz="4" w:space="0"/>
              <w:right w:val="single" w:color="000000" w:sz="4" w:space="0"/>
            </w:tcBorders>
            <w:vAlign w:val="center"/>
          </w:tcPr>
          <w:p w14:paraId="48A9E481">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屏幕尺寸≥23.8英寸，16:9显示屏，IPS面板，刷新率≥100Hz，分辨率≥1920×1080，VGA接口≥1个，HDMI接口≥1个。</w:t>
            </w:r>
          </w:p>
          <w:p w14:paraId="38B001CE">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cs="宋体"/>
                <w:b w:val="0"/>
                <w:bCs w:val="0"/>
                <w:color w:val="auto"/>
                <w:kern w:val="0"/>
                <w:sz w:val="24"/>
                <w:szCs w:val="24"/>
                <w:highlight w:val="none"/>
                <w:lang w:val="en-US" w:eastAsia="zh-CN"/>
              </w:rPr>
              <w:t>响应文件中</w:t>
            </w:r>
            <w:r>
              <w:rPr>
                <w:rFonts w:hint="eastAsia" w:ascii="宋体" w:hAnsi="宋体" w:eastAsia="宋体" w:cs="宋体"/>
                <w:b w:val="0"/>
                <w:bCs w:val="0"/>
                <w:color w:val="auto"/>
                <w:kern w:val="0"/>
                <w:sz w:val="24"/>
                <w:szCs w:val="24"/>
                <w:highlight w:val="none"/>
              </w:rPr>
              <w:t>须提供节能产品认证证书或在全国认证认可信息公共服务平台（https://cx.cnca.cn/CertECloud/index/index/page）节能产品</w:t>
            </w:r>
            <w:r>
              <w:rPr>
                <w:rFonts w:hint="eastAsia" w:ascii="宋体" w:hAnsi="宋体" w:eastAsia="宋体" w:cs="宋体"/>
                <w:b w:val="0"/>
                <w:bCs w:val="0"/>
                <w:color w:val="auto"/>
                <w:kern w:val="0"/>
                <w:sz w:val="24"/>
                <w:szCs w:val="24"/>
                <w:highlight w:val="none"/>
                <w:lang w:val="en-US" w:eastAsia="zh-CN"/>
              </w:rPr>
              <w:t>清单</w:t>
            </w:r>
            <w:r>
              <w:rPr>
                <w:rFonts w:hint="eastAsia" w:ascii="宋体" w:hAnsi="宋体" w:eastAsia="宋体" w:cs="宋体"/>
                <w:b w:val="0"/>
                <w:bCs w:val="0"/>
                <w:color w:val="auto"/>
                <w:kern w:val="0"/>
                <w:sz w:val="24"/>
                <w:szCs w:val="24"/>
                <w:highlight w:val="none"/>
              </w:rPr>
              <w:t>查询结果证明材料。</w:t>
            </w:r>
          </w:p>
        </w:tc>
        <w:tc>
          <w:tcPr>
            <w:tcW w:w="585" w:type="dxa"/>
            <w:tcBorders>
              <w:top w:val="single" w:color="000000" w:sz="4" w:space="0"/>
              <w:left w:val="single" w:color="000000" w:sz="4" w:space="0"/>
              <w:bottom w:val="single" w:color="000000" w:sz="4" w:space="0"/>
              <w:right w:val="single" w:color="000000" w:sz="4" w:space="0"/>
            </w:tcBorders>
            <w:vAlign w:val="center"/>
          </w:tcPr>
          <w:p w14:paraId="5342069D">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2 </w:t>
            </w:r>
          </w:p>
        </w:tc>
        <w:tc>
          <w:tcPr>
            <w:tcW w:w="600" w:type="dxa"/>
            <w:tcBorders>
              <w:top w:val="single" w:color="000000" w:sz="4" w:space="0"/>
              <w:left w:val="single" w:color="000000" w:sz="4" w:space="0"/>
              <w:bottom w:val="single" w:color="000000" w:sz="4" w:space="0"/>
              <w:right w:val="single" w:color="000000" w:sz="4" w:space="0"/>
            </w:tcBorders>
            <w:vAlign w:val="center"/>
          </w:tcPr>
          <w:p w14:paraId="27049984">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台</w:t>
            </w:r>
          </w:p>
        </w:tc>
      </w:tr>
      <w:tr w14:paraId="433386B2">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7A12D738">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5</w:t>
            </w:r>
          </w:p>
        </w:tc>
        <w:tc>
          <w:tcPr>
            <w:tcW w:w="1120" w:type="dxa"/>
            <w:tcBorders>
              <w:top w:val="single" w:color="000000" w:sz="4" w:space="0"/>
              <w:left w:val="single" w:color="000000" w:sz="4" w:space="0"/>
              <w:bottom w:val="single" w:color="000000" w:sz="4" w:space="0"/>
              <w:right w:val="single" w:color="000000" w:sz="4" w:space="0"/>
            </w:tcBorders>
            <w:vAlign w:val="center"/>
          </w:tcPr>
          <w:p w14:paraId="3FD782D8">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学生云终端一体机</w:t>
            </w:r>
          </w:p>
        </w:tc>
        <w:tc>
          <w:tcPr>
            <w:tcW w:w="6422" w:type="dxa"/>
            <w:tcBorders>
              <w:top w:val="single" w:color="000000" w:sz="4" w:space="0"/>
              <w:left w:val="single" w:color="000000" w:sz="4" w:space="0"/>
              <w:bottom w:val="single" w:color="000000" w:sz="4" w:space="0"/>
              <w:right w:val="single" w:color="000000" w:sz="4" w:space="0"/>
            </w:tcBorders>
            <w:vAlign w:val="center"/>
          </w:tcPr>
          <w:p w14:paraId="49C369EA">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1、软硬件一体化设备，内置虚拟化系统和软件，采用一体机架构，非显示器+终端架构。</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2、一体化压铸底座，显示器≥23.8英寸，分辨率≥1920×1080，三面超窄边框屏幕，屏占比≥90%。</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3、配置≥第十二代六核十二线程处理器（性能核数≥6）；处理器主频≥2.5GHz，睿频≥4.4GHz；内存≥16GB；硬盘≥512GB M.2 NVMe SSD。</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4、USB接口数量≥7个（其中USB 3.0接口≥3个，USB 2.0接口≥3个，TYPE-C接口≥1个），千兆网口≥1个，HDMI接口≥1个，音频输入输出接口≥1个，支持4段式耳机音频输入及输出。</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5、配置内存槽位≥2个，M.2 SSD槽位≥1个，2.5英寸SATA接口硬盘位≥1个，Wi-Fi插槽≥1个。</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6、外置CMS接口孔，实现清除CMOS配置恢复成出厂设置。</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7、在云终端上应支持多种系统的教学镜像，提供给不同课程教学使用，不同的教学镜像可供学生自由选择，上课期间老师可以要求所有学生云终端统一进同一个教学镜像进行教学。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8、终端支持完全离线模式，即在云桌面平台连接中断时，依然可以使用当前正在使用的镜像环境，保障业务连续性。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9、支持终端显卡透传，能够将终端物理显卡透传至虚拟机中。</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10、支持主流图形设计类软件，如autoCAD、3DMAX、PS等流畅运行，保障业务平稳开展。在学生终端上支持4k清晰度高清视频流畅播放。</w:t>
            </w:r>
          </w:p>
          <w:p w14:paraId="68C320DA">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11、云终端提供公共存储空间，该空间可供不同课程学生上课使用，可存储部分临时文件，在云桌面平台端能够对所有云终端的公共空间提供统一管理功能，并能进行批量删除。</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12、通过教学管理软件能够实现所有学生云终端一键开启硬件设备和启动虚拟桌面。</w:t>
            </w:r>
          </w:p>
          <w:p w14:paraId="20D04C26">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cs="宋体"/>
                <w:b w:val="0"/>
                <w:bCs w:val="0"/>
                <w:color w:val="auto"/>
                <w:kern w:val="0"/>
                <w:sz w:val="24"/>
                <w:szCs w:val="24"/>
                <w:highlight w:val="none"/>
                <w:lang w:val="en-US" w:eastAsia="zh-CN"/>
              </w:rPr>
              <w:t>响应文件中</w:t>
            </w:r>
            <w:r>
              <w:rPr>
                <w:rFonts w:hint="eastAsia" w:ascii="宋体" w:hAnsi="宋体" w:eastAsia="宋体" w:cs="宋体"/>
                <w:b w:val="0"/>
                <w:bCs w:val="0"/>
                <w:color w:val="auto"/>
                <w:kern w:val="0"/>
                <w:sz w:val="24"/>
                <w:szCs w:val="24"/>
                <w:highlight w:val="none"/>
              </w:rPr>
              <w:t>须提供节能产品认证证书或在全国认证认可信息公共服务平台（https://cx.cnca.cn/CertECloud/index/index/page）节能产品</w:t>
            </w:r>
            <w:r>
              <w:rPr>
                <w:rFonts w:hint="eastAsia" w:ascii="宋体" w:hAnsi="宋体" w:eastAsia="宋体" w:cs="宋体"/>
                <w:b w:val="0"/>
                <w:bCs w:val="0"/>
                <w:color w:val="auto"/>
                <w:kern w:val="0"/>
                <w:sz w:val="24"/>
                <w:szCs w:val="24"/>
                <w:highlight w:val="none"/>
                <w:lang w:val="en-US" w:eastAsia="zh-CN"/>
              </w:rPr>
              <w:t>清单</w:t>
            </w:r>
            <w:r>
              <w:rPr>
                <w:rFonts w:hint="eastAsia" w:ascii="宋体" w:hAnsi="宋体" w:eastAsia="宋体" w:cs="宋体"/>
                <w:b w:val="0"/>
                <w:bCs w:val="0"/>
                <w:color w:val="auto"/>
                <w:kern w:val="0"/>
                <w:sz w:val="24"/>
                <w:szCs w:val="24"/>
                <w:highlight w:val="none"/>
              </w:rPr>
              <w:t>查询结果证明材料。</w:t>
            </w:r>
          </w:p>
        </w:tc>
        <w:tc>
          <w:tcPr>
            <w:tcW w:w="585" w:type="dxa"/>
            <w:tcBorders>
              <w:top w:val="single" w:color="000000" w:sz="4" w:space="0"/>
              <w:left w:val="single" w:color="000000" w:sz="4" w:space="0"/>
              <w:bottom w:val="single" w:color="000000" w:sz="4" w:space="0"/>
              <w:right w:val="single" w:color="000000" w:sz="4" w:space="0"/>
            </w:tcBorders>
            <w:vAlign w:val="center"/>
          </w:tcPr>
          <w:p w14:paraId="7206186E">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120 </w:t>
            </w:r>
          </w:p>
        </w:tc>
        <w:tc>
          <w:tcPr>
            <w:tcW w:w="600" w:type="dxa"/>
            <w:tcBorders>
              <w:top w:val="single" w:color="000000" w:sz="4" w:space="0"/>
              <w:left w:val="single" w:color="000000" w:sz="4" w:space="0"/>
              <w:bottom w:val="single" w:color="000000" w:sz="4" w:space="0"/>
              <w:right w:val="single" w:color="000000" w:sz="4" w:space="0"/>
            </w:tcBorders>
            <w:vAlign w:val="center"/>
          </w:tcPr>
          <w:p w14:paraId="6EE430DD">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台</w:t>
            </w:r>
          </w:p>
        </w:tc>
      </w:tr>
      <w:tr w14:paraId="43782AFD">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2AC3309C">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6</w:t>
            </w:r>
          </w:p>
        </w:tc>
        <w:tc>
          <w:tcPr>
            <w:tcW w:w="1120" w:type="dxa"/>
            <w:tcBorders>
              <w:top w:val="single" w:color="000000" w:sz="4" w:space="0"/>
              <w:left w:val="single" w:color="000000" w:sz="4" w:space="0"/>
              <w:bottom w:val="single" w:color="000000" w:sz="4" w:space="0"/>
              <w:right w:val="single" w:color="000000" w:sz="4" w:space="0"/>
            </w:tcBorders>
            <w:vAlign w:val="center"/>
          </w:tcPr>
          <w:p w14:paraId="1D2C9143">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云终端管控</w:t>
            </w:r>
          </w:p>
        </w:tc>
        <w:tc>
          <w:tcPr>
            <w:tcW w:w="6422" w:type="dxa"/>
            <w:tcBorders>
              <w:top w:val="single" w:color="000000" w:sz="4" w:space="0"/>
              <w:left w:val="single" w:color="000000" w:sz="4" w:space="0"/>
              <w:bottom w:val="single" w:color="000000" w:sz="4" w:space="0"/>
              <w:right w:val="single" w:color="000000" w:sz="4" w:space="0"/>
            </w:tcBorders>
            <w:vAlign w:val="center"/>
          </w:tcPr>
          <w:p w14:paraId="51CD80D8">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w:t>
            </w:r>
            <w:r>
              <w:rPr>
                <w:rFonts w:hint="eastAsia" w:ascii="宋体" w:hAnsi="宋体" w:eastAsia="宋体" w:cs="宋体"/>
                <w:b w:val="0"/>
                <w:bCs w:val="0"/>
                <w:color w:val="auto"/>
                <w:kern w:val="0"/>
                <w:sz w:val="24"/>
                <w:szCs w:val="24"/>
                <w:highlight w:val="none"/>
                <w:lang w:eastAsia="zh-CN" w:bidi="ar"/>
              </w:rPr>
              <w:t>、</w:t>
            </w:r>
            <w:r>
              <w:rPr>
                <w:rFonts w:hint="eastAsia" w:ascii="宋体" w:hAnsi="宋体" w:eastAsia="宋体" w:cs="宋体"/>
                <w:b w:val="0"/>
                <w:bCs w:val="0"/>
                <w:color w:val="auto"/>
                <w:kern w:val="0"/>
                <w:sz w:val="24"/>
                <w:szCs w:val="24"/>
                <w:highlight w:val="none"/>
                <w:lang w:bidi="ar"/>
              </w:rPr>
              <w:t>采用B/S软件架构，中文图形化管理页面。</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2、管理平台至少要包括镜像管理、教室管理、用户管理等关键功能模块。</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3、单台服务器即可支持对IDV、TCI终端的统一纳管，要求在管理页面首页即可查看IDV、TCI终端的使用情况。</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4、一台终端具备可以同时部署IDV、TCI桌面的能力，并且可以实际使用。可以在镜像选择页面同时提供2种镜像。</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5、镜像模板可以使用多种类型的操作系统，包括且不限于：win10、win11、win server 2016、UOS、KOS、Ubuntu等操作系统版本。</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6、提供虚拟教室功能，能够按照教室规模创建不同的虚拟教室，每个虚拟教室独立管理和配置，在桌面控制器管理页面能够实现对独立教室的学生操作机、教师操作机分别进行配置和管理。</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7、同一虚拟教室的学生机可以按需工作在IDV、TCI任意一种模式下。</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8、提供教学镜像隐藏功能，在云桌面控制器后台可实现针对指定教室的部分教学镜像对学生可见，部分镜像（如考试镜像）对学生不可见，当需要使用的时候，只需一键设置学生即可看到镜像，保证重要镜像的安全性。</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9、支持用户进行创建、修改、查询、删除的操作。</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10、可以通过LDAP对接学校的统一身份平台，让用户也可以使用统一身份平台的用户信息，无需重新创建一个全新的用户体系。</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11、为降低单个镜像大小获取更好的下发部署体验，平台支持对镜像进行瘦身操作来减少镜像占用空间，瘦身操作包含标准瘦身和深度瘦身。</w:t>
            </w:r>
            <w:r>
              <w:rPr>
                <w:rFonts w:hint="eastAsia" w:ascii="宋体" w:hAnsi="宋体" w:cstheme="minorEastAsia"/>
                <w:b w:val="0"/>
                <w:bCs w:val="0"/>
                <w:color w:val="auto"/>
                <w:kern w:val="0"/>
                <w:sz w:val="24"/>
                <w:szCs w:val="24"/>
                <w:highlight w:val="none"/>
                <w:lang w:bidi="ar"/>
              </w:rPr>
              <w:t>（响应文件中须</w:t>
            </w:r>
            <w:r>
              <w:rPr>
                <w:rFonts w:hint="eastAsia" w:ascii="宋体" w:hAnsi="宋体" w:cstheme="minorEastAsia"/>
                <w:b w:val="0"/>
                <w:bCs w:val="0"/>
                <w:color w:val="auto"/>
                <w:sz w:val="24"/>
                <w:szCs w:val="24"/>
                <w:highlight w:val="none"/>
                <w:lang w:bidi="ar"/>
              </w:rPr>
              <w:t>提供具有CMA认可的第三方检验（测）机构出具的</w:t>
            </w:r>
            <w:r>
              <w:rPr>
                <w:rFonts w:hint="eastAsia" w:ascii="宋体" w:hAnsi="宋体" w:cstheme="minorEastAsia"/>
                <w:b w:val="0"/>
                <w:bCs w:val="0"/>
                <w:color w:val="auto"/>
                <w:sz w:val="24"/>
                <w:szCs w:val="24"/>
                <w:highlight w:val="none"/>
              </w:rPr>
              <w:t>检验（测）报告</w:t>
            </w:r>
            <w:r>
              <w:rPr>
                <w:rFonts w:hint="eastAsia" w:ascii="宋体" w:hAnsi="宋体" w:cstheme="minorEastAsia"/>
                <w:b w:val="0"/>
                <w:bCs w:val="0"/>
                <w:color w:val="auto"/>
                <w:sz w:val="24"/>
                <w:szCs w:val="24"/>
                <w:highlight w:val="none"/>
                <w:lang w:val="en-US" w:eastAsia="zh-CN"/>
              </w:rPr>
              <w:t>彩色</w:t>
            </w:r>
            <w:r>
              <w:rPr>
                <w:rFonts w:hint="eastAsia" w:ascii="宋体" w:hAnsi="宋体" w:cstheme="minorEastAsia"/>
                <w:b w:val="0"/>
                <w:bCs w:val="0"/>
                <w:color w:val="auto"/>
                <w:kern w:val="0"/>
                <w:sz w:val="24"/>
                <w:szCs w:val="24"/>
                <w:highlight w:val="none"/>
                <w:lang w:bidi="ar"/>
              </w:rPr>
              <w:t>扫描件{检验依据（GB/T 25000.51</w:t>
            </w:r>
            <w:r>
              <w:rPr>
                <w:rFonts w:hint="eastAsia" w:ascii="宋体" w:hAnsi="宋体" w:cstheme="minorEastAsia"/>
                <w:b w:val="0"/>
                <w:bCs w:val="0"/>
                <w:color w:val="auto"/>
                <w:kern w:val="0"/>
                <w:sz w:val="24"/>
                <w:szCs w:val="24"/>
                <w:highlight w:val="none"/>
                <w:lang w:val="en-US" w:eastAsia="zh-CN" w:bidi="ar"/>
              </w:rPr>
              <w:t>-2016</w:t>
            </w:r>
            <w:r>
              <w:rPr>
                <w:rFonts w:hint="eastAsia" w:ascii="宋体" w:hAnsi="宋体" w:cstheme="minorEastAsia"/>
                <w:b w:val="0"/>
                <w:bCs w:val="0"/>
                <w:color w:val="auto"/>
                <w:kern w:val="0"/>
                <w:sz w:val="24"/>
                <w:szCs w:val="24"/>
                <w:highlight w:val="none"/>
                <w:lang w:bidi="ar"/>
              </w:rPr>
              <w:t>）}</w:t>
            </w:r>
            <w:r>
              <w:rPr>
                <w:rFonts w:hint="eastAsia" w:ascii="宋体" w:hAnsi="宋体" w:cstheme="minorEastAsia"/>
                <w:b w:val="0"/>
                <w:bCs w:val="0"/>
                <w:color w:val="auto"/>
                <w:kern w:val="0"/>
                <w:sz w:val="24"/>
                <w:szCs w:val="24"/>
                <w:highlight w:val="none"/>
                <w:lang w:eastAsia="zh-CN" w:bidi="ar"/>
              </w:rPr>
              <w:t>、检验检测机构资质认定能力证明并加盖供应商公章</w:t>
            </w:r>
            <w:r>
              <w:rPr>
                <w:rFonts w:hint="eastAsia" w:ascii="宋体" w:hAnsi="宋体" w:cstheme="minorEastAsia"/>
                <w:b w:val="0"/>
                <w:bCs w:val="0"/>
                <w:color w:val="auto"/>
                <w:sz w:val="24"/>
                <w:szCs w:val="24"/>
                <w:highlight w:val="none"/>
                <w:lang w:bidi="ar"/>
              </w:rPr>
              <w:t>）</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12、终端支持完全离线模式，即在桌面控制器连接中断时，依然可以使用当前正在使用的镜像环境，保障业务连续性。</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13、为满足操作系统、安卓编程等课程的使用需求，支持嵌套虚拟化功能，可以在VDI、IDV、TCI桌面上均可以正常使用VMware、android studio等需要运行虚拟机的软件。</w:t>
            </w:r>
          </w:p>
          <w:p w14:paraId="257C1626">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14、支持镜像模板链接分享功能，管理员可将编辑镜像模板的链接分享给任课老师，在浏览器中直接输入链接地址即可对镜像模板进行编辑，支持分享链接的失效期、分享验证码设置。</w:t>
            </w:r>
            <w:r>
              <w:rPr>
                <w:rFonts w:hint="eastAsia" w:ascii="宋体" w:hAnsi="宋体" w:cstheme="minorEastAsia"/>
                <w:b w:val="0"/>
                <w:bCs w:val="0"/>
                <w:color w:val="auto"/>
                <w:kern w:val="0"/>
                <w:sz w:val="24"/>
                <w:szCs w:val="24"/>
                <w:highlight w:val="none"/>
                <w:lang w:bidi="ar"/>
              </w:rPr>
              <w:t>（响应文件中须</w:t>
            </w:r>
            <w:r>
              <w:rPr>
                <w:rFonts w:hint="eastAsia" w:ascii="宋体" w:hAnsi="宋体" w:cstheme="minorEastAsia"/>
                <w:b w:val="0"/>
                <w:bCs w:val="0"/>
                <w:color w:val="auto"/>
                <w:sz w:val="24"/>
                <w:szCs w:val="24"/>
                <w:highlight w:val="none"/>
                <w:lang w:bidi="ar"/>
              </w:rPr>
              <w:t>提供具有CMA认可的第三方检验（测）机构出具的</w:t>
            </w:r>
            <w:r>
              <w:rPr>
                <w:rFonts w:hint="eastAsia" w:ascii="宋体" w:hAnsi="宋体" w:cstheme="minorEastAsia"/>
                <w:b w:val="0"/>
                <w:bCs w:val="0"/>
                <w:color w:val="auto"/>
                <w:sz w:val="24"/>
                <w:szCs w:val="24"/>
                <w:highlight w:val="none"/>
              </w:rPr>
              <w:t>检验（测）报告</w:t>
            </w:r>
            <w:r>
              <w:rPr>
                <w:rFonts w:hint="eastAsia" w:ascii="宋体" w:hAnsi="宋体" w:cstheme="minorEastAsia"/>
                <w:b w:val="0"/>
                <w:bCs w:val="0"/>
                <w:color w:val="auto"/>
                <w:sz w:val="24"/>
                <w:szCs w:val="24"/>
                <w:highlight w:val="none"/>
                <w:lang w:val="en-US" w:eastAsia="zh-CN"/>
              </w:rPr>
              <w:t>彩色</w:t>
            </w:r>
            <w:r>
              <w:rPr>
                <w:rFonts w:hint="eastAsia" w:ascii="宋体" w:hAnsi="宋体" w:cstheme="minorEastAsia"/>
                <w:b w:val="0"/>
                <w:bCs w:val="0"/>
                <w:color w:val="auto"/>
                <w:kern w:val="0"/>
                <w:sz w:val="24"/>
                <w:szCs w:val="24"/>
                <w:highlight w:val="none"/>
                <w:lang w:bidi="ar"/>
              </w:rPr>
              <w:t>扫描件{检验依据（GB/T 25000.51</w:t>
            </w:r>
            <w:r>
              <w:rPr>
                <w:rFonts w:hint="eastAsia" w:ascii="宋体" w:hAnsi="宋体" w:cstheme="minorEastAsia"/>
                <w:b w:val="0"/>
                <w:bCs w:val="0"/>
                <w:color w:val="auto"/>
                <w:kern w:val="0"/>
                <w:sz w:val="24"/>
                <w:szCs w:val="24"/>
                <w:highlight w:val="none"/>
                <w:lang w:val="en-US" w:eastAsia="zh-CN" w:bidi="ar"/>
              </w:rPr>
              <w:t>-2016</w:t>
            </w:r>
            <w:r>
              <w:rPr>
                <w:rFonts w:hint="eastAsia" w:ascii="宋体" w:hAnsi="宋体" w:cstheme="minorEastAsia"/>
                <w:b w:val="0"/>
                <w:bCs w:val="0"/>
                <w:color w:val="auto"/>
                <w:kern w:val="0"/>
                <w:sz w:val="24"/>
                <w:szCs w:val="24"/>
                <w:highlight w:val="none"/>
                <w:lang w:bidi="ar"/>
              </w:rPr>
              <w:t>）}</w:t>
            </w:r>
            <w:r>
              <w:rPr>
                <w:rFonts w:hint="eastAsia" w:ascii="宋体" w:hAnsi="宋体" w:cstheme="minorEastAsia"/>
                <w:b w:val="0"/>
                <w:bCs w:val="0"/>
                <w:color w:val="auto"/>
                <w:kern w:val="0"/>
                <w:sz w:val="24"/>
                <w:szCs w:val="24"/>
                <w:highlight w:val="none"/>
                <w:lang w:eastAsia="zh-CN" w:bidi="ar"/>
              </w:rPr>
              <w:t>、检验检测机构资质认定能力证明并加盖供应商公章</w:t>
            </w:r>
            <w:r>
              <w:rPr>
                <w:rFonts w:hint="eastAsia" w:ascii="宋体" w:hAnsi="宋体" w:cstheme="minorEastAsia"/>
                <w:b w:val="0"/>
                <w:bCs w:val="0"/>
                <w:color w:val="auto"/>
                <w:sz w:val="24"/>
                <w:szCs w:val="24"/>
                <w:highlight w:val="none"/>
                <w:lang w:bidi="ar"/>
              </w:rPr>
              <w:t>）</w:t>
            </w:r>
          </w:p>
          <w:p w14:paraId="53D4BF93">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15、支持个性化配置保存功能，在还原桌面的情况下，首次完成软件的逐台注册激活后，可以将激活信息保存至个人数据盘中。之后即使更新镜像模板也不会破坏激活信息，无需重新激活。</w:t>
            </w:r>
          </w:p>
          <w:p w14:paraId="23C653D4">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16、实配1个TCI操作机使用授权，可以同时使用1个IDV/TCI桌面（终身使用授权）。</w:t>
            </w:r>
          </w:p>
        </w:tc>
        <w:tc>
          <w:tcPr>
            <w:tcW w:w="585" w:type="dxa"/>
            <w:tcBorders>
              <w:top w:val="single" w:color="000000" w:sz="4" w:space="0"/>
              <w:left w:val="single" w:color="000000" w:sz="4" w:space="0"/>
              <w:bottom w:val="single" w:color="000000" w:sz="4" w:space="0"/>
              <w:right w:val="single" w:color="000000" w:sz="4" w:space="0"/>
            </w:tcBorders>
            <w:vAlign w:val="center"/>
          </w:tcPr>
          <w:p w14:paraId="0A8AB54D">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122 </w:t>
            </w:r>
          </w:p>
        </w:tc>
        <w:tc>
          <w:tcPr>
            <w:tcW w:w="600" w:type="dxa"/>
            <w:tcBorders>
              <w:top w:val="single" w:color="000000" w:sz="4" w:space="0"/>
              <w:left w:val="single" w:color="000000" w:sz="4" w:space="0"/>
              <w:bottom w:val="single" w:color="000000" w:sz="4" w:space="0"/>
              <w:right w:val="single" w:color="000000" w:sz="4" w:space="0"/>
            </w:tcBorders>
            <w:vAlign w:val="center"/>
          </w:tcPr>
          <w:p w14:paraId="0659F0D1">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套</w:t>
            </w:r>
          </w:p>
        </w:tc>
      </w:tr>
      <w:tr w14:paraId="72CB3A3D">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7415F410">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7</w:t>
            </w:r>
          </w:p>
        </w:tc>
        <w:tc>
          <w:tcPr>
            <w:tcW w:w="1120" w:type="dxa"/>
            <w:tcBorders>
              <w:top w:val="single" w:color="000000" w:sz="4" w:space="0"/>
              <w:left w:val="single" w:color="000000" w:sz="4" w:space="0"/>
              <w:bottom w:val="single" w:color="000000" w:sz="4" w:space="0"/>
              <w:right w:val="single" w:color="000000" w:sz="4" w:space="0"/>
            </w:tcBorders>
            <w:vAlign w:val="center"/>
          </w:tcPr>
          <w:p w14:paraId="094106F2">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48口交换机</w:t>
            </w:r>
          </w:p>
        </w:tc>
        <w:tc>
          <w:tcPr>
            <w:tcW w:w="6422" w:type="dxa"/>
            <w:tcBorders>
              <w:top w:val="single" w:color="000000" w:sz="4" w:space="0"/>
              <w:left w:val="single" w:color="000000" w:sz="4" w:space="0"/>
              <w:bottom w:val="single" w:color="000000" w:sz="4" w:space="0"/>
              <w:right w:val="single" w:color="000000" w:sz="4" w:space="0"/>
            </w:tcBorders>
            <w:vAlign w:val="center"/>
          </w:tcPr>
          <w:p w14:paraId="1EB43294">
            <w:pPr>
              <w:pageBreakBefore w:val="0"/>
              <w:widowControl/>
              <w:numPr>
                <w:ilvl w:val="0"/>
                <w:numId w:val="2"/>
              </w:numPr>
              <w:kinsoku/>
              <w:wordWrap/>
              <w:overflowPunct/>
              <w:topLinePunct w:val="0"/>
              <w:bidi w:val="0"/>
              <w:snapToGrid/>
              <w:spacing w:line="360" w:lineRule="auto"/>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交换容量≥670Gbps，包转发率≥210Mpps。</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2、配置千兆电口≥48个，非复用千兆光口≥4个。</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3、产品端口浪涌抗扰度≥10KV，即具备10KV的防雷能力。</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4、支持1对1、1对多、多对1和基于流的镜像；且支持RSPAN和ERSPAN。</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5、支持静态路由、RIP/RIPng、OSPFv2/OSPFv3等三层路由协议。</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6、支持专门针对CPU保护机制功能，可将送CPU的报文，如ARP报文的速率进行限制，使CPU的使用率降低到10%以内，保障CPU安全。</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7、支持专门基础网络保护机制，能够限制用户向网络中发送数据包的速率，对有攻击行为的用户进行隔离，保证设备和整网的安全稳定运行。</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8、支持虚拟化功能，可将多台物理设备虚拟化为一台逻辑设备统一管理，并且链路故障的收敛时间≤30ms。</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9、支持sFlow网络监测技术。</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10、支持SNMP、CLI(Telnet/Console）、RMON、SSH、Syslog、NTP/SNTP、FTP、TFTP、Web。</w:t>
            </w:r>
          </w:p>
          <w:p w14:paraId="40A30572">
            <w:pPr>
              <w:pageBreakBefore w:val="0"/>
              <w:widowControl/>
              <w:numPr>
                <w:ilvl w:val="0"/>
                <w:numId w:val="0"/>
              </w:numPr>
              <w:kinsoku/>
              <w:wordWrap/>
              <w:overflowPunct/>
              <w:topLinePunct w:val="0"/>
              <w:bidi w:val="0"/>
              <w:snapToGrid/>
              <w:spacing w:line="360" w:lineRule="auto"/>
              <w:jc w:val="left"/>
              <w:textAlignment w:val="center"/>
              <w:rPr>
                <w:rFonts w:hint="default" w:ascii="宋体" w:hAnsi="宋体" w:eastAsia="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11、</w:t>
            </w:r>
            <w:r>
              <w:rPr>
                <w:rFonts w:hint="eastAsia" w:ascii="宋体" w:hAnsi="宋体" w:cstheme="minorEastAsia"/>
                <w:b w:val="0"/>
                <w:bCs w:val="0"/>
                <w:color w:val="auto"/>
                <w:kern w:val="0"/>
                <w:sz w:val="24"/>
                <w:szCs w:val="24"/>
                <w:highlight w:val="none"/>
                <w:lang w:bidi="ar"/>
              </w:rPr>
              <w:t>响应文件中须</w:t>
            </w:r>
            <w:r>
              <w:rPr>
                <w:rFonts w:hint="eastAsia" w:ascii="宋体" w:hAnsi="宋体" w:cstheme="minorEastAsia"/>
                <w:b w:val="0"/>
                <w:bCs w:val="0"/>
                <w:color w:val="auto"/>
                <w:sz w:val="24"/>
                <w:szCs w:val="24"/>
                <w:highlight w:val="none"/>
                <w:lang w:bidi="ar"/>
              </w:rPr>
              <w:t>提供</w:t>
            </w:r>
            <w:r>
              <w:rPr>
                <w:rFonts w:hint="eastAsia" w:ascii="宋体" w:hAnsi="宋体" w:cstheme="minorEastAsia"/>
                <w:b w:val="0"/>
                <w:bCs w:val="0"/>
                <w:color w:val="auto"/>
                <w:sz w:val="24"/>
                <w:szCs w:val="24"/>
                <w:highlight w:val="none"/>
                <w:lang w:val="en-US" w:eastAsia="zh-CN" w:bidi="ar"/>
              </w:rPr>
              <w:t>进网许可证。</w:t>
            </w:r>
          </w:p>
        </w:tc>
        <w:tc>
          <w:tcPr>
            <w:tcW w:w="585" w:type="dxa"/>
            <w:tcBorders>
              <w:top w:val="single" w:color="000000" w:sz="4" w:space="0"/>
              <w:left w:val="single" w:color="000000" w:sz="4" w:space="0"/>
              <w:bottom w:val="single" w:color="000000" w:sz="4" w:space="0"/>
              <w:right w:val="single" w:color="000000" w:sz="4" w:space="0"/>
            </w:tcBorders>
            <w:vAlign w:val="center"/>
          </w:tcPr>
          <w:p w14:paraId="0205283E">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6 </w:t>
            </w:r>
          </w:p>
        </w:tc>
        <w:tc>
          <w:tcPr>
            <w:tcW w:w="600" w:type="dxa"/>
            <w:tcBorders>
              <w:top w:val="single" w:color="000000" w:sz="4" w:space="0"/>
              <w:left w:val="single" w:color="000000" w:sz="4" w:space="0"/>
              <w:bottom w:val="single" w:color="000000" w:sz="4" w:space="0"/>
              <w:right w:val="single" w:color="000000" w:sz="4" w:space="0"/>
            </w:tcBorders>
            <w:vAlign w:val="center"/>
          </w:tcPr>
          <w:p w14:paraId="1AE58926">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台</w:t>
            </w:r>
          </w:p>
        </w:tc>
      </w:tr>
      <w:tr w14:paraId="16E0C566">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79863948">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8</w:t>
            </w:r>
          </w:p>
        </w:tc>
        <w:tc>
          <w:tcPr>
            <w:tcW w:w="1120" w:type="dxa"/>
            <w:tcBorders>
              <w:top w:val="single" w:color="000000" w:sz="4" w:space="0"/>
              <w:left w:val="single" w:color="000000" w:sz="4" w:space="0"/>
              <w:bottom w:val="single" w:color="000000" w:sz="4" w:space="0"/>
              <w:right w:val="single" w:color="000000" w:sz="4" w:space="0"/>
            </w:tcBorders>
            <w:vAlign w:val="center"/>
          </w:tcPr>
          <w:p w14:paraId="2D507A91">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键鼠</w:t>
            </w:r>
          </w:p>
        </w:tc>
        <w:tc>
          <w:tcPr>
            <w:tcW w:w="6422" w:type="dxa"/>
            <w:tcBorders>
              <w:top w:val="single" w:color="000000" w:sz="4" w:space="0"/>
              <w:left w:val="single" w:color="000000" w:sz="4" w:space="0"/>
              <w:bottom w:val="single" w:color="000000" w:sz="4" w:space="0"/>
              <w:right w:val="single" w:color="000000" w:sz="4" w:space="0"/>
            </w:tcBorders>
            <w:vAlign w:val="center"/>
          </w:tcPr>
          <w:p w14:paraId="037AC673">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1</w:t>
            </w:r>
            <w:r>
              <w:rPr>
                <w:rFonts w:hint="eastAsia" w:ascii="宋体" w:hAnsi="宋体" w:eastAsia="宋体" w:cs="宋体"/>
                <w:b w:val="0"/>
                <w:bCs w:val="0"/>
                <w:color w:val="auto"/>
                <w:kern w:val="0"/>
                <w:sz w:val="24"/>
                <w:szCs w:val="24"/>
                <w:highlight w:val="none"/>
                <w:lang w:eastAsia="zh-CN" w:bidi="ar"/>
              </w:rPr>
              <w:t>、</w:t>
            </w:r>
            <w:r>
              <w:rPr>
                <w:rFonts w:hint="eastAsia" w:ascii="宋体" w:hAnsi="宋体" w:eastAsia="宋体" w:cs="宋体"/>
                <w:b w:val="0"/>
                <w:bCs w:val="0"/>
                <w:color w:val="auto"/>
                <w:kern w:val="0"/>
                <w:sz w:val="24"/>
                <w:szCs w:val="24"/>
                <w:highlight w:val="none"/>
                <w:lang w:bidi="ar"/>
              </w:rPr>
              <w:t>有线光电鼠标。</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2、机械红轴键盘；键帽材质：PBT；键盘结构：gasket；供电方式：有线供电；连接方式：有线；类型：机械键盘；兼容系统：Windows MacOS；按键数：108键；轴体：红轴。</w:t>
            </w:r>
          </w:p>
        </w:tc>
        <w:tc>
          <w:tcPr>
            <w:tcW w:w="585" w:type="dxa"/>
            <w:tcBorders>
              <w:top w:val="single" w:color="000000" w:sz="4" w:space="0"/>
              <w:left w:val="single" w:color="000000" w:sz="4" w:space="0"/>
              <w:bottom w:val="single" w:color="000000" w:sz="4" w:space="0"/>
              <w:right w:val="single" w:color="000000" w:sz="4" w:space="0"/>
            </w:tcBorders>
            <w:vAlign w:val="center"/>
          </w:tcPr>
          <w:p w14:paraId="181BDEFB">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122 </w:t>
            </w:r>
          </w:p>
        </w:tc>
        <w:tc>
          <w:tcPr>
            <w:tcW w:w="600" w:type="dxa"/>
            <w:tcBorders>
              <w:top w:val="single" w:color="000000" w:sz="4" w:space="0"/>
              <w:left w:val="single" w:color="000000" w:sz="4" w:space="0"/>
              <w:bottom w:val="single" w:color="000000" w:sz="4" w:space="0"/>
              <w:right w:val="single" w:color="000000" w:sz="4" w:space="0"/>
            </w:tcBorders>
            <w:vAlign w:val="center"/>
          </w:tcPr>
          <w:p w14:paraId="0045F551">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套</w:t>
            </w:r>
          </w:p>
        </w:tc>
      </w:tr>
      <w:tr w14:paraId="498AA07D">
        <w:tblPrEx>
          <w:tblCellMar>
            <w:top w:w="0" w:type="dxa"/>
            <w:left w:w="108" w:type="dxa"/>
            <w:bottom w:w="0" w:type="dxa"/>
            <w:right w:w="108" w:type="dxa"/>
          </w:tblCellMar>
        </w:tblPrEx>
        <w:trPr>
          <w:trHeight w:val="23" w:hRule="atLeast"/>
          <w:jc w:val="center"/>
        </w:trPr>
        <w:tc>
          <w:tcPr>
            <w:tcW w:w="560" w:type="dxa"/>
            <w:tcBorders>
              <w:top w:val="single" w:color="000000" w:sz="4" w:space="0"/>
              <w:left w:val="single" w:color="000000" w:sz="4" w:space="0"/>
              <w:bottom w:val="single" w:color="000000" w:sz="4" w:space="0"/>
              <w:right w:val="single" w:color="000000" w:sz="4" w:space="0"/>
            </w:tcBorders>
            <w:vAlign w:val="center"/>
          </w:tcPr>
          <w:p w14:paraId="48018A89">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9</w:t>
            </w:r>
          </w:p>
        </w:tc>
        <w:tc>
          <w:tcPr>
            <w:tcW w:w="1120" w:type="dxa"/>
            <w:tcBorders>
              <w:top w:val="single" w:color="000000" w:sz="4" w:space="0"/>
              <w:left w:val="single" w:color="000000" w:sz="4" w:space="0"/>
              <w:bottom w:val="single" w:color="000000" w:sz="4" w:space="0"/>
              <w:right w:val="single" w:color="000000" w:sz="4" w:space="0"/>
            </w:tcBorders>
            <w:vAlign w:val="center"/>
          </w:tcPr>
          <w:p w14:paraId="7E2C7F9D">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学生桌凳</w:t>
            </w:r>
          </w:p>
        </w:tc>
        <w:tc>
          <w:tcPr>
            <w:tcW w:w="6422" w:type="dxa"/>
            <w:tcBorders>
              <w:top w:val="single" w:color="000000" w:sz="4" w:space="0"/>
              <w:left w:val="single" w:color="000000" w:sz="4" w:space="0"/>
              <w:bottom w:val="single" w:color="000000" w:sz="4" w:space="0"/>
              <w:right w:val="single" w:color="000000" w:sz="4" w:space="0"/>
            </w:tcBorders>
            <w:vAlign w:val="center"/>
          </w:tcPr>
          <w:p w14:paraId="0C28B841">
            <w:pPr>
              <w:pageBreakBefore w:val="0"/>
              <w:widowControl/>
              <w:kinsoku/>
              <w:wordWrap/>
              <w:overflowPunct/>
              <w:topLinePunct w:val="0"/>
              <w:bidi w:val="0"/>
              <w:snapToGrid/>
              <w:spacing w:line="360" w:lineRule="auto"/>
              <w:jc w:val="left"/>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双人电脑桌尺寸：长140CM×宽60CM×高75CM</w:t>
            </w:r>
            <w:r>
              <w:rPr>
                <w:rFonts w:hint="eastAsia" w:ascii="宋体" w:hAnsi="宋体" w:eastAsia="宋体" w:cs="宋体"/>
                <w:b w:val="0"/>
                <w:bCs w:val="0"/>
                <w:color w:val="auto"/>
                <w:kern w:val="0"/>
                <w:sz w:val="24"/>
                <w:szCs w:val="24"/>
                <w:highlight w:val="none"/>
                <w:lang w:eastAsia="zh-CN" w:bidi="ar"/>
              </w:rPr>
              <w:t>（</w:t>
            </w:r>
            <w:r>
              <w:rPr>
                <w:rFonts w:hint="eastAsia" w:ascii="宋体" w:hAnsi="宋体" w:eastAsia="宋体" w:cs="宋体"/>
                <w:b w:val="0"/>
                <w:bCs w:val="0"/>
                <w:color w:val="auto"/>
                <w:sz w:val="24"/>
                <w:szCs w:val="24"/>
                <w:highlight w:val="none"/>
              </w:rPr>
              <w:t>尺寸允许偏差均为±</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kern w:val="0"/>
                <w:sz w:val="24"/>
                <w:szCs w:val="24"/>
                <w:highlight w:val="none"/>
                <w:lang w:bidi="ar"/>
              </w:rPr>
              <w:t>CM</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kern w:val="0"/>
                <w:sz w:val="24"/>
                <w:szCs w:val="24"/>
                <w:highlight w:val="none"/>
                <w:lang w:bidi="ar"/>
              </w:rPr>
              <w:t>，带两个穿线孔；凳子尺寸：长34CM×宽22CM×高43CM</w:t>
            </w:r>
            <w:r>
              <w:rPr>
                <w:rFonts w:hint="eastAsia" w:ascii="宋体" w:hAnsi="宋体" w:eastAsia="宋体" w:cs="宋体"/>
                <w:b w:val="0"/>
                <w:bCs w:val="0"/>
                <w:color w:val="auto"/>
                <w:kern w:val="0"/>
                <w:sz w:val="24"/>
                <w:szCs w:val="24"/>
                <w:highlight w:val="none"/>
                <w:lang w:eastAsia="zh-CN" w:bidi="ar"/>
              </w:rPr>
              <w:t>（</w:t>
            </w:r>
            <w:r>
              <w:rPr>
                <w:rFonts w:hint="eastAsia" w:ascii="宋体" w:hAnsi="宋体" w:eastAsia="宋体" w:cs="宋体"/>
                <w:b w:val="0"/>
                <w:bCs w:val="0"/>
                <w:color w:val="auto"/>
                <w:sz w:val="24"/>
                <w:szCs w:val="24"/>
                <w:highlight w:val="none"/>
              </w:rPr>
              <w:t>尺寸允许偏差均为±</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kern w:val="0"/>
                <w:sz w:val="24"/>
                <w:szCs w:val="24"/>
                <w:highlight w:val="none"/>
                <w:lang w:bidi="ar"/>
              </w:rPr>
              <w:t>CM</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kern w:val="0"/>
                <w:sz w:val="24"/>
                <w:szCs w:val="24"/>
                <w:highlight w:val="none"/>
                <w:lang w:bidi="ar"/>
              </w:rPr>
              <w:t>，桌子的桌面和凳子的凳面厚度均</w:t>
            </w:r>
            <w:r>
              <w:rPr>
                <w:rFonts w:hint="eastAsia" w:ascii="宋体" w:hAnsi="宋体" w:eastAsia="宋体" w:cs="宋体"/>
                <w:b w:val="0"/>
                <w:bCs w:val="0"/>
                <w:color w:val="auto"/>
                <w:kern w:val="0"/>
                <w:sz w:val="24"/>
                <w:szCs w:val="24"/>
                <w:highlight w:val="none"/>
                <w:lang w:val="en-US" w:eastAsia="zh-CN" w:bidi="ar"/>
              </w:rPr>
              <w:t>须</w:t>
            </w:r>
            <w:r>
              <w:rPr>
                <w:rFonts w:hint="eastAsia" w:ascii="宋体" w:hAnsi="宋体" w:eastAsia="宋体" w:cs="宋体"/>
                <w:b w:val="0"/>
                <w:bCs w:val="0"/>
                <w:color w:val="auto"/>
                <w:kern w:val="0"/>
                <w:sz w:val="24"/>
                <w:szCs w:val="24"/>
                <w:highlight w:val="none"/>
                <w:lang w:bidi="ar"/>
              </w:rPr>
              <w:t>≥2.5CM厚度，桌腿使用40MM*40MM方钢管，钢管厚度≥0.8MM，中间连接采用20MM方管，钢管厚度≥0.8MM，后置机箱全封闭钢架颜色喷白色，桌面配有20CM高、板子16MM厚度的围板，可以防止显示器掉落。</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桌子：</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1、基材：采用刨花板，符合GB 18580-</w:t>
            </w:r>
            <w:r>
              <w:rPr>
                <w:rFonts w:hint="eastAsia" w:ascii="宋体" w:hAnsi="宋体" w:cs="宋体"/>
                <w:b w:val="0"/>
                <w:bCs w:val="0"/>
                <w:color w:val="auto"/>
                <w:kern w:val="0"/>
                <w:sz w:val="24"/>
                <w:szCs w:val="24"/>
                <w:highlight w:val="none"/>
                <w:lang w:val="en-US" w:eastAsia="zh-CN" w:bidi="ar"/>
              </w:rPr>
              <w:t>2025</w:t>
            </w:r>
            <w:r>
              <w:rPr>
                <w:rFonts w:hint="eastAsia" w:ascii="宋体" w:hAnsi="宋体" w:eastAsia="宋体" w:cs="宋体"/>
                <w:b w:val="0"/>
                <w:bCs w:val="0"/>
                <w:color w:val="auto"/>
                <w:kern w:val="0"/>
                <w:sz w:val="24"/>
                <w:szCs w:val="24"/>
                <w:highlight w:val="none"/>
                <w:lang w:bidi="ar"/>
              </w:rPr>
              <w:t xml:space="preserve">《室内装饰装修材料人造板及其制品中甲醛释放限量》要求，饰面采用环保型三聚氰胺浸渍胶膜纸。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2、封边：PVC封边。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3、封边胶：环保热熔胶。</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4、贴面胶：采用环保胶水，符合国家环保标准。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5、五金配件：符合国家标准。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6、脚架：材质为钢管，符合QB/T 3832-1999、QB/T 3827-1999标准。</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7、脚垫为尼龙材料。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凳子：</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1、座采用ABS塑料冲压成形，符合GB 18584-2024标准。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2、脚架：材质为钢管，符合QB/T 3832-1999、QB/T 3827-1999标准。 </w:t>
            </w:r>
            <w:r>
              <w:rPr>
                <w:rFonts w:hint="eastAsia" w:ascii="宋体" w:hAnsi="宋体" w:eastAsia="宋体" w:cs="宋体"/>
                <w:b w:val="0"/>
                <w:bCs w:val="0"/>
                <w:color w:val="auto"/>
                <w:kern w:val="0"/>
                <w:sz w:val="24"/>
                <w:szCs w:val="24"/>
                <w:highlight w:val="none"/>
                <w:lang w:bidi="ar"/>
              </w:rPr>
              <w:br w:type="textWrapping"/>
            </w:r>
            <w:r>
              <w:rPr>
                <w:rFonts w:hint="eastAsia" w:ascii="宋体" w:hAnsi="宋体" w:eastAsia="宋体" w:cs="宋体"/>
                <w:b w:val="0"/>
                <w:bCs w:val="0"/>
                <w:color w:val="auto"/>
                <w:kern w:val="0"/>
                <w:sz w:val="24"/>
                <w:szCs w:val="24"/>
                <w:highlight w:val="none"/>
                <w:lang w:bidi="ar"/>
              </w:rPr>
              <w:t xml:space="preserve">3、脚垫为尼龙材料。 </w:t>
            </w:r>
          </w:p>
        </w:tc>
        <w:tc>
          <w:tcPr>
            <w:tcW w:w="585" w:type="dxa"/>
            <w:tcBorders>
              <w:top w:val="single" w:color="000000" w:sz="4" w:space="0"/>
              <w:left w:val="single" w:color="000000" w:sz="4" w:space="0"/>
              <w:bottom w:val="single" w:color="000000" w:sz="4" w:space="0"/>
              <w:right w:val="single" w:color="000000" w:sz="4" w:space="0"/>
            </w:tcBorders>
            <w:vAlign w:val="center"/>
          </w:tcPr>
          <w:p w14:paraId="11313FCD">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kern w:val="0"/>
                <w:sz w:val="24"/>
                <w:szCs w:val="24"/>
                <w:highlight w:val="none"/>
                <w:lang w:bidi="ar"/>
              </w:rPr>
              <w:t xml:space="preserve">60 </w:t>
            </w:r>
          </w:p>
        </w:tc>
        <w:tc>
          <w:tcPr>
            <w:tcW w:w="600" w:type="dxa"/>
            <w:tcBorders>
              <w:top w:val="single" w:color="000000" w:sz="4" w:space="0"/>
              <w:left w:val="single" w:color="000000" w:sz="4" w:space="0"/>
              <w:bottom w:val="single" w:color="000000" w:sz="4" w:space="0"/>
              <w:right w:val="single" w:color="000000" w:sz="4" w:space="0"/>
            </w:tcBorders>
            <w:vAlign w:val="center"/>
          </w:tcPr>
          <w:p w14:paraId="29695911">
            <w:pPr>
              <w:pageBreakBefore w:val="0"/>
              <w:widowControl/>
              <w:kinsoku/>
              <w:wordWrap/>
              <w:overflowPunct/>
              <w:topLinePunct w:val="0"/>
              <w:bidi w:val="0"/>
              <w:snapToGrid/>
              <w:spacing w:line="360" w:lineRule="auto"/>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套</w:t>
            </w:r>
          </w:p>
        </w:tc>
      </w:tr>
    </w:tbl>
    <w:p w14:paraId="663BC7E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（三）其他要求</w:t>
      </w:r>
    </w:p>
    <w:p w14:paraId="1E70E9B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1.本项目相关软件系统需终身响应网络安全相关事件，完成系统漏洞修复等安全措施。</w:t>
      </w:r>
    </w:p>
    <w:p w14:paraId="6CC31AE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2.本项目需根据采购人要求完成云桌面系统的教学相关软件部署与配置，镜像下发实施后老师学生可以直接使用，无需自行配置软件环境。</w:t>
      </w:r>
    </w:p>
    <w:p w14:paraId="7B8FFAF4">
      <w:pPr>
        <w:pStyle w:val="3"/>
        <w:keepNext w:val="0"/>
        <w:keepLines w:val="0"/>
        <w:pageBreakBefore w:val="0"/>
        <w:kinsoku/>
        <w:wordWrap/>
        <w:overflowPunct/>
        <w:topLinePunct w:val="0"/>
        <w:autoSpaceDE/>
        <w:autoSpaceDN/>
        <w:bidi w:val="0"/>
        <w:adjustRightInd/>
        <w:snapToGrid/>
        <w:spacing w:after="0" w:line="360" w:lineRule="auto"/>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3.供应商所投</w:t>
      </w:r>
      <w:r>
        <w:rPr>
          <w:rFonts w:hint="eastAsia" w:ascii="宋体" w:hAnsi="宋体" w:eastAsia="宋体" w:cs="宋体"/>
          <w:b w:val="0"/>
          <w:bCs w:val="0"/>
          <w:color w:val="auto"/>
          <w:kern w:val="0"/>
          <w:sz w:val="24"/>
          <w:szCs w:val="24"/>
          <w:highlight w:val="none"/>
          <w:lang w:bidi="ar"/>
        </w:rPr>
        <w:t>云桌面平台</w:t>
      </w:r>
      <w:r>
        <w:rPr>
          <w:rFonts w:hint="eastAsia" w:ascii="宋体" w:hAnsi="宋体" w:eastAsia="宋体" w:cs="宋体"/>
          <w:b w:val="0"/>
          <w:bCs w:val="0"/>
          <w:color w:val="auto"/>
          <w:sz w:val="24"/>
          <w:szCs w:val="24"/>
          <w:highlight w:val="none"/>
        </w:rPr>
        <w:t>需与学校现有云桌面系统互通，实现统一管理。</w:t>
      </w:r>
    </w:p>
    <w:p w14:paraId="577182E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备注：</w:t>
      </w:r>
    </w:p>
    <w:p w14:paraId="38B7B4D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1.核心产品：</w:t>
      </w:r>
      <w:r>
        <w:rPr>
          <w:rFonts w:hint="eastAsia" w:ascii="宋体" w:hAnsi="宋体" w:eastAsia="宋体" w:cs="宋体"/>
          <w:b/>
          <w:bCs/>
          <w:color w:val="auto"/>
          <w:kern w:val="0"/>
          <w:sz w:val="24"/>
          <w:szCs w:val="24"/>
          <w:highlight w:val="none"/>
        </w:rPr>
        <w:t>学生云终端一体机</w:t>
      </w:r>
      <w:r>
        <w:rPr>
          <w:rFonts w:hint="eastAsia" w:ascii="宋体" w:hAnsi="宋体" w:eastAsia="宋体" w:cs="宋体"/>
          <w:b/>
          <w:bCs/>
          <w:color w:val="auto"/>
          <w:sz w:val="24"/>
          <w:szCs w:val="24"/>
          <w:highlight w:val="none"/>
        </w:rPr>
        <w:t>。</w:t>
      </w:r>
    </w:p>
    <w:p w14:paraId="6823206C">
      <w:r>
        <w:rPr>
          <w:rFonts w:hint="eastAsia" w:ascii="宋体" w:hAnsi="宋体" w:eastAsia="宋体" w:cs="宋体"/>
          <w:color w:val="auto"/>
          <w:sz w:val="24"/>
          <w:szCs w:val="24"/>
          <w:highlight w:val="none"/>
        </w:rPr>
        <w:t>2.本采购项目属性：货物类。采购标的对应的中小企业划型标准所属行业为：工业。</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2E5F29"/>
    <w:multiLevelType w:val="singleLevel"/>
    <w:tmpl w:val="862E5F29"/>
    <w:lvl w:ilvl="0" w:tentative="0">
      <w:start w:val="2"/>
      <w:numFmt w:val="chineseCounting"/>
      <w:suff w:val="nothing"/>
      <w:lvlText w:val="（%1）"/>
      <w:lvlJc w:val="left"/>
      <w:rPr>
        <w:rFonts w:hint="eastAsia"/>
      </w:rPr>
    </w:lvl>
  </w:abstractNum>
  <w:abstractNum w:abstractNumId="1">
    <w:nsid w:val="CEC823CF"/>
    <w:multiLevelType w:val="singleLevel"/>
    <w:tmpl w:val="CEC823CF"/>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926614"/>
    <w:rsid w:val="099266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autoSpaceDE w:val="0"/>
      <w:autoSpaceDN w:val="0"/>
      <w:adjustRightInd w:val="0"/>
      <w:spacing w:before="120" w:line="300" w:lineRule="auto"/>
      <w:jc w:val="center"/>
      <w:outlineLvl w:val="1"/>
    </w:pPr>
    <w:rPr>
      <w:rFonts w:ascii="Arial" w:hAnsi="Arial" w:eastAsia="黑体"/>
      <w:b/>
      <w:kern w:val="0"/>
      <w:sz w:val="30"/>
      <w:szCs w:val="20"/>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pPr>
      <w:spacing w:after="1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2026-06-26T09:35:00Z</dcterms:created>
  <dc:creator>吉安市安能项目管理有限公司</dc:creator>
  <cp:lastModifiedBy>吉安市安能项目管理有限公司</cp:lastModifiedBy>
  <dcterms:modified xsi:type="dcterms:W3CDTF">2026-06-26T09:36:26Z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82B4747A534D441F83CF0D03AFBD6CC7_11</vt:lpwstr>
  </property>
  <property fmtid="{D5CDD505-2E9C-101B-9397-08002B2CF9AE}" pid="4" name="KSOTemplateDocerSaveRecord">
    <vt:lpwstr>eyJoZGlkIjoiNjI2NzNiMjUxOGNiZDJiMjI2ZDg5ZjhkZjM1MjJiYzkiLCJ1c2VySWQiOiIzOTYzOTk2NDMifQ==</vt:lpwstr>
  </property>
</Properties>
</file>