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52846">
      <w:pPr>
        <w:jc w:val="center"/>
        <w:rPr>
          <w:rFonts w:hint="eastAsia" w:ascii="宋体" w:hAnsi="宋体" w:eastAsia="宋体" w:cs="宋体"/>
          <w:b/>
          <w:bCs w:val="0"/>
          <w:sz w:val="30"/>
          <w:szCs w:val="30"/>
          <w:highlight w:val="none"/>
          <w:lang w:eastAsia="zh-CN"/>
        </w:rPr>
      </w:pPr>
      <w:r>
        <w:rPr>
          <w:rFonts w:hint="eastAsia" w:ascii="宋体" w:hAnsi="宋体" w:eastAsia="宋体" w:cs="宋体"/>
          <w:b/>
          <w:bCs w:val="0"/>
          <w:sz w:val="30"/>
          <w:szCs w:val="30"/>
          <w:highlight w:val="none"/>
          <w:lang w:eastAsia="zh-CN"/>
        </w:rPr>
        <w:t>万安县窑头、高陂粮油管理所粮食仓储设施改造项目-设备采购</w:t>
      </w:r>
    </w:p>
    <w:p w14:paraId="498E5582">
      <w:pPr>
        <w:jc w:val="center"/>
        <w:rPr>
          <w:rFonts w:hint="eastAsia" w:ascii="宋体" w:hAnsi="宋体" w:eastAsia="宋体" w:cs="宋体"/>
          <w:b/>
          <w:bCs w:val="0"/>
          <w:sz w:val="30"/>
          <w:szCs w:val="30"/>
          <w:highlight w:val="none"/>
          <w:lang w:val="en-US" w:eastAsia="zh-CN"/>
        </w:rPr>
      </w:pPr>
      <w:r>
        <w:rPr>
          <w:rFonts w:hint="eastAsia" w:ascii="宋体" w:hAnsi="宋体" w:eastAsia="宋体" w:cs="宋体"/>
          <w:b/>
          <w:bCs w:val="0"/>
          <w:sz w:val="30"/>
          <w:szCs w:val="30"/>
          <w:highlight w:val="none"/>
          <w:lang w:val="en-US" w:eastAsia="zh-CN"/>
        </w:rPr>
        <w:t>采购需求</w:t>
      </w:r>
    </w:p>
    <w:p w14:paraId="1B6CA214">
      <w:pPr>
        <w:pageBreakBefore w:val="0"/>
        <w:widowControl w:val="0"/>
        <w:kinsoku/>
        <w:wordWrap/>
        <w:overflowPunct/>
        <w:topLinePunct w:val="0"/>
        <w:bidi w:val="0"/>
        <w:spacing w:before="78" w:line="220" w:lineRule="auto"/>
        <w:jc w:val="both"/>
        <w:outlineLvl w:val="1"/>
        <w:rPr>
          <w:rFonts w:hint="eastAsia" w:ascii="宋体" w:hAnsi="宋体" w:eastAsia="宋体" w:cs="宋体"/>
          <w:color w:val="auto"/>
          <w:highlight w:val="none"/>
        </w:rPr>
      </w:pPr>
      <w:bookmarkStart w:id="0" w:name="_Toc5964"/>
      <w:bookmarkStart w:id="1" w:name="_Toc7426"/>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一、</w:t>
      </w:r>
      <w:r>
        <w:rPr>
          <w:rFonts w:hint="eastAsia" w:ascii="宋体" w:hAnsi="宋体" w:eastAsia="宋体" w:cs="宋体"/>
          <w:color w:val="auto"/>
          <w:spacing w:val="-2"/>
          <w:sz w:val="24"/>
          <w:szCs w:val="24"/>
          <w:highlight w:val="none"/>
          <w:lang w:val="en-US" w:eastAsia="zh-CN"/>
          <w14:textOutline w14:w="4356" w14:cap="sq" w14:cmpd="sng" w14:algn="ctr">
            <w14:solidFill>
              <w14:srgbClr w14:val="000000"/>
            </w14:solidFill>
            <w14:prstDash w14:val="solid"/>
            <w14:bevel/>
          </w14:textOutline>
        </w:rPr>
        <w:t>采购</w:t>
      </w:r>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需求表</w:t>
      </w:r>
      <w:bookmarkEnd w:id="0"/>
      <w:bookmarkEnd w:id="1"/>
    </w:p>
    <w:tbl>
      <w:tblPr>
        <w:tblStyle w:val="5"/>
        <w:tblpPr w:leftFromText="180" w:rightFromText="180" w:vertAnchor="text" w:horzAnchor="page" w:tblpX="1392" w:tblpY="255"/>
        <w:tblOverlap w:val="never"/>
        <w:tblW w:w="910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7"/>
        <w:gridCol w:w="1101"/>
        <w:gridCol w:w="6263"/>
      </w:tblGrid>
      <w:tr w14:paraId="6A4EF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1" w:hRule="atLeast"/>
        </w:trPr>
        <w:tc>
          <w:tcPr>
            <w:tcW w:w="1737" w:type="dxa"/>
            <w:tcBorders>
              <w:right w:val="nil"/>
            </w:tcBorders>
          </w:tcPr>
          <w:p w14:paraId="4ACF59C7">
            <w:pPr>
              <w:pageBreakBefore w:val="0"/>
              <w:widowControl w:val="0"/>
              <w:kinsoku/>
              <w:wordWrap/>
              <w:overflowPunct/>
              <w:topLinePunct w:val="0"/>
              <w:bidi w:val="0"/>
              <w:spacing w:before="183" w:line="223" w:lineRule="auto"/>
              <w:ind w:left="109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p>
          <w:p w14:paraId="3C95A374">
            <w:pPr>
              <w:pStyle w:val="6"/>
              <w:pageBreakBefore w:val="0"/>
              <w:widowControl w:val="0"/>
              <w:kinsoku/>
              <w:wordWrap/>
              <w:overflowPunct/>
              <w:topLinePunct w:val="0"/>
              <w:bidi w:val="0"/>
              <w:spacing w:line="245" w:lineRule="auto"/>
              <w:rPr>
                <w:rFonts w:hint="eastAsia" w:ascii="宋体" w:hAnsi="宋体" w:eastAsia="宋体" w:cs="宋体"/>
                <w:color w:val="auto"/>
                <w:highlight w:val="none"/>
              </w:rPr>
            </w:pPr>
          </w:p>
          <w:p w14:paraId="5D6B5C22">
            <w:pPr>
              <w:pStyle w:val="6"/>
              <w:pageBreakBefore w:val="0"/>
              <w:widowControl w:val="0"/>
              <w:kinsoku/>
              <w:wordWrap/>
              <w:overflowPunct/>
              <w:topLinePunct w:val="0"/>
              <w:bidi w:val="0"/>
              <w:spacing w:line="246" w:lineRule="auto"/>
              <w:rPr>
                <w:rFonts w:hint="eastAsia" w:ascii="宋体" w:hAnsi="宋体" w:eastAsia="宋体" w:cs="宋体"/>
                <w:color w:val="auto"/>
                <w:highlight w:val="none"/>
              </w:rPr>
            </w:pPr>
          </w:p>
          <w:p w14:paraId="3925D9DD">
            <w:pPr>
              <w:pageBreakBefore w:val="0"/>
              <w:widowControl w:val="0"/>
              <w:kinsoku/>
              <w:wordWrap/>
              <w:overflowPunct/>
              <w:topLinePunct w:val="0"/>
              <w:bidi w:val="0"/>
              <w:spacing w:before="78" w:line="219" w:lineRule="auto"/>
              <w:ind w:left="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w:t>
            </w:r>
          </w:p>
          <w:p w14:paraId="7433BB82">
            <w:pPr>
              <w:pStyle w:val="6"/>
              <w:pageBreakBefore w:val="0"/>
              <w:widowControl w:val="0"/>
              <w:kinsoku/>
              <w:wordWrap/>
              <w:overflowPunct/>
              <w:topLinePunct w:val="0"/>
              <w:bidi w:val="0"/>
              <w:spacing w:line="338" w:lineRule="auto"/>
              <w:rPr>
                <w:rFonts w:hint="eastAsia" w:ascii="宋体" w:hAnsi="宋体" w:eastAsia="宋体" w:cs="宋体"/>
                <w:color w:val="auto"/>
                <w:highlight w:val="none"/>
              </w:rPr>
            </w:pPr>
          </w:p>
          <w:p w14:paraId="1C50C7E9">
            <w:pPr>
              <w:pageBreakBefore w:val="0"/>
              <w:widowControl w:val="0"/>
              <w:kinsoku/>
              <w:wordWrap/>
              <w:overflowPunct/>
              <w:topLinePunct w:val="0"/>
              <w:bidi w:val="0"/>
              <w:spacing w:before="78" w:line="220" w:lineRule="auto"/>
              <w:ind w:left="131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容</w:t>
            </w:r>
          </w:p>
        </w:tc>
        <w:tc>
          <w:tcPr>
            <w:tcW w:w="1101" w:type="dxa"/>
            <w:tcBorders>
              <w:left w:val="nil"/>
            </w:tcBorders>
          </w:tcPr>
          <w:p w14:paraId="7B116E0A">
            <w:pPr>
              <w:pStyle w:val="6"/>
              <w:pageBreakBefore w:val="0"/>
              <w:widowControl w:val="0"/>
              <w:kinsoku/>
              <w:wordWrap/>
              <w:overflowPunct/>
              <w:topLinePunct w:val="0"/>
              <w:bidi w:val="0"/>
              <w:spacing w:line="263" w:lineRule="auto"/>
              <w:rPr>
                <w:rFonts w:hint="eastAsia" w:ascii="宋体" w:hAnsi="宋体" w:eastAsia="宋体" w:cs="宋体"/>
                <w:color w:val="auto"/>
                <w:highlight w:val="none"/>
              </w:rPr>
            </w:pPr>
          </w:p>
          <w:p w14:paraId="43A34923">
            <w:pPr>
              <w:pStyle w:val="6"/>
              <w:pageBreakBefore w:val="0"/>
              <w:widowControl w:val="0"/>
              <w:kinsoku/>
              <w:wordWrap/>
              <w:overflowPunct/>
              <w:topLinePunct w:val="0"/>
              <w:bidi w:val="0"/>
              <w:spacing w:line="263" w:lineRule="auto"/>
              <w:rPr>
                <w:rFonts w:hint="eastAsia" w:ascii="宋体" w:hAnsi="宋体" w:eastAsia="宋体" w:cs="宋体"/>
                <w:color w:val="auto"/>
                <w:highlight w:val="none"/>
              </w:rPr>
            </w:pPr>
          </w:p>
          <w:p w14:paraId="1294496D">
            <w:pPr>
              <w:pStyle w:val="6"/>
              <w:pageBreakBefore w:val="0"/>
              <w:widowControl w:val="0"/>
              <w:kinsoku/>
              <w:wordWrap/>
              <w:overflowPunct/>
              <w:topLinePunct w:val="0"/>
              <w:bidi w:val="0"/>
              <w:spacing w:line="264" w:lineRule="auto"/>
              <w:rPr>
                <w:rFonts w:hint="eastAsia" w:ascii="宋体" w:hAnsi="宋体" w:eastAsia="宋体" w:cs="宋体"/>
                <w:color w:val="auto"/>
                <w:highlight w:val="none"/>
              </w:rPr>
            </w:pPr>
          </w:p>
          <w:p w14:paraId="1668424B">
            <w:pPr>
              <w:pageBreakBefore w:val="0"/>
              <w:widowControl w:val="0"/>
              <w:kinsoku/>
              <w:wordWrap/>
              <w:overflowPunct/>
              <w:topLinePunct w:val="0"/>
              <w:bidi w:val="0"/>
              <w:spacing w:before="78" w:line="221" w:lineRule="auto"/>
              <w:ind w:left="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称</w:t>
            </w:r>
          </w:p>
        </w:tc>
        <w:tc>
          <w:tcPr>
            <w:tcW w:w="6263" w:type="dxa"/>
          </w:tcPr>
          <w:p w14:paraId="1EDEF74D">
            <w:pPr>
              <w:pStyle w:val="6"/>
              <w:pageBreakBefore w:val="0"/>
              <w:widowControl w:val="0"/>
              <w:kinsoku/>
              <w:wordWrap/>
              <w:overflowPunct/>
              <w:topLinePunct w:val="0"/>
              <w:bidi w:val="0"/>
              <w:rPr>
                <w:rFonts w:hint="eastAsia" w:ascii="宋体" w:hAnsi="宋体" w:eastAsia="宋体" w:cs="宋体"/>
                <w:color w:val="auto"/>
                <w:highlight w:val="none"/>
              </w:rPr>
            </w:pPr>
          </w:p>
          <w:p w14:paraId="29229C25">
            <w:pPr>
              <w:pStyle w:val="6"/>
              <w:pageBreakBefore w:val="0"/>
              <w:widowControl w:val="0"/>
              <w:kinsoku/>
              <w:wordWrap/>
              <w:overflowPunct/>
              <w:topLinePunct w:val="0"/>
              <w:bidi w:val="0"/>
              <w:rPr>
                <w:rFonts w:hint="eastAsia" w:ascii="宋体" w:hAnsi="宋体" w:eastAsia="宋体" w:cs="宋体"/>
                <w:color w:val="auto"/>
                <w:highlight w:val="none"/>
              </w:rPr>
            </w:pPr>
          </w:p>
          <w:p w14:paraId="7A7AD77B">
            <w:pPr>
              <w:pStyle w:val="6"/>
              <w:pageBreakBefore w:val="0"/>
              <w:widowControl w:val="0"/>
              <w:kinsoku/>
              <w:wordWrap/>
              <w:overflowPunct/>
              <w:topLinePunct w:val="0"/>
              <w:bidi w:val="0"/>
              <w:rPr>
                <w:rFonts w:hint="eastAsia" w:ascii="宋体" w:hAnsi="宋体" w:eastAsia="宋体" w:cs="宋体"/>
                <w:color w:val="auto"/>
                <w:highlight w:val="none"/>
              </w:rPr>
            </w:pPr>
          </w:p>
          <w:p w14:paraId="61061F5E">
            <w:pPr>
              <w:pStyle w:val="6"/>
              <w:pageBreakBefore w:val="0"/>
              <w:widowControl w:val="0"/>
              <w:kinsoku/>
              <w:wordWrap/>
              <w:overflowPunct/>
              <w:topLinePunct w:val="0"/>
              <w:bidi w:val="0"/>
              <w:rPr>
                <w:rFonts w:hint="eastAsia" w:ascii="宋体" w:hAnsi="宋体" w:eastAsia="宋体" w:cs="宋体"/>
                <w:color w:val="auto"/>
                <w:highlight w:val="none"/>
              </w:rPr>
            </w:pPr>
          </w:p>
          <w:p w14:paraId="7F1C4B80">
            <w:pPr>
              <w:pStyle w:val="6"/>
              <w:pageBreakBefore w:val="0"/>
              <w:widowControl w:val="0"/>
              <w:kinsoku/>
              <w:wordWrap/>
              <w:overflowPunct/>
              <w:topLinePunct w:val="0"/>
              <w:bidi w:val="0"/>
              <w:jc w:val="center"/>
              <w:rPr>
                <w:rFonts w:hint="eastAsia" w:ascii="宋体" w:hAnsi="宋体" w:eastAsia="宋体" w:cs="宋体"/>
                <w:color w:val="auto"/>
                <w:highlight w:val="none"/>
                <w:lang w:eastAsia="zh-CN"/>
              </w:rPr>
            </w:pPr>
            <w:r>
              <w:rPr>
                <w:rFonts w:hint="eastAsia" w:ascii="宋体" w:hAnsi="宋体" w:eastAsia="宋体" w:cs="宋体"/>
                <w:snapToGrid w:val="0"/>
                <w:color w:val="auto"/>
                <w:spacing w:val="-6"/>
                <w:sz w:val="24"/>
                <w:szCs w:val="24"/>
                <w:highlight w:val="none"/>
                <w:lang w:val="en-US" w:eastAsia="zh-CN" w:bidi="ar-SA"/>
              </w:rPr>
              <w:t>万安县窑头、高陂粮油管理所粮食仓储设施改造项目-设备采购</w:t>
            </w:r>
          </w:p>
        </w:tc>
      </w:tr>
      <w:tr w14:paraId="69411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2838" w:type="dxa"/>
            <w:gridSpan w:val="2"/>
            <w:vAlign w:val="center"/>
          </w:tcPr>
          <w:p w14:paraId="750E3F67">
            <w:pPr>
              <w:pageBreakBefore w:val="0"/>
              <w:widowControl w:val="0"/>
              <w:kinsoku/>
              <w:wordWrap/>
              <w:overflowPunct/>
              <w:topLinePunct w:val="0"/>
              <w:bidi w:val="0"/>
              <w:spacing w:before="253" w:line="219" w:lineRule="auto"/>
              <w:ind w:left="1188"/>
              <w:jc w:val="both"/>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数量</w:t>
            </w:r>
          </w:p>
        </w:tc>
        <w:tc>
          <w:tcPr>
            <w:tcW w:w="6263" w:type="dxa"/>
            <w:vAlign w:val="center"/>
          </w:tcPr>
          <w:p w14:paraId="2E18FACB">
            <w:pPr>
              <w:pStyle w:val="6"/>
              <w:pageBreakBefore w:val="0"/>
              <w:widowControl w:val="0"/>
              <w:kinsoku/>
              <w:wordWrap/>
              <w:overflowPunct/>
              <w:topLinePunct w:val="0"/>
              <w:bidi w:val="0"/>
              <w:jc w:val="center"/>
              <w:rPr>
                <w:rFonts w:hint="eastAsia" w:ascii="宋体" w:hAnsi="宋体" w:eastAsia="宋体" w:cs="宋体"/>
                <w:color w:val="auto"/>
                <w:highlight w:val="none"/>
                <w:lang w:val="en-US" w:eastAsia="zh-CN"/>
              </w:rPr>
            </w:pPr>
            <w:r>
              <w:rPr>
                <w:rFonts w:hint="eastAsia" w:ascii="宋体" w:hAnsi="宋体" w:eastAsia="宋体" w:cs="宋体"/>
                <w:snapToGrid w:val="0"/>
                <w:color w:val="auto"/>
                <w:spacing w:val="-6"/>
                <w:sz w:val="24"/>
                <w:szCs w:val="24"/>
                <w:highlight w:val="none"/>
                <w:lang w:val="en-US" w:eastAsia="zh-CN" w:bidi="ar-SA"/>
              </w:rPr>
              <w:t>1批</w:t>
            </w:r>
          </w:p>
        </w:tc>
      </w:tr>
      <w:tr w14:paraId="6B14E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2838" w:type="dxa"/>
            <w:gridSpan w:val="2"/>
            <w:vAlign w:val="center"/>
          </w:tcPr>
          <w:p w14:paraId="0CA76668">
            <w:pPr>
              <w:pageBreakBefore w:val="0"/>
              <w:widowControl w:val="0"/>
              <w:kinsoku/>
              <w:wordWrap/>
              <w:overflowPunct/>
              <w:topLinePunct w:val="0"/>
              <w:bidi w:val="0"/>
              <w:spacing w:before="253" w:line="219" w:lineRule="auto"/>
              <w:ind w:left="1071"/>
              <w:jc w:val="both"/>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交货期</w:t>
            </w:r>
          </w:p>
        </w:tc>
        <w:tc>
          <w:tcPr>
            <w:tcW w:w="6263" w:type="dxa"/>
            <w:vAlign w:val="center"/>
          </w:tcPr>
          <w:p w14:paraId="7413C069">
            <w:pPr>
              <w:pStyle w:val="6"/>
              <w:pageBreakBefore w:val="0"/>
              <w:widowControl w:val="0"/>
              <w:kinsoku/>
              <w:wordWrap/>
              <w:overflowPunct/>
              <w:topLinePunct w:val="0"/>
              <w:bidi w:val="0"/>
              <w:jc w:val="center"/>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ar-SA"/>
              </w:rPr>
              <w:t>合同签订后30日内全部交货，并安装调试交付使用。</w:t>
            </w:r>
          </w:p>
        </w:tc>
      </w:tr>
      <w:tr w14:paraId="49092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2838" w:type="dxa"/>
            <w:gridSpan w:val="2"/>
            <w:vAlign w:val="center"/>
          </w:tcPr>
          <w:p w14:paraId="5E8B45C2">
            <w:pPr>
              <w:pageBreakBefore w:val="0"/>
              <w:widowControl w:val="0"/>
              <w:kinsoku/>
              <w:wordWrap/>
              <w:overflowPunct/>
              <w:topLinePunct w:val="0"/>
              <w:bidi w:val="0"/>
              <w:spacing w:before="256" w:line="219" w:lineRule="auto"/>
              <w:ind w:left="951"/>
              <w:jc w:val="both"/>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交货地点</w:t>
            </w:r>
          </w:p>
        </w:tc>
        <w:tc>
          <w:tcPr>
            <w:tcW w:w="6263" w:type="dxa"/>
            <w:vAlign w:val="center"/>
          </w:tcPr>
          <w:p w14:paraId="1E45A937">
            <w:pPr>
              <w:pStyle w:val="6"/>
              <w:pageBreakBefore w:val="0"/>
              <w:widowControl w:val="0"/>
              <w:kinsoku/>
              <w:wordWrap/>
              <w:overflowPunct/>
              <w:topLinePunct w:val="0"/>
              <w:bidi w:val="0"/>
              <w:jc w:val="center"/>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万安县高陂、窑头粮油管理所</w:t>
            </w:r>
          </w:p>
        </w:tc>
      </w:tr>
      <w:tr w14:paraId="63B8E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838" w:type="dxa"/>
            <w:gridSpan w:val="2"/>
            <w:vAlign w:val="center"/>
          </w:tcPr>
          <w:p w14:paraId="194C5D65">
            <w:pPr>
              <w:pageBreakBefore w:val="0"/>
              <w:widowControl w:val="0"/>
              <w:kinsoku/>
              <w:wordWrap/>
              <w:overflowPunct/>
              <w:topLinePunct w:val="0"/>
              <w:bidi w:val="0"/>
              <w:spacing w:before="257" w:line="220" w:lineRule="auto"/>
              <w:ind w:left="951"/>
              <w:jc w:val="both"/>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安装地点</w:t>
            </w:r>
          </w:p>
        </w:tc>
        <w:tc>
          <w:tcPr>
            <w:tcW w:w="6263" w:type="dxa"/>
            <w:vAlign w:val="center"/>
          </w:tcPr>
          <w:p w14:paraId="0A28FEA1">
            <w:pPr>
              <w:pStyle w:val="6"/>
              <w:pageBreakBefore w:val="0"/>
              <w:widowControl w:val="0"/>
              <w:kinsoku/>
              <w:wordWrap/>
              <w:overflowPunct/>
              <w:topLinePunct w:val="0"/>
              <w:bidi w:val="0"/>
              <w:jc w:val="center"/>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万安县高陂、窑头粮油管理所</w:t>
            </w:r>
          </w:p>
        </w:tc>
      </w:tr>
      <w:tr w14:paraId="48A7B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838" w:type="dxa"/>
            <w:gridSpan w:val="2"/>
            <w:vAlign w:val="center"/>
          </w:tcPr>
          <w:p w14:paraId="4D15BAD1">
            <w:pPr>
              <w:pageBreakBefore w:val="0"/>
              <w:widowControl w:val="0"/>
              <w:kinsoku/>
              <w:wordWrap/>
              <w:overflowPunct/>
              <w:topLinePunct w:val="0"/>
              <w:bidi w:val="0"/>
              <w:spacing w:before="256" w:line="221" w:lineRule="auto"/>
              <w:ind w:left="1189"/>
              <w:jc w:val="both"/>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备注</w:t>
            </w:r>
          </w:p>
        </w:tc>
        <w:tc>
          <w:tcPr>
            <w:tcW w:w="6263" w:type="dxa"/>
            <w:vAlign w:val="center"/>
          </w:tcPr>
          <w:p w14:paraId="61A81B1E">
            <w:pPr>
              <w:pStyle w:val="6"/>
              <w:pageBreakBefore w:val="0"/>
              <w:widowControl w:val="0"/>
              <w:kinsoku/>
              <w:wordWrap/>
              <w:overflowPunct/>
              <w:topLinePunct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p>
        </w:tc>
      </w:tr>
    </w:tbl>
    <w:p w14:paraId="2B19A788">
      <w:pPr>
        <w:pageBreakBefore w:val="0"/>
        <w:widowControl w:val="0"/>
        <w:kinsoku/>
        <w:wordWrap/>
        <w:overflowPunct/>
        <w:topLinePunct w:val="0"/>
        <w:bidi w:val="0"/>
        <w:rPr>
          <w:rFonts w:hint="eastAsia" w:ascii="宋体" w:hAnsi="宋体" w:eastAsia="宋体" w:cs="宋体"/>
          <w:color w:val="auto"/>
          <w:highlight w:val="none"/>
        </w:rPr>
        <w:sectPr>
          <w:footerReference r:id="rId3" w:type="default"/>
          <w:pgSz w:w="11906" w:h="16839"/>
          <w:pgMar w:top="1429" w:right="1786" w:bottom="1429" w:left="1786" w:header="0" w:footer="994" w:gutter="0"/>
          <w:cols w:space="720" w:num="1"/>
        </w:sectPr>
      </w:pPr>
      <w:r>
        <w:rPr>
          <w:rFonts w:hint="eastAsia" w:ascii="宋体" w:hAnsi="宋体" w:eastAsia="宋体" w:cs="宋体"/>
          <w:color w:val="auto"/>
          <w:highlight w:val="none"/>
        </w:rPr>
        <w:drawing>
          <wp:anchor distT="0" distB="0" distL="0" distR="0" simplePos="0" relativeHeight="251660288" behindDoc="1" locked="0" layoutInCell="1" allowOverlap="1">
            <wp:simplePos x="0" y="0"/>
            <wp:positionH relativeFrom="column">
              <wp:posOffset>-252095</wp:posOffset>
            </wp:positionH>
            <wp:positionV relativeFrom="paragraph">
              <wp:posOffset>150495</wp:posOffset>
            </wp:positionV>
            <wp:extent cx="1776730" cy="1456690"/>
            <wp:effectExtent l="0" t="0" r="13970" b="1016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
                    <a:stretch>
                      <a:fillRect/>
                    </a:stretch>
                  </pic:blipFill>
                  <pic:spPr>
                    <a:xfrm>
                      <a:off x="0" y="0"/>
                      <a:ext cx="1776730" cy="1456690"/>
                    </a:xfrm>
                    <a:prstGeom prst="rect">
                      <a:avLst/>
                    </a:prstGeom>
                  </pic:spPr>
                </pic:pic>
              </a:graphicData>
            </a:graphic>
          </wp:anchor>
        </w:drawing>
      </w:r>
    </w:p>
    <w:p w14:paraId="24FB8C7B">
      <w:pPr>
        <w:pageBreakBefore w:val="0"/>
        <w:widowControl w:val="0"/>
        <w:kinsoku/>
        <w:wordWrap/>
        <w:overflowPunct/>
        <w:topLinePunct w:val="0"/>
        <w:bidi w:val="0"/>
        <w:spacing w:before="47" w:line="219" w:lineRule="auto"/>
        <w:ind w:left="3805"/>
        <w:outlineLvl w:val="1"/>
        <w:rPr>
          <w:rFonts w:hint="eastAsia" w:ascii="宋体" w:hAnsi="宋体" w:eastAsia="宋体" w:cs="宋体"/>
          <w:color w:val="auto"/>
          <w:sz w:val="24"/>
          <w:szCs w:val="24"/>
          <w:highlight w:val="none"/>
        </w:rPr>
      </w:pPr>
      <w:bookmarkStart w:id="2" w:name="bookmark81"/>
      <w:bookmarkEnd w:id="2"/>
      <w:bookmarkStart w:id="3" w:name="_Toc28857"/>
      <w:bookmarkStart w:id="4" w:name="_Toc19467"/>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二、采购</w:t>
      </w:r>
      <w:r>
        <w:rPr>
          <w:rFonts w:hint="eastAsia" w:ascii="宋体" w:hAnsi="宋体" w:eastAsia="宋体" w:cs="宋体"/>
          <w:color w:val="auto"/>
          <w:spacing w:val="-2"/>
          <w:sz w:val="24"/>
          <w:szCs w:val="24"/>
          <w:highlight w:val="none"/>
          <w:lang w:val="en-US" w:eastAsia="zh-CN"/>
          <w14:textOutline w14:w="4356" w14:cap="sq" w14:cmpd="sng" w14:algn="ctr">
            <w14:solidFill>
              <w14:srgbClr w14:val="000000"/>
            </w14:solidFill>
            <w14:prstDash w14:val="solid"/>
            <w14:bevel/>
          </w14:textOutline>
        </w:rPr>
        <w:t>要</w:t>
      </w:r>
      <w:r>
        <w:rPr>
          <w:rFonts w:hint="eastAsia" w:ascii="宋体" w:hAnsi="宋体" w:eastAsia="宋体" w:cs="宋体"/>
          <w:color w:val="auto"/>
          <w:spacing w:val="-2"/>
          <w:sz w:val="24"/>
          <w:szCs w:val="24"/>
          <w:highlight w:val="none"/>
          <w14:textOutline w14:w="4356" w14:cap="sq" w14:cmpd="sng" w14:algn="ctr">
            <w14:solidFill>
              <w14:srgbClr w14:val="000000"/>
            </w14:solidFill>
            <w14:prstDash w14:val="solid"/>
            <w14:bevel/>
          </w14:textOutline>
        </w:rPr>
        <w:t>求</w:t>
      </w:r>
      <w:bookmarkEnd w:id="3"/>
      <w:bookmarkEnd w:id="4"/>
    </w:p>
    <w:p w14:paraId="697A54D0">
      <w:pPr>
        <w:pageBreakBefore w:val="0"/>
        <w:widowControl w:val="0"/>
        <w:kinsoku/>
        <w:wordWrap/>
        <w:overflowPunct/>
        <w:topLinePunct w:val="0"/>
        <w:bidi w:val="0"/>
        <w:spacing w:line="258" w:lineRule="auto"/>
        <w:rPr>
          <w:rFonts w:hint="eastAsia" w:ascii="宋体" w:hAnsi="宋体" w:eastAsia="宋体" w:cs="宋体"/>
          <w:b/>
          <w:bCs/>
          <w:color w:val="auto"/>
          <w:highlight w:val="none"/>
        </w:rPr>
      </w:pPr>
    </w:p>
    <w:p w14:paraId="235CABA8">
      <w:pPr>
        <w:pageBreakBefore w:val="0"/>
        <w:widowControl w:val="0"/>
        <w:numPr>
          <w:ilvl w:val="0"/>
          <w:numId w:val="1"/>
        </w:numPr>
        <w:kinsoku/>
        <w:wordWrap/>
        <w:overflowPunct/>
        <w:topLinePunct w:val="0"/>
        <w:bidi w:val="0"/>
        <w:spacing w:before="78" w:line="219" w:lineRule="auto"/>
        <w:outlineLvl w:val="1"/>
        <w:rPr>
          <w:rFonts w:hint="eastAsia" w:ascii="宋体" w:hAnsi="宋体" w:eastAsia="宋体" w:cs="宋体"/>
          <w:b/>
          <w:bCs/>
          <w:color w:val="auto"/>
          <w:spacing w:val="-5"/>
          <w:sz w:val="24"/>
          <w:szCs w:val="24"/>
          <w:highlight w:val="none"/>
        </w:rPr>
      </w:pPr>
      <w:r>
        <w:rPr>
          <w:rFonts w:hint="eastAsia" w:ascii="宋体" w:hAnsi="宋体" w:eastAsia="宋体" w:cs="宋体"/>
          <w:b/>
          <w:bCs/>
          <w:color w:val="auto"/>
          <w:spacing w:val="25"/>
          <w:sz w:val="24"/>
          <w:szCs w:val="24"/>
          <w:highlight w:val="none"/>
          <w:lang w:val="en-US" w:eastAsia="zh-CN"/>
        </w:rPr>
        <w:t>采购</w:t>
      </w:r>
      <w:r>
        <w:rPr>
          <w:rFonts w:hint="eastAsia" w:ascii="宋体" w:hAnsi="宋体" w:eastAsia="宋体" w:cs="宋体"/>
          <w:b/>
          <w:bCs/>
          <w:color w:val="auto"/>
          <w:spacing w:val="-5"/>
          <w:sz w:val="24"/>
          <w:szCs w:val="24"/>
          <w:highlight w:val="none"/>
        </w:rPr>
        <w:t>需求</w:t>
      </w:r>
    </w:p>
    <w:p w14:paraId="6B0EBF88">
      <w:pPr>
        <w:pageBreakBefore w:val="0"/>
        <w:widowControl w:val="0"/>
        <w:numPr>
          <w:ilvl w:val="0"/>
          <w:numId w:val="0"/>
        </w:numPr>
        <w:kinsoku/>
        <w:wordWrap/>
        <w:overflowPunct/>
        <w:topLinePunct w:val="0"/>
        <w:bidi w:val="0"/>
        <w:spacing w:before="78" w:line="219" w:lineRule="auto"/>
        <w:jc w:val="center"/>
        <w:rPr>
          <w:rFonts w:hint="default" w:ascii="宋体" w:hAnsi="宋体" w:eastAsia="宋体" w:cs="宋体"/>
          <w:b/>
          <w:bCs/>
          <w:color w:val="auto"/>
          <w:spacing w:val="-5"/>
          <w:sz w:val="24"/>
          <w:szCs w:val="24"/>
          <w:highlight w:val="none"/>
          <w:lang w:val="en-US" w:eastAsia="zh-CN"/>
        </w:rPr>
      </w:pPr>
      <w:r>
        <w:rPr>
          <w:rFonts w:hint="eastAsia" w:ascii="宋体" w:hAnsi="宋体" w:eastAsia="宋体" w:cs="宋体"/>
          <w:b/>
          <w:bCs/>
          <w:color w:val="auto"/>
          <w:spacing w:val="-5"/>
          <w:sz w:val="24"/>
          <w:szCs w:val="24"/>
          <w:highlight w:val="none"/>
          <w:lang w:val="en-US" w:eastAsia="zh-CN"/>
        </w:rPr>
        <w:t>货物清单明细表</w:t>
      </w:r>
    </w:p>
    <w:tbl>
      <w:tblPr>
        <w:tblStyle w:val="3"/>
        <w:tblW w:w="99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0"/>
        <w:gridCol w:w="1202"/>
        <w:gridCol w:w="7509"/>
        <w:gridCol w:w="749"/>
      </w:tblGrid>
      <w:tr w14:paraId="0FE1D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 w:hRule="atLeast"/>
        </w:trPr>
        <w:tc>
          <w:tcPr>
            <w:tcW w:w="5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2CE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序号</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311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货物名称</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B19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技术参数</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890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数量</w:t>
            </w:r>
          </w:p>
        </w:tc>
      </w:tr>
      <w:tr w14:paraId="38029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2" w:hRule="atLeast"/>
        </w:trPr>
        <w:tc>
          <w:tcPr>
            <w:tcW w:w="5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0BF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310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扒谷机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EC802">
            <w:pPr>
              <w:keepNext w:val="0"/>
              <w:keepLines w:val="0"/>
              <w:widowControl/>
              <w:suppressLineNumbers w:val="0"/>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处理量：≧50T/H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动力配置：扒谷≥3KW</w:t>
            </w:r>
          </w:p>
          <w:p w14:paraId="1C2EB00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轴承温度（℃）≤30；</w:t>
            </w:r>
          </w:p>
          <w:p w14:paraId="255380C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噪声（dB(A)）≤85；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机架直线度（mm/mm）≤1/1000；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相邻三组托辊上表面高低差（mm）≤2；</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漆膜划格实验（%）＜5；</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其他配置：输送扒谷电机为防爆电机，配电箱为防爆照明配电箱，工业5孔插头+转换开关</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C52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3台</w:t>
            </w:r>
          </w:p>
        </w:tc>
      </w:tr>
      <w:tr w14:paraId="43314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1D5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E8B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卸粮机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FC33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1.输送机长度：机身总长8m±0.2m，料斗长度4m±0.2m;输送带：带宽650mm±20mm；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2.输送能力：≥60t/h；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3.带速：≤2.5m/s</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4.配套功率：输送≥4KW；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5.其他配置：机架为锰钢材质，静音托辊，EP尼龙带、专用绕线盘、输送电机为防爆电机、双层不锈钢配电箱，工业5孔插头+转换开关。</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FBB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3台</w:t>
            </w:r>
          </w:p>
        </w:tc>
      </w:tr>
      <w:tr w14:paraId="2B228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0"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5598F9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3</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B11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移动伸缩输送机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42CA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1.输送机长度：主体机架长8m±0.2m，伸出4m±0.2m，带宽650mm±20mm；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2.输送能力：≥60t/h；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3.带速：≤2.5m/s、EP人字纹环形输送胶带，织物层3层。覆胶层厚度：上3mm±0.2mm，下1.5mm±0.2mm；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4.配套功率：输送≥4KW；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5.伸缩：≥1.5KW；升降：≥1.5KW；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6.其他配置：机架为锰钢材质，静音托辊，EP尼龙带、专用绕线盘、输送电机为防爆电机、双层不锈钢配电箱，工业5孔插头+转换开关。</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710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4台</w:t>
            </w:r>
          </w:p>
        </w:tc>
      </w:tr>
      <w:tr w14:paraId="47063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5"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5FDB99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4</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BBB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水平伸缩输送机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4D56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1.输送机长度：机身总长8m±0.2m，伸缩长度4m±0.2m;输送带：带宽650mm±20mm；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2.输送能力： ≥60t/h；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3.带速：≤2.5m/s、EP人字纹环形输送胶带，织物层3层。覆胶层厚度：上3mm±0.2mm，下1.5mm±0.2mm；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4.配套功率：输送≥4KW；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5.其他配置：机架为锰钢材质，静音托辊，EP尼龙带、专用绕线盘、输送电机为防爆电机、双层不锈钢配电箱，工业5孔插头+转换开关。</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BCEE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3台</w:t>
            </w:r>
          </w:p>
        </w:tc>
      </w:tr>
      <w:tr w14:paraId="5DF92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1"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184439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5</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37F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水平输送机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22891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1.输送机长度：机身总长6m±0.2m;输送带：带宽650mm±20mm；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2.输送能力： ≥60t/h；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3.带速：≤2.5m/s、EP人字纹环形输送胶带，织物层3层。覆胶层厚度：上3mm±0.2mm，下1.5mm±0.2mm；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4.配套功率：输送≥3KW；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5.其他配置：机架为锰钢材质，静音托辊，EP尼龙带、专用绕线盘、输送电机为防爆电机、双层不锈钢配电箱，工业5孔插头+转换开关。</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982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3台</w:t>
            </w:r>
          </w:p>
        </w:tc>
      </w:tr>
      <w:tr w14:paraId="3538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6"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6BF161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6</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5D3C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可伸缩转向装仓机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3206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1.输送机长度：20m±0.2m（主机13m+伸缩7m）；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2.输送能力：≥50t/h；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输送带：带宽650mm±20mm，带速：≤2.8m/s、聚脂人字纹环形输送胶带，织物层3层。覆胶层厚度：上3mm±0.2mm，下1.5mm±0.2mm，输送距离：（12-18m）±0.2m；伸缩长度：6m±0.2m，转向角度±135°输送角度配套功率：输送≥7.5kw、液压≥3.0kw、伸缩≥1.5kw、行走≥2.2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4.其他配置：机架为锰钢材质，静音托辊，EP尼龙带、专用绕线盘、输送电机为防爆电机、配电箱为防爆照明配电箱，工业5孔插头+转换开关。</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0A3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1台</w:t>
            </w:r>
          </w:p>
        </w:tc>
      </w:tr>
      <w:tr w14:paraId="5A3AE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1"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34F18A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7</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F7D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移动式振动筛（玻璃刹克龙）</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4FCF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1.新型环保振动筛具有灰尘收集功能；</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2.筛体尺寸：(2000mmx2400mm)±20mm、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处理量：≥50T/H；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3.动力配置：风机≥5.5KW+闭风器≥1.5KW+震动≥0.75KWx2；</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4.振动电机轴承温升（℃）符合国家标准≤35；</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5.振动电机轴承温度（℃）符合国家标准≤70；</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6.漆膜厚度（цm）符合国家标准≥75；</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7.漆膜划格实验（%）符合国家标准＜5；</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8.漆面质量符合国家标准：漆面均匀光洁、色泽一致，不得有刷痕、流挂、针孔、麻点、桔纹、起皱、气泡、迸裂、泛黄、发白及污点；</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9.其他配置：双层不锈钢配电箱，工业5孔插头+转换开关；除清效率：大杂≥80%；小杂≥40%。</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4B9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4台</w:t>
            </w:r>
          </w:p>
        </w:tc>
      </w:tr>
      <w:tr w14:paraId="5C953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4"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529795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8</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66FD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移动伸缩输送机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93B5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1.输送机长度：主体机架长10m±0.2m，伸出5m±0.2m，带宽650mm±20mm；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2.输送能力：≥60t/h；</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3.带速：≤2.5m/s、EP人字纹环形输送胶带，织物层3层。覆胶层厚度：上3mm±0.2mm，下1.5mm±0.2mm；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4.配套功率：输送≥5.5KW；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5.伸缩：≥1.5KW；升降：≥1.5KW；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6.料斗高度：0.95m±0.2m；</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7.其他配置：机架为锰钢材质，静音托辊，EP尼龙带、专用绕线盘、输送电机为防爆电机、双层不锈钢配电箱，工业5孔插头+转换开关。</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0A2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3台</w:t>
            </w:r>
          </w:p>
        </w:tc>
      </w:tr>
      <w:tr w14:paraId="0379B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7"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72FE29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9</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681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智能扦样机</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020F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摆臂长度：≧10460mm（≧半径8.3米）；2、扦样杆长：≧5500mm；3、摆动角度：0°至270°；4、取样最大高度大于等于5100mm；5、扦样机选用不锈钢室外防水双门配电箱配备10寸触摸屏，采用智能控制系统。可与智能粮库系统对接，系统运行高效稳定。6、扦样机具备手动（遥控）和自动两种工作模式，并可以任意切换。7、汽车停在停车位，点击启动按键。扦样机自动扫描车辆。根据车辆形状，大小随机生成扦样方案，并自动完成扦样，也可按照用户自定义的样点进行快速扦样。8、横臂旋转（1KW）、扦样小车移动（1KW）、扦样杆升降（1KW）选用高效率伺服电机。9、标准配备语音播报公能。选配可加装刷卡启动、远程控制、打印机、上位机等功能。10。机器防锈工艺采用热度锌加美观漆。11、扦样机提供多处急停方式，确保安全运行。12、扦样机提供维修工作平台。13、在手动模式下可以通过组合键自动上下杆，启风机。14、可以选择不同风机启动方式。15、可以自定义扦杆在车底停留时间。16，可以自定义扦样点密度。17、有多种自动方案，用户可以根据需要选择。18、具有故障诊断功能。19、单点扦样时间（S）＜300；20、扦样速度（s/m）＜8；21、涂膜牢固程度（%）＜5；21.智能扦样机有物联网卡服务功能，智能扦样机有预留相关网络插口能与库方智能化软件平台对接。</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C42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1台</w:t>
            </w:r>
          </w:p>
        </w:tc>
      </w:tr>
      <w:tr w14:paraId="639D3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1"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0986B0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10</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1F59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智能扦样机配套分样器</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A128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1）搅拌电机转速：75±5转/分钟</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2）搅拌电机功率：≧370W</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3）分样量：≧10KG</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4）分样速度：≧70L/分钟</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5）可分样谷物：稻谷、玉米、大豆、小麦等中小型颗粒谷物。</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6）外形尺寸：≧800mm*800mm*2100mm</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17A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1台</w:t>
            </w:r>
          </w:p>
        </w:tc>
      </w:tr>
      <w:tr w14:paraId="5B1CB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6" w:hRule="atLeast"/>
        </w:trPr>
        <w:tc>
          <w:tcPr>
            <w:tcW w:w="500" w:type="dxa"/>
            <w:tcBorders>
              <w:top w:val="single" w:color="000000" w:sz="4" w:space="0"/>
              <w:left w:val="single" w:color="000000" w:sz="8" w:space="0"/>
              <w:bottom w:val="single" w:color="000000" w:sz="4" w:space="0"/>
              <w:right w:val="single" w:color="000000" w:sz="4" w:space="0"/>
            </w:tcBorders>
            <w:shd w:val="clear" w:color="auto" w:fill="FFFFFF"/>
            <w:vAlign w:val="center"/>
          </w:tcPr>
          <w:p w14:paraId="6B0E39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11</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4B5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i w:val="0"/>
                <w:iCs w:val="0"/>
                <w:snapToGrid w:val="0"/>
                <w:color w:val="000000"/>
                <w:kern w:val="0"/>
                <w:sz w:val="24"/>
                <w:szCs w:val="24"/>
                <w:highlight w:val="none"/>
                <w:u w:val="none"/>
                <w:lang w:val="en-US" w:eastAsia="zh-CN" w:bidi="ar"/>
              </w:rPr>
              <w:t>谷物冷却机（核心产品）</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1F66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制冷量≥55KW，送风机送风量≧3500m3/h,机组最大送风量≥6000m3/h,；制冷消耗功率≤51.6KW；机组电源380V,50Hz,出风温度7-25℃,出风相对湿度60-90%,送风机风压≧1400Pa；机组运行噪音≤120dB；谷冷机具有远程≧4G无线控制模块，可实现现场无人值守，可以通过物联网手机助手APP远程调试及开机</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0E1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2台</w:t>
            </w:r>
          </w:p>
        </w:tc>
      </w:tr>
      <w:tr w14:paraId="71B6B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8" w:hRule="atLeast"/>
        </w:trPr>
        <w:tc>
          <w:tcPr>
            <w:tcW w:w="5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C13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12</w:t>
            </w:r>
          </w:p>
        </w:tc>
        <w:tc>
          <w:tcPr>
            <w:tcW w:w="12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5BB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托盘</w:t>
            </w:r>
          </w:p>
        </w:tc>
        <w:tc>
          <w:tcPr>
            <w:tcW w:w="7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9E08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snapToGrid w:val="0"/>
                <w:color w:val="000000"/>
                <w:kern w:val="0"/>
                <w:sz w:val="24"/>
                <w:szCs w:val="24"/>
                <w:highlight w:val="none"/>
                <w:u w:val="none"/>
                <w:lang w:val="en-US" w:eastAsia="zh-CN" w:bidi="ar"/>
              </w:rPr>
              <w:t>1.蓝色网格双面</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2.规格尺寸（mm）：1400*1200*150</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3.材质：新料HDPE</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4.托盘自重：27kg±1kg</w:t>
            </w:r>
            <w:r>
              <w:rPr>
                <w:rFonts w:hint="eastAsia" w:ascii="宋体" w:hAnsi="宋体" w:eastAsia="宋体" w:cs="宋体"/>
                <w:i w:val="0"/>
                <w:iCs w:val="0"/>
                <w:snapToGrid w:val="0"/>
                <w:color w:val="000000"/>
                <w:kern w:val="0"/>
                <w:sz w:val="24"/>
                <w:szCs w:val="24"/>
                <w:highlight w:val="none"/>
                <w:u w:val="none"/>
                <w:lang w:val="en-US" w:eastAsia="zh-CN" w:bidi="ar"/>
              </w:rPr>
              <w:br w:type="textWrapping"/>
            </w:r>
            <w:r>
              <w:rPr>
                <w:rFonts w:hint="eastAsia" w:ascii="宋体" w:hAnsi="宋体" w:eastAsia="宋体" w:cs="宋体"/>
                <w:i w:val="0"/>
                <w:iCs w:val="0"/>
                <w:snapToGrid w:val="0"/>
                <w:color w:val="000000"/>
                <w:kern w:val="0"/>
                <w:sz w:val="24"/>
                <w:szCs w:val="24"/>
                <w:highlight w:val="none"/>
                <w:u w:val="none"/>
                <w:lang w:val="en-US" w:eastAsia="zh-CN" w:bidi="ar"/>
              </w:rPr>
              <w:t>5.载重：动载1.5吨，静载6吨</w:t>
            </w:r>
          </w:p>
        </w:tc>
        <w:tc>
          <w:tcPr>
            <w:tcW w:w="7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78E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120个</w:t>
            </w:r>
          </w:p>
        </w:tc>
      </w:tr>
    </w:tbl>
    <w:p w14:paraId="3B0A57FB">
      <w:pPr>
        <w:pageBreakBefore w:val="0"/>
        <w:widowControl w:val="0"/>
        <w:kinsoku/>
        <w:wordWrap/>
        <w:overflowPunct/>
        <w:topLinePunct w:val="0"/>
        <w:bidi w:val="0"/>
        <w:spacing w:line="245" w:lineRule="auto"/>
        <w:rPr>
          <w:rFonts w:hint="eastAsia" w:ascii="宋体" w:hAnsi="宋体" w:eastAsia="宋体" w:cs="宋体"/>
          <w:color w:val="auto"/>
          <w:highlight w:val="none"/>
          <w:lang w:eastAsia="zh-CN"/>
        </w:rPr>
      </w:pPr>
    </w:p>
    <w:p w14:paraId="13E77F18">
      <w:pPr>
        <w:pageBreakBefore w:val="0"/>
        <w:widowControl w:val="0"/>
        <w:kinsoku/>
        <w:wordWrap/>
        <w:overflowPunct/>
        <w:topLinePunct w:val="0"/>
        <w:bidi w:val="0"/>
        <w:spacing w:before="78" w:line="219" w:lineRule="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6"/>
          <w:sz w:val="24"/>
          <w:szCs w:val="24"/>
          <w:highlight w:val="none"/>
          <w:lang w:eastAsia="zh-CN"/>
        </w:rPr>
        <w:t>（二）</w:t>
      </w:r>
      <w:r>
        <w:rPr>
          <w:rFonts w:hint="eastAsia" w:ascii="宋体" w:hAnsi="宋体" w:eastAsia="宋体" w:cs="宋体"/>
          <w:b/>
          <w:bCs/>
          <w:color w:val="auto"/>
          <w:spacing w:val="32"/>
          <w:sz w:val="24"/>
          <w:szCs w:val="24"/>
          <w:highlight w:val="none"/>
          <w:lang w:eastAsia="zh-CN"/>
        </w:rPr>
        <w:t xml:space="preserve"> </w:t>
      </w:r>
      <w:r>
        <w:rPr>
          <w:rFonts w:hint="eastAsia" w:ascii="宋体" w:hAnsi="宋体" w:eastAsia="宋体" w:cs="宋体"/>
          <w:b/>
          <w:bCs/>
          <w:color w:val="auto"/>
          <w:spacing w:val="-6"/>
          <w:sz w:val="24"/>
          <w:szCs w:val="24"/>
          <w:highlight w:val="none"/>
          <w:lang w:eastAsia="zh-CN"/>
        </w:rPr>
        <w:t>商务</w:t>
      </w:r>
      <w:r>
        <w:rPr>
          <w:rFonts w:hint="eastAsia" w:ascii="宋体" w:hAnsi="宋体" w:eastAsia="宋体" w:cs="宋体"/>
          <w:b/>
          <w:bCs/>
          <w:color w:val="auto"/>
          <w:spacing w:val="-6"/>
          <w:sz w:val="24"/>
          <w:szCs w:val="24"/>
          <w:highlight w:val="none"/>
          <w:lang w:val="en-US" w:eastAsia="zh-CN"/>
        </w:rPr>
        <w:t>要求</w:t>
      </w:r>
    </w:p>
    <w:p w14:paraId="241BFE35">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交货时间</w:t>
      </w:r>
      <w:r>
        <w:rPr>
          <w:rFonts w:hint="eastAsia" w:ascii="宋体" w:hAnsi="宋体" w:eastAsia="宋体" w:cs="宋体"/>
          <w:b/>
          <w:bCs/>
          <w:sz w:val="24"/>
          <w:szCs w:val="24"/>
          <w:highlight w:val="none"/>
          <w:lang w:eastAsia="zh-CN"/>
        </w:rPr>
        <w:t>：</w:t>
      </w:r>
      <w:r>
        <w:rPr>
          <w:rFonts w:hint="eastAsia" w:ascii="宋体" w:hAnsi="宋体" w:eastAsia="宋体" w:cs="宋体"/>
          <w:color w:val="auto"/>
          <w:sz w:val="24"/>
          <w:szCs w:val="24"/>
          <w:highlight w:val="none"/>
          <w:lang w:val="en-US" w:eastAsia="zh-CN" w:bidi="ar-SA"/>
        </w:rPr>
        <w:t>合同签订后30日内全部交货，并安装调试交付使用。</w:t>
      </w:r>
    </w:p>
    <w:p w14:paraId="5A730E6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rPr>
        <w:t>交货地点</w:t>
      </w:r>
      <w:r>
        <w:rPr>
          <w:rFonts w:hint="eastAsia" w:ascii="宋体" w:hAnsi="宋体" w:eastAsia="宋体" w:cs="宋体"/>
          <w:b/>
          <w:bCs/>
          <w:sz w:val="24"/>
          <w:szCs w:val="24"/>
          <w:highlight w:val="none"/>
          <w:lang w:eastAsia="zh-CN"/>
        </w:rPr>
        <w:t>：</w:t>
      </w:r>
      <w:r>
        <w:rPr>
          <w:rFonts w:hint="eastAsia" w:ascii="宋体" w:hAnsi="宋体" w:eastAsia="宋体" w:cs="宋体"/>
          <w:b w:val="0"/>
          <w:bCs w:val="0"/>
          <w:sz w:val="24"/>
          <w:szCs w:val="24"/>
          <w:highlight w:val="none"/>
          <w:lang w:val="en-US" w:eastAsia="zh-CN"/>
        </w:rPr>
        <w:t>万安县</w:t>
      </w:r>
      <w:r>
        <w:rPr>
          <w:rFonts w:hint="eastAsia" w:ascii="宋体" w:hAnsi="宋体" w:eastAsia="宋体" w:cs="宋体"/>
          <w:b w:val="0"/>
          <w:bCs w:val="0"/>
          <w:sz w:val="24"/>
          <w:szCs w:val="24"/>
          <w:highlight w:val="none"/>
        </w:rPr>
        <w:t>高陂、窑头粮油管理所</w:t>
      </w:r>
      <w:r>
        <w:rPr>
          <w:rFonts w:hint="eastAsia" w:ascii="宋体" w:hAnsi="宋体" w:eastAsia="宋体" w:cs="宋体"/>
          <w:sz w:val="24"/>
          <w:szCs w:val="24"/>
          <w:highlight w:val="none"/>
          <w:lang w:eastAsia="zh-CN"/>
        </w:rPr>
        <w:t>。</w:t>
      </w:r>
    </w:p>
    <w:p w14:paraId="13AE0FD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付款方式</w:t>
      </w:r>
      <w:r>
        <w:rPr>
          <w:rFonts w:hint="eastAsia" w:ascii="宋体" w:hAnsi="宋体" w:eastAsia="宋体" w:cs="宋体"/>
          <w:b/>
          <w:bCs/>
          <w:sz w:val="24"/>
          <w:szCs w:val="24"/>
          <w:highlight w:val="none"/>
          <w:lang w:eastAsia="zh-CN"/>
        </w:rPr>
        <w:t>：</w:t>
      </w:r>
      <w:r>
        <w:rPr>
          <w:rFonts w:hint="eastAsia" w:ascii="宋体" w:hAnsi="宋体" w:eastAsia="宋体" w:cs="宋体"/>
          <w:color w:val="auto"/>
          <w:sz w:val="24"/>
          <w:szCs w:val="24"/>
          <w:highlight w:val="none"/>
          <w:lang w:val="en-US" w:eastAsia="zh-CN" w:bidi="ar-SA"/>
        </w:rPr>
        <w:t>全部货物完成安装调试且能正常投入使用，验收合格后一次性支付合同金额100%款项</w:t>
      </w:r>
      <w:r>
        <w:rPr>
          <w:rFonts w:hint="eastAsia" w:ascii="宋体" w:hAnsi="宋体" w:eastAsia="宋体" w:cs="宋体"/>
          <w:sz w:val="24"/>
          <w:szCs w:val="24"/>
          <w:highlight w:val="none"/>
          <w:lang w:eastAsia="zh-CN"/>
        </w:rPr>
        <w:t>。</w:t>
      </w:r>
    </w:p>
    <w:p w14:paraId="01F74F93">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质</w:t>
      </w:r>
      <w:r>
        <w:rPr>
          <w:rFonts w:hint="eastAsia" w:ascii="宋体" w:hAnsi="宋体" w:eastAsia="宋体" w:cs="宋体"/>
          <w:b/>
          <w:bCs/>
          <w:sz w:val="24"/>
          <w:szCs w:val="24"/>
          <w:highlight w:val="none"/>
          <w:lang w:val="en-US" w:eastAsia="zh-CN"/>
        </w:rPr>
        <w:t>保期：</w:t>
      </w:r>
      <w:r>
        <w:rPr>
          <w:rFonts w:hint="eastAsia" w:ascii="宋体" w:hAnsi="宋体" w:eastAsia="宋体" w:cs="宋体"/>
          <w:b w:val="0"/>
          <w:bCs w:val="0"/>
          <w:sz w:val="24"/>
          <w:szCs w:val="24"/>
          <w:highlight w:val="none"/>
          <w:lang w:val="en-US" w:eastAsia="zh-CN"/>
        </w:rPr>
        <w:t>一年，</w:t>
      </w:r>
      <w:r>
        <w:rPr>
          <w:rFonts w:hint="eastAsia" w:ascii="宋体" w:hAnsi="宋体" w:eastAsia="宋体" w:cs="宋体"/>
          <w:b w:val="0"/>
          <w:bCs w:val="0"/>
          <w:sz w:val="24"/>
          <w:szCs w:val="24"/>
          <w:highlight w:val="none"/>
          <w:lang w:eastAsia="zh-CN"/>
        </w:rPr>
        <w:t>供</w:t>
      </w:r>
      <w:r>
        <w:rPr>
          <w:rFonts w:hint="eastAsia" w:ascii="宋体" w:hAnsi="宋体" w:eastAsia="宋体" w:cs="宋体"/>
          <w:sz w:val="24"/>
          <w:szCs w:val="24"/>
          <w:highlight w:val="none"/>
          <w:lang w:eastAsia="zh-CN"/>
        </w:rPr>
        <w:t>应商所投货物必须为原厂原装、全新的、符合国家有关质量标准的合格正品，并实行质量三包；须提供所投产品质量保证期为</w:t>
      </w:r>
      <w:r>
        <w:rPr>
          <w:rFonts w:hint="eastAsia" w:ascii="宋体" w:hAnsi="宋体" w:eastAsia="宋体" w:cs="宋体"/>
          <w:sz w:val="24"/>
          <w:szCs w:val="24"/>
          <w:highlight w:val="none"/>
          <w:lang w:val="en-US" w:eastAsia="zh-CN"/>
        </w:rPr>
        <w:t>一年</w:t>
      </w:r>
      <w:r>
        <w:rPr>
          <w:rFonts w:hint="eastAsia" w:ascii="宋体" w:hAnsi="宋体" w:eastAsia="宋体" w:cs="宋体"/>
          <w:sz w:val="24"/>
          <w:szCs w:val="24"/>
          <w:highlight w:val="none"/>
          <w:lang w:eastAsia="zh-CN"/>
        </w:rPr>
        <w:t>的免费上门服务</w:t>
      </w:r>
      <w:r>
        <w:rPr>
          <w:rFonts w:hint="eastAsia" w:ascii="宋体" w:hAnsi="宋体" w:eastAsia="宋体" w:cs="宋体"/>
          <w:b/>
          <w:bCs/>
          <w:sz w:val="24"/>
          <w:szCs w:val="24"/>
          <w:highlight w:val="none"/>
          <w:lang w:eastAsia="zh-CN"/>
        </w:rPr>
        <w:t>（相关标准大于</w:t>
      </w:r>
      <w:r>
        <w:rPr>
          <w:rFonts w:hint="eastAsia" w:ascii="宋体" w:hAnsi="宋体" w:eastAsia="宋体" w:cs="宋体"/>
          <w:b/>
          <w:bCs/>
          <w:sz w:val="24"/>
          <w:szCs w:val="24"/>
          <w:highlight w:val="none"/>
          <w:lang w:val="en-US" w:eastAsia="zh-CN"/>
        </w:rPr>
        <w:t>一年</w:t>
      </w:r>
      <w:r>
        <w:rPr>
          <w:rFonts w:hint="eastAsia" w:ascii="宋体" w:hAnsi="宋体" w:eastAsia="宋体" w:cs="宋体"/>
          <w:b/>
          <w:bCs/>
          <w:sz w:val="24"/>
          <w:szCs w:val="24"/>
          <w:highlight w:val="none"/>
          <w:lang w:eastAsia="zh-CN"/>
        </w:rPr>
        <w:t>的，则按相关标准执行）</w:t>
      </w:r>
      <w:r>
        <w:rPr>
          <w:rFonts w:hint="eastAsia" w:ascii="宋体" w:hAnsi="宋体" w:eastAsia="宋体" w:cs="宋体"/>
          <w:sz w:val="24"/>
          <w:szCs w:val="24"/>
          <w:highlight w:val="none"/>
          <w:lang w:eastAsia="zh-CN"/>
        </w:rPr>
        <w:t>，质量保证期自采购人（或其授权代表）在验收报告上签署“验收合格”之日起计算；质量保证期内免费维修、更换。对更换或修复的零部件从更换或修复之日起重新计算质量保证期。</w:t>
      </w:r>
    </w:p>
    <w:p w14:paraId="28FC60A5">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安装与验收</w:t>
      </w:r>
      <w:r>
        <w:rPr>
          <w:rFonts w:hint="eastAsia" w:ascii="宋体" w:hAnsi="宋体" w:eastAsia="宋体" w:cs="宋体"/>
          <w:b/>
          <w:bCs/>
          <w:sz w:val="24"/>
          <w:szCs w:val="24"/>
          <w:highlight w:val="none"/>
          <w:lang w:eastAsia="zh-CN"/>
        </w:rPr>
        <w:t>：</w:t>
      </w:r>
    </w:p>
    <w:p w14:paraId="1129F34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lang w:eastAsia="zh-CN"/>
        </w:rPr>
        <w:t>）验</w:t>
      </w:r>
      <w:r>
        <w:rPr>
          <w:rFonts w:hint="eastAsia" w:ascii="宋体" w:hAnsi="宋体" w:eastAsia="宋体" w:cs="宋体"/>
          <w:sz w:val="24"/>
          <w:szCs w:val="24"/>
          <w:highlight w:val="none"/>
          <w:lang w:eastAsia="zh-CN"/>
        </w:rPr>
        <w:t>收时，整体项目须正常运行并交付使用，中标供应商须为验收提供必须的一切条件及承担相关验收费用。合同签订后，中标供应商将仪器的实验室预安装条件发给采购人，对所需的实验室环境条件，结合采购人的实际情况进行指导并提出建议。接到采购人安装要求后，立即安排技术服务工程师和采购人一起开箱验货，核实与合同的内容及数量后，现场进行免费安装、调试检验。</w:t>
      </w:r>
    </w:p>
    <w:p w14:paraId="4A593E73">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货物安装后的验收：中标供应商将货物安装完毕后，对各项目进行标准样测试，结果应在允许范围内。中标供应商组织相关人员对设备进行验收测试时，采购人应参与。设备达到技术要求后，双方应在验收单上签认。采购人组织相关人员到现场根据验收标准对货物进行验收并与采购人有关部门办理交接手续。</w:t>
      </w:r>
    </w:p>
    <w:p w14:paraId="2E59955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6.售后服务：</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在质保期内，中标供应商必须提供免费服务及技术支持，如果设备发生故障，中标供应商要调查故障原因并免费修复直至满足性能的要求。</w:t>
      </w:r>
    </w:p>
    <w:p w14:paraId="36FE228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在质保期内，中标供应商提供更换或维护服务，由此发生的费用由中标供应商承担。中标供应商须有专门人员和队伍从事本次采购项目售后服务工作，提供 7×24 时售后服务热线且在接到采购人通知维修后随时服务响应。</w:t>
      </w:r>
    </w:p>
    <w:p w14:paraId="418419C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故障响应时间：若运用通讯工具不能解决故障问题，中标供应商必须确保技术人员在</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 xml:space="preserve">小时之内赶到现场，以实地解决问题或提供备用产品更换，一般故障免费维修与更换缺陷部件的期限为 </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小时，重大故障为</w:t>
      </w:r>
      <w:r>
        <w:rPr>
          <w:rFonts w:hint="eastAsia" w:ascii="宋体" w:hAnsi="宋体" w:eastAsia="宋体" w:cs="宋体"/>
          <w:sz w:val="24"/>
          <w:szCs w:val="24"/>
          <w:highlight w:val="none"/>
          <w:lang w:val="en-US" w:eastAsia="zh-CN"/>
        </w:rPr>
        <w:t>48</w:t>
      </w:r>
      <w:r>
        <w:rPr>
          <w:rFonts w:hint="eastAsia" w:ascii="宋体" w:hAnsi="宋体" w:eastAsia="宋体" w:cs="宋体"/>
          <w:sz w:val="24"/>
          <w:szCs w:val="24"/>
          <w:highlight w:val="none"/>
          <w:lang w:eastAsia="zh-CN"/>
        </w:rPr>
        <w:t>小时。</w:t>
      </w:r>
    </w:p>
    <w:p w14:paraId="01CE06A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eastAsia="zh-CN"/>
        </w:rPr>
        <w:t>）质保期满后供方对设备提供终身维修服务进行定期维护和修理，更换零部件时只收取配件的成本费用，服务、备品备件价格不得高于本次项目中对应产品的中标价格</w:t>
      </w:r>
      <w:r>
        <w:rPr>
          <w:rFonts w:hint="eastAsia" w:ascii="宋体" w:hAnsi="宋体" w:eastAsia="宋体" w:cs="宋体"/>
          <w:b w:val="0"/>
          <w:bCs w:val="0"/>
          <w:color w:val="auto"/>
          <w:sz w:val="24"/>
          <w:szCs w:val="24"/>
          <w:highlight w:val="none"/>
          <w:lang w:eastAsia="zh-CN"/>
        </w:rPr>
        <w:t>。每年免费提供两次对该设备进行全面的维护保养及技术培训。</w:t>
      </w:r>
    </w:p>
    <w:p w14:paraId="4AD6692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7.</w:t>
      </w:r>
      <w:r>
        <w:rPr>
          <w:rFonts w:hint="eastAsia" w:ascii="宋体" w:hAnsi="宋体" w:eastAsia="宋体" w:cs="宋体"/>
          <w:b/>
          <w:bCs/>
          <w:sz w:val="24"/>
          <w:szCs w:val="24"/>
          <w:highlight w:val="none"/>
        </w:rPr>
        <w:t>培训要求</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lang w:eastAsia="zh-CN"/>
        </w:rPr>
        <w:t>中标供应商免费提供不少于 2 名技术人员的现场技术培训，内容须包括标的工作原理、数据处理、使用方法、日常维护、一般常见故障的排除措施等，培训时需提供完整的中文培训资料，包括使用说明书、工作原理图、数据处理、电气连接图、操作流程、注意事项、安装调试方法和维修说明等材料，其所产生的所有费用由中标供应商承担。</w:t>
      </w:r>
    </w:p>
    <w:p w14:paraId="5CB91A8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8.</w:t>
      </w:r>
      <w:r>
        <w:rPr>
          <w:rFonts w:hint="eastAsia" w:ascii="宋体" w:hAnsi="宋体" w:eastAsia="宋体" w:cs="宋体"/>
          <w:b/>
          <w:bCs/>
          <w:sz w:val="24"/>
          <w:szCs w:val="24"/>
          <w:highlight w:val="none"/>
        </w:rPr>
        <w:t>知识产权</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lang w:eastAsia="zh-CN"/>
        </w:rPr>
        <w:t>中标供应商应保证采购人在使用设备或设备的任何部分时不受任何关于侵犯所有权和工业产权、著作权（版权）等知识产权的指控。如果任何第三方提出侵权指控，中标供应商承担一切与之有关的责任。</w:t>
      </w:r>
    </w:p>
    <w:p w14:paraId="57DDFB21">
      <w:pPr>
        <w:keepNext w:val="0"/>
        <w:keepLines w:val="0"/>
        <w:pageBreakBefore w:val="0"/>
        <w:numPr>
          <w:ilvl w:val="0"/>
          <w:numId w:val="0"/>
        </w:numPr>
        <w:wordWrap/>
        <w:overflowPunct/>
        <w:topLinePunct w:val="0"/>
        <w:autoSpaceDE w:val="0"/>
        <w:autoSpaceDN w:val="0"/>
        <w:bidi w:val="0"/>
        <w:adjustRightInd w:val="0"/>
        <w:snapToGrid w:val="0"/>
        <w:spacing w:line="400" w:lineRule="exact"/>
        <w:ind w:right="0" w:rightChars="0" w:firstLine="0" w:firstLineChars="0"/>
        <w:jc w:val="left"/>
        <w:textAlignment w:val="baseline"/>
        <w:rPr>
          <w:rFonts w:hint="eastAsia" w:ascii="宋体" w:hAnsi="宋体" w:eastAsia="宋体" w:cs="宋体"/>
          <w:kern w:val="2"/>
          <w:sz w:val="24"/>
          <w:szCs w:val="24"/>
          <w:highlight w:val="none"/>
        </w:rPr>
      </w:pPr>
      <w:r>
        <w:rPr>
          <w:rFonts w:hint="eastAsia" w:ascii="宋体" w:hAnsi="宋体" w:eastAsia="宋体" w:cs="宋体"/>
          <w:b/>
          <w:bCs/>
          <w:spacing w:val="-12"/>
          <w:sz w:val="24"/>
          <w:szCs w:val="24"/>
          <w:highlight w:val="none"/>
          <w:lang w:val="en-US" w:eastAsia="zh-CN"/>
        </w:rPr>
        <w:t>9.投标报价：</w:t>
      </w:r>
      <w:r>
        <w:rPr>
          <w:rFonts w:hint="eastAsia" w:ascii="宋体" w:hAnsi="宋体" w:eastAsia="宋体" w:cs="宋体"/>
          <w:b w:val="0"/>
          <w:bCs w:val="0"/>
          <w:spacing w:val="-12"/>
          <w:sz w:val="24"/>
          <w:szCs w:val="24"/>
          <w:highlight w:val="none"/>
          <w:lang w:val="en-US" w:eastAsia="zh-CN"/>
        </w:rPr>
        <w:t>（1）投标报价</w:t>
      </w:r>
      <w:r>
        <w:rPr>
          <w:rFonts w:hint="eastAsia" w:ascii="宋体" w:hAnsi="宋体" w:eastAsia="宋体" w:cs="宋体"/>
          <w:b w:val="0"/>
          <w:bCs w:val="0"/>
          <w:snapToGrid w:val="0"/>
          <w:color w:val="000000"/>
          <w:kern w:val="0"/>
          <w:sz w:val="24"/>
          <w:highlight w:val="none"/>
        </w:rPr>
        <w:t>包括成本费</w:t>
      </w:r>
      <w:r>
        <w:rPr>
          <w:rFonts w:hint="eastAsia" w:ascii="宋体" w:hAnsi="宋体" w:eastAsia="宋体" w:cs="宋体"/>
          <w:snapToGrid w:val="0"/>
          <w:color w:val="000000"/>
          <w:kern w:val="0"/>
          <w:sz w:val="24"/>
          <w:highlight w:val="none"/>
        </w:rPr>
        <w:t>用、运杂费、安装调试费、售后服务费、验收费、利税以及合同实施过程中的应预见或不可预见等一切</w:t>
      </w:r>
      <w:bookmarkStart w:id="5" w:name="_GoBack"/>
      <w:bookmarkEnd w:id="5"/>
      <w:r>
        <w:rPr>
          <w:rFonts w:hint="eastAsia" w:ascii="宋体" w:hAnsi="宋体" w:eastAsia="宋体" w:cs="宋体"/>
          <w:snapToGrid w:val="0"/>
          <w:color w:val="000000"/>
          <w:kern w:val="0"/>
          <w:sz w:val="24"/>
          <w:highlight w:val="none"/>
        </w:rPr>
        <w:t>可能发生的费用</w:t>
      </w:r>
      <w:r>
        <w:rPr>
          <w:rFonts w:hint="eastAsia" w:ascii="宋体" w:hAnsi="宋体" w:eastAsia="宋体" w:cs="宋体"/>
          <w:kern w:val="2"/>
          <w:sz w:val="24"/>
          <w:szCs w:val="24"/>
          <w:highlight w:val="none"/>
        </w:rPr>
        <w:t>。</w:t>
      </w:r>
    </w:p>
    <w:p w14:paraId="2F7C27F0">
      <w:pPr>
        <w:keepNext w:val="0"/>
        <w:keepLines w:val="0"/>
        <w:pageBreakBefore w:val="0"/>
        <w:widowControl/>
        <w:shd w:val="clear" w:color="auto" w:fill="auto"/>
        <w:kinsoku w:val="0"/>
        <w:wordWrap/>
        <w:overflowPunct/>
        <w:topLinePunct w:val="0"/>
        <w:autoSpaceDE w:val="0"/>
        <w:autoSpaceDN w:val="0"/>
        <w:bidi w:val="0"/>
        <w:adjustRightInd w:val="0"/>
        <w:snapToGrid w:val="0"/>
        <w:spacing w:line="400" w:lineRule="exact"/>
        <w:ind w:right="0" w:rightChars="0" w:firstLine="0" w:firstLineChars="0"/>
        <w:textAlignment w:val="baseline"/>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10.采购人不组织踏勘现场：</w:t>
      </w:r>
      <w:r>
        <w:rPr>
          <w:rFonts w:hint="eastAsia" w:ascii="宋体" w:hAnsi="宋体" w:eastAsia="宋体" w:cs="宋体"/>
          <w:color w:val="000000"/>
          <w:kern w:val="0"/>
          <w:sz w:val="24"/>
          <w:szCs w:val="24"/>
          <w:highlight w:val="none"/>
          <w:lang w:val="en-US" w:eastAsia="zh-CN" w:bidi="ar"/>
        </w:rPr>
        <w:t xml:space="preserve">供应商应自行安排时间进行实地考察。供应商踏勘现场的费用自理，为投标报价取得依据。一旦成交，不得以不了解现场情况为理由而提出额外费用，采购单位将不予考虑。在现场考察过程中，供应商如果发生人身伤亡、财务或其它损失，不论何种原因造成，均由供应商自负。 </w:t>
      </w:r>
    </w:p>
    <w:p w14:paraId="5894F392">
      <w:pPr>
        <w:keepNext w:val="0"/>
        <w:keepLines w:val="0"/>
        <w:pageBreakBefore w:val="0"/>
        <w:widowControl w:val="0"/>
        <w:kinsoku/>
        <w:wordWrap/>
        <w:overflowPunct/>
        <w:topLinePunct w:val="0"/>
        <w:autoSpaceDE w:val="0"/>
        <w:autoSpaceDN w:val="0"/>
        <w:bidi w:val="0"/>
        <w:adjustRightInd w:val="0"/>
        <w:snapToGrid w:val="0"/>
        <w:spacing w:line="400" w:lineRule="exact"/>
        <w:ind w:right="0" w:rightChars="0" w:firstLine="0" w:firstLineChars="0"/>
        <w:textAlignment w:val="baseline"/>
        <w:rPr>
          <w:rFonts w:hint="eastAsia" w:ascii="宋体" w:hAnsi="宋体" w:eastAsia="宋体" w:cs="宋体"/>
          <w:color w:val="auto"/>
          <w:highlight w:val="none"/>
          <w:lang w:eastAsia="zh-CN"/>
        </w:rPr>
      </w:pPr>
      <w:r>
        <w:rPr>
          <w:rFonts w:hint="eastAsia" w:ascii="宋体" w:hAnsi="宋体" w:eastAsia="宋体" w:cs="宋体"/>
          <w:b/>
          <w:bCs/>
          <w:color w:val="000000"/>
          <w:kern w:val="0"/>
          <w:sz w:val="24"/>
          <w:szCs w:val="24"/>
          <w:highlight w:val="none"/>
          <w:lang w:val="en-US" w:eastAsia="zh-CN" w:bidi="ar"/>
        </w:rPr>
        <w:t>11、</w:t>
      </w:r>
      <w:r>
        <w:rPr>
          <w:rFonts w:hint="eastAsia" w:ascii="宋体" w:hAnsi="宋体" w:eastAsia="宋体" w:cs="宋体"/>
          <w:color w:val="000000"/>
          <w:kern w:val="0"/>
          <w:sz w:val="24"/>
          <w:szCs w:val="24"/>
          <w:highlight w:val="none"/>
          <w:lang w:val="en-US" w:eastAsia="zh-CN" w:bidi="ar"/>
        </w:rPr>
        <w:t>其它未尽事宜，请与采购人联系。</w:t>
      </w:r>
    </w:p>
    <w:p w14:paraId="2E29AC6D">
      <w:pPr>
        <w:jc w:val="both"/>
        <w:rPr>
          <w:rFonts w:hint="default" w:ascii="宋体" w:hAnsi="宋体" w:eastAsia="宋体" w:cs="宋体"/>
          <w:b/>
          <w:bCs w:val="0"/>
          <w:sz w:val="30"/>
          <w:szCs w:val="3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1AC70">
    <w:pPr>
      <w:pStyle w:val="2"/>
      <w:rPr>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54C52">
                          <w:pPr>
                            <w:pStyle w:val="2"/>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68F54C52">
                    <w:pPr>
                      <w:pStyle w:val="2"/>
                    </w:pPr>
                    <w:r>
                      <w:fldChar w:fldCharType="begin"/>
                    </w:r>
                    <w:r>
                      <w:instrText xml:space="preserve"> PAGE  \* MERGEFORMAT </w:instrText>
                    </w:r>
                    <w:r>
                      <w:fldChar w:fldCharType="separate"/>
                    </w:r>
                    <w:r>
                      <w:t>59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9A416"/>
    <w:multiLevelType w:val="singleLevel"/>
    <w:tmpl w:val="96B9A416"/>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700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2026-06-26T10:41:09Z</dcterms:created>
  <dc:creator>Administrator</dc:creator>
  <cp:lastModifiedBy>Administrator</cp:lastModifiedBy>
  <dcterms:modified xsi:type="dcterms:W3CDTF">2026-06-26T10:42:10Z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KSOTemplateDocerSaveRecord">
    <vt:lpwstr>eyJoZGlkIjoiYzEyMWFlYmU3ODIwNWVhMTZlYjkxYzQxYWI2YjUxODIiLCJ1c2VySWQiOiIyODQyMTAyNDEifQ==</vt:lpwstr>
  </property>
  <property fmtid="{D5CDD505-2E9C-101B-9397-08002B2CF9AE}" pid="4" name="ICV">
    <vt:lpwstr>B8BABEADEDC64E8780DF714217AF69AB_12</vt:lpwstr>
  </property>
</Properties>
</file>