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A12E70">
      <w:pPr>
        <w:pStyle w:val="3"/>
        <w:spacing w:line="440" w:lineRule="exact"/>
        <w:jc w:val="center"/>
        <w:rPr>
          <w:rFonts w:hint="eastAsia" w:ascii="宋体" w:hAnsi="宋体"/>
          <w:color w:val="auto"/>
          <w:kern w:val="0"/>
          <w:sz w:val="36"/>
          <w:szCs w:val="36"/>
        </w:rPr>
      </w:pPr>
      <w:bookmarkStart w:id="0" w:name="_Toc14911"/>
      <w:bookmarkStart w:id="1" w:name="_Toc16445"/>
      <w:r>
        <w:rPr>
          <w:rFonts w:hint="eastAsia" w:ascii="宋体" w:hAnsi="宋体"/>
          <w:color w:val="auto"/>
          <w:kern w:val="0"/>
          <w:sz w:val="36"/>
          <w:szCs w:val="36"/>
        </w:rPr>
        <w:t>三、采购项目需求</w:t>
      </w:r>
      <w:bookmarkEnd w:id="0"/>
      <w:bookmarkEnd w:id="1"/>
    </w:p>
    <w:p w14:paraId="274FEAF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2" w:firstLineChars="200"/>
        <w:textAlignment w:val="auto"/>
        <w:rPr>
          <w:rFonts w:hint="eastAsia" w:ascii="宋体" w:hAnsi="宋体" w:eastAsia="宋体" w:cs="宋体"/>
          <w:b/>
          <w:bCs/>
          <w:color w:val="auto"/>
          <w:sz w:val="27"/>
          <w:szCs w:val="27"/>
          <w:lang w:val="en-US" w:eastAsia="zh-CN"/>
        </w:rPr>
      </w:pPr>
      <w:r>
        <w:rPr>
          <w:rFonts w:hint="eastAsia" w:ascii="宋体" w:hAnsi="宋体" w:eastAsia="宋体" w:cs="宋体"/>
          <w:b/>
          <w:bCs/>
          <w:color w:val="auto"/>
          <w:sz w:val="27"/>
          <w:szCs w:val="27"/>
          <w:lang w:val="en-US" w:eastAsia="zh-CN"/>
        </w:rPr>
        <w:t>一、总体目标</w:t>
      </w:r>
    </w:p>
    <w:p w14:paraId="55F677B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深入贯彻省委、省政府关于促进文旅消费、推动文旅产业高质量发展的系列部署，进一步激活全省文旅资源潜力，以新场景、新业态、新产品、新科技、新应用为核心抓手，打造沉浸式、潮流化、智慧化的文旅消费盛宴，激发文旅消费潜能，实现“引客入赣”，塑造文旅市场“江西口碑”，全力推动文化和旅游深度融合高质量发展。</w:t>
      </w:r>
    </w:p>
    <w:p w14:paraId="66AB795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2" w:firstLineChars="200"/>
        <w:textAlignment w:val="auto"/>
        <w:rPr>
          <w:rFonts w:hint="eastAsia" w:ascii="宋体" w:hAnsi="宋体" w:eastAsia="宋体" w:cs="宋体"/>
          <w:b/>
          <w:bCs/>
          <w:color w:val="auto"/>
          <w:sz w:val="27"/>
          <w:szCs w:val="27"/>
          <w:lang w:val="en-US" w:eastAsia="zh-CN"/>
        </w:rPr>
      </w:pPr>
      <w:r>
        <w:rPr>
          <w:rFonts w:hint="eastAsia" w:ascii="宋体" w:hAnsi="宋体" w:eastAsia="宋体" w:cs="宋体"/>
          <w:b/>
          <w:bCs/>
          <w:color w:val="auto"/>
          <w:sz w:val="27"/>
          <w:szCs w:val="27"/>
          <w:lang w:val="en-US" w:eastAsia="zh-CN"/>
        </w:rPr>
        <w:t>二、总体思路</w:t>
      </w:r>
    </w:p>
    <w:p w14:paraId="7BAEE3A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以“文旅商农体”深度融合为引擎，创新采用“1+1+N”的全域联动模式，即：一场启动仪式、一个场景展示（江西省文旅消费大集）、N个配套子活动。通过“点上引爆、线上延伸、面上联动”的策略，构建全省文旅消费焕新的立体化活动体系，突出首发首秀、科技赋能、跨界融合、惠民利民四大亮点。</w:t>
      </w:r>
    </w:p>
    <w:p w14:paraId="79EB871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2" w:firstLineChars="200"/>
        <w:textAlignment w:val="auto"/>
        <w:rPr>
          <w:rFonts w:hint="eastAsia" w:ascii="宋体" w:hAnsi="宋体" w:eastAsia="宋体" w:cs="宋体"/>
          <w:b/>
          <w:bCs/>
          <w:color w:val="auto"/>
          <w:sz w:val="27"/>
          <w:szCs w:val="27"/>
          <w:lang w:val="en" w:eastAsia="zh-CN"/>
        </w:rPr>
      </w:pPr>
      <w:r>
        <w:rPr>
          <w:rFonts w:hint="eastAsia" w:ascii="宋体" w:hAnsi="宋体" w:eastAsia="宋体" w:cs="宋体"/>
          <w:b/>
          <w:bCs/>
          <w:color w:val="auto"/>
          <w:sz w:val="27"/>
          <w:szCs w:val="27"/>
          <w:lang w:val="en" w:eastAsia="zh-CN"/>
        </w:rPr>
        <w:t>三、活动时间及地点</w:t>
      </w:r>
    </w:p>
    <w:p w14:paraId="5ACAB41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2026年7月中旬在赣州市章贡区举办。</w:t>
      </w:r>
    </w:p>
    <w:p w14:paraId="1C8E117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2" w:firstLineChars="200"/>
        <w:textAlignment w:val="auto"/>
        <w:rPr>
          <w:rFonts w:hint="eastAsia" w:ascii="宋体" w:hAnsi="宋体" w:eastAsia="宋体" w:cs="宋体"/>
          <w:b/>
          <w:bCs/>
          <w:color w:val="auto"/>
          <w:sz w:val="27"/>
          <w:szCs w:val="27"/>
          <w:lang w:val="en-US" w:eastAsia="zh-CN"/>
        </w:rPr>
      </w:pPr>
      <w:r>
        <w:rPr>
          <w:rFonts w:hint="eastAsia" w:ascii="宋体" w:hAnsi="宋体" w:eastAsia="宋体" w:cs="宋体"/>
          <w:b/>
          <w:bCs/>
          <w:color w:val="auto"/>
          <w:sz w:val="27"/>
          <w:szCs w:val="27"/>
          <w:lang w:val="en-US" w:eastAsia="zh-CN"/>
        </w:rPr>
        <w:t>四、技术要求</w:t>
      </w:r>
    </w:p>
    <w:p w14:paraId="31B7025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（一）项目概况</w:t>
      </w:r>
    </w:p>
    <w:p w14:paraId="4AA9910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（1）邀请嘉宾：省、市领导及相关部门负责人；省内外重点文旅企业及机构代表；重点景区负责人；旅行商代表；文旅投资企业负责人；金融机构代表；新闻媒体等（约150人）。</w:t>
      </w:r>
    </w:p>
    <w:p w14:paraId="3B9D24F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（2）活动内容及时间安排</w:t>
      </w:r>
    </w:p>
    <w:p w14:paraId="5D8CE91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①2026江西省文旅消费焕新季启动仪式。时间：活动第一天晚上。内容：在江南宋城军门楼广场，需搭建舞台不小于24m×8m，并铺设地垫，配置主副屏，中间主屏不低于18m×4m，配置开屏功能；舞台需设置特色造型。配套专业灯光音响系统及专属启动道具装置。嘉宾坐席不少于200位。需负责安排具有地方文化特色和科技元素的特色节目表演不少于2个，安排专业主持人、礼仪等。</w:t>
      </w:r>
    </w:p>
    <w:p w14:paraId="2740DCB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②江西省文旅消费大集。时间：活动第一天至第三天，持续时间3天。内容：需在江南宋城军门楼广场及街区设置消费大集，统一汇集江西省各设区市文旅产品、文创及旅游商品，“文旅+”融合新业态产品，智慧旅游产品，动漫文创，非遗创意等。其中，11个设区市标准集市不少于4m×4m/个；智慧旅游专题集市不少于1个，规格不少于8m×8m，需配置元宇宙、数字博物馆、AR、VR等不少于6类设备，并设置互动体验；宠物集市不少于1个，户外用品特色集市不少于1个，特色文创集市不少于12个，旅游（线路）产品集市不少于4个，农特产品集市不少于6个，需统一设计配备集市摊位，负责摊位搭建、基础电力等。需合理编排集市动线，负责除11个地市集市外其它集市的企业、产品招引入驻。</w:t>
      </w:r>
    </w:p>
    <w:p w14:paraId="6BC2B25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③夜间文旅场景展示。时间：第一天晚上。内容：结合赣州特色美食、文化元素和文旅新业态等，打造2条核心夜间展示街区，设置音乐角、民谣弹唱角、露天K歌、小提琴演奏等演出演艺、互动体验点位不少于10个，布设特色夜市摊位不少于40个，休息体验区不少于2处。配置国风巡游队伍1支，人数不少于12人，机器人主题巡游队伍1支，不少于6台。</w:t>
      </w:r>
    </w:p>
    <w:p w14:paraId="790E2BA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 xml:space="preserve">④活动现场氛围布置。外场需设置入场拱门1座，高度不小于12米，主题背景墙不少于1处，规格不低于6m×3m，现场注水道旗不少于30座。 </w:t>
      </w:r>
    </w:p>
    <w:p w14:paraId="07288B7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⑤举办旅行商对接会。时间：第二天上午。内容：选用可容纳200人以上的室内场地，配置专业舞台及大屏、影音设备；需设置签到背景不低于5m×3m，注水道旗不少于20座，布置洽谈专区。需在场外设置红色旅游、研学旅游等产品展示区不少于4处；安排专业主持人及礼仪。成交人需负责邀请省外旅行商不少于60人，并设计推介产品。</w:t>
      </w:r>
    </w:p>
    <w:p w14:paraId="40ED804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⑥国风嘉年华活动。时间：第二天全天。内容：以国产动漫、国风妆造、国潮IP为核心，打造国风嘉年华。需在活动现场安排国漫、古风角色迎宾互动，不少于10人的快闪表演和主题COS走秀，不少于20人的随机舞蹈开放展演和现场巡游；负责开展知识问答、抽奖等舞台互动。</w:t>
      </w:r>
    </w:p>
    <w:p w14:paraId="42B6739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⑦开展票根优惠活动。自活动开始持续时间不少于1个月。需搭建专属票根活动平台，支持多类票根核验抽奖，奖品价值不少于30万元；在消费季活动期间，面向市民、游客设置凭旅游景区门票、消费大集消费小票、电影票等消费票根参与抽奖活动，活动期内开展不少于3轮现场抽奖，实现文旅、商贸等多业态票根互认互兑。</w:t>
      </w:r>
    </w:p>
    <w:p w14:paraId="7B3C3DD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（二）活动宣传</w:t>
      </w:r>
    </w:p>
    <w:p w14:paraId="1B7B02B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围绕活动主题，线上通过官方媒体、主流媒体、新媒体等平台，线下通过城市道旗、物料布设等进行系统化、全媒体、多触点的宣传推广。强化江西“新潮、智慧、好玩”的文旅新形象，提升江西文旅在全国的辨识度与美誉度。需线下布设主题道旗不少于36座（开幕式现场+会议酒店）。活动需安排摄影、摄像团队全程服务，实时开展图片直播。需设计发布倒计时海报不少于3天，剪辑发布活动快剪短视频不少于9条，且每条时长30秒—90秒。需现场邀请省市主流媒体不少于8家进行多平台报道。邀请粉丝数量不少于50万的抖音大V不少于3人，粉丝数量不少于5万的抖音本地博主不少于5人参与活动并发布攻略。</w:t>
      </w:r>
    </w:p>
    <w:p w14:paraId="5F8BA2D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（三）服务内容</w:t>
      </w:r>
    </w:p>
    <w:p w14:paraId="7CD52F7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①负责活动的整体策划和执行工作，包括但不限于配合采购人策划活动方案、做好活动现场布置、活动全流程组织、集市布设、物料设计制作、票根活动平台搭建及实施等工作。</w:t>
      </w:r>
    </w:p>
    <w:p w14:paraId="4B4BECF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②舞台搭建、舞美设计、歌舞表演、智慧文旅设备等所有设备及搭建物符合国家相关安全标准。</w:t>
      </w:r>
    </w:p>
    <w:p w14:paraId="2584E4F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③负责活动所有主视觉、展陈展示、推介产品等设计。</w:t>
      </w:r>
    </w:p>
    <w:p w14:paraId="56667D0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④负责邀请文旅企业、旅行商、金融机构代表、新闻媒体等嘉宾。</w:t>
      </w:r>
    </w:p>
    <w:p w14:paraId="645E500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⑤负责活动期间参加活动的嘉宾食宿接待、交通安排等，按200人规模保障接待标准，配置接待车辆不少于7辆，其中7座商务接待车2台，19座中型客运中巴车1台，大型大巴客车4台。用于接送站和活动人员转运交通。所有车辆车况完好、年检有效、购置足额保险，配备持证专职驾驶员，统一车身标识/指引牌，提前消杀、清洁。</w:t>
      </w:r>
    </w:p>
    <w:p w14:paraId="689308D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⑥负责活动前后的宣传工作，包括线上线下宣传推广。</w:t>
      </w:r>
    </w:p>
    <w:p w14:paraId="215F5DF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⑦负责活动期间安保应急、医疗保障及后勤统筹保障。（成交人在合同履行前需外聘专业安保外包公司承担本次活动安保应急、医疗保障及现场后勤统筹保障工作；活动现场配备持证安保人员不少于20名，所有安保人员须持证上岗；现场设置医疗保障点位1处，同步落实各类突发状况应急处置、全场后勤统筹相关工作</w:t>
      </w:r>
      <w:r>
        <w:rPr>
          <w:rFonts w:hint="eastAsia" w:ascii="宋体" w:hAnsi="宋体" w:eastAsia="宋体" w:cs="宋体"/>
          <w:b/>
          <w:bCs/>
          <w:color w:val="auto"/>
          <w:sz w:val="27"/>
          <w:szCs w:val="27"/>
          <w:lang w:val="en-US" w:eastAsia="zh-CN"/>
        </w:rPr>
        <w:t>（响应文件中提供承诺书，格式自拟，未提供或提供的不符合要求的视为无效响应）</w:t>
      </w:r>
      <w:r>
        <w:rPr>
          <w:rFonts w:hint="eastAsia" w:ascii="宋体" w:hAnsi="宋体" w:eastAsia="宋体" w:cs="宋体"/>
          <w:color w:val="auto"/>
          <w:sz w:val="27"/>
          <w:szCs w:val="27"/>
          <w:lang w:val="en-US" w:eastAsia="zh-CN"/>
        </w:rPr>
        <w:t>。</w:t>
      </w:r>
    </w:p>
    <w:p w14:paraId="7A9A7B0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⑧所有方案须经采购人确认后方可实施。</w:t>
      </w:r>
    </w:p>
    <w:p w14:paraId="77D9C12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⑨本项目采用包干制，响应人报价应包含完成全部服务内容所需的一切费用。采购人无需承担合同费用之外的其他任何费用，成交人因本项目支付费用超出服务费用部分，由成交人自行承担。</w:t>
      </w:r>
    </w:p>
    <w:p w14:paraId="74BDB25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⑩在活动结束后，成交人应安全有序对设施、设备进行拆卸，确保人员安全，撤场后对完成设施设备拆卸及场地清理，确保场地恢复原状，经采购人确认后成交人方可完全离场；若逾期撤场或清理不合格，每逾期一日按合同总金额的万分之五向采购人支付违约金，采购人有权委托第三方清理，费用由成交人承担。</w:t>
      </w:r>
    </w:p>
    <w:p w14:paraId="03A1537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（四）服务团队</w:t>
      </w:r>
    </w:p>
    <w:p w14:paraId="4C8D645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color w:val="auto"/>
          <w:sz w:val="27"/>
          <w:szCs w:val="27"/>
          <w:lang w:val="en-US" w:eastAsia="zh-CN"/>
        </w:rPr>
        <w:t>响应人须具有专业的服务团队，拟投入本项目提供服务总人数不少于15人（不含外聘人员），包括但不限于项目负责人、主持人、策划人员、执行人员、场控、导播、设计人员、后勤接待人员等，保障活动全流程专业运转。成交后采购人有权查核成交人投入本项目的服务人员的劳动关系。</w:t>
      </w:r>
    </w:p>
    <w:p w14:paraId="3A0B46C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2" w:firstLineChars="200"/>
        <w:textAlignment w:val="auto"/>
        <w:rPr>
          <w:rFonts w:hint="eastAsia" w:ascii="宋体" w:hAnsi="宋体" w:eastAsia="宋体" w:cs="宋体"/>
          <w:b/>
          <w:bCs/>
          <w:color w:val="auto"/>
          <w:sz w:val="27"/>
          <w:szCs w:val="27"/>
          <w:lang w:val="en-US" w:eastAsia="zh-CN"/>
        </w:rPr>
      </w:pPr>
      <w:r>
        <w:rPr>
          <w:rFonts w:hint="eastAsia" w:ascii="宋体" w:hAnsi="宋体" w:eastAsia="宋体" w:cs="宋体"/>
          <w:b/>
          <w:bCs/>
          <w:color w:val="auto"/>
          <w:sz w:val="27"/>
          <w:szCs w:val="27"/>
          <w:lang w:val="en-US" w:eastAsia="zh-CN"/>
        </w:rPr>
        <w:t>五、商务要求</w:t>
      </w:r>
    </w:p>
    <w:p w14:paraId="19AA570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1.履行时间（期限）、地点和方式：</w:t>
      </w:r>
    </w:p>
    <w:p w14:paraId="268ECEB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（1）履行时间（期限）：自收到采购人通知之日起至本项目活动结束。</w:t>
      </w:r>
    </w:p>
    <w:p w14:paraId="0A5A08A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（2）履行地点：采购人指定地点。</w:t>
      </w:r>
    </w:p>
    <w:p w14:paraId="14870FC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（3）履行方式：采购人为成交人完成工作提供必要的条件外，其余工作由成交人自行完成。</w:t>
      </w:r>
    </w:p>
    <w:p w14:paraId="47E13C1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（4）交付方式：按采购人确认的方案和进度要求完成服务交付。</w:t>
      </w:r>
    </w:p>
    <w:p w14:paraId="6F5EF9E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2.付款方式（进度和方式）</w:t>
      </w:r>
    </w:p>
    <w:p w14:paraId="3C7C476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lang w:val="en-US" w:eastAsia="zh-CN"/>
        </w:rPr>
        <w:t>（1）签合同后，预先拨付成交金额的30%作为启动资金，若成交人不存在任意违约情形，服务完成合格后，一次性支付成交金额的70%，不计利息（食宿接待按实际参加人数据实结算，收到税务发票之日起30天内支付）。付款，成交人应向采购人出具与当期支付金额一致的，符合法律规定和合同约定的专用/普通发票，作为付款凭证，否则采购人有权迟延付款且无需承担任何责任；若因票据本身原因造成采购人审计、税务稽查风险等，所造成的损失由成交人承担。</w:t>
      </w:r>
    </w:p>
    <w:p w14:paraId="0D27307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lang w:val="en-US" w:eastAsia="zh-CN"/>
        </w:rPr>
        <w:t>（2）资金支付方式：按照合同中的账户信息，采用公对公转账的方式支付。</w:t>
      </w:r>
    </w:p>
    <w:p w14:paraId="2A8DCC8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3.交付标准和方法：符合国家、江西省、赣州市现行有效的有关标准和规范要求</w:t>
      </w:r>
      <w:r>
        <w:rPr>
          <w:rFonts w:hint="eastAsia" w:ascii="宋体" w:hAnsi="宋体" w:eastAsia="宋体" w:cs="宋体"/>
          <w:color w:val="auto"/>
          <w:sz w:val="27"/>
          <w:szCs w:val="27"/>
          <w:lang w:eastAsia="zh-CN"/>
        </w:rPr>
        <w:t>，</w:t>
      </w:r>
      <w:r>
        <w:rPr>
          <w:rFonts w:hint="eastAsia" w:ascii="宋体" w:hAnsi="宋体" w:eastAsia="宋体" w:cs="宋体"/>
          <w:color w:val="auto"/>
          <w:sz w:val="27"/>
          <w:szCs w:val="27"/>
          <w:lang w:val="en-US" w:eastAsia="zh-CN"/>
        </w:rPr>
        <w:t>前述不一致的，以较严格的或采购人指定的为准。成交人需根据磋商文件、响应文件及经采购人确认后的方案执行。</w:t>
      </w:r>
    </w:p>
    <w:p w14:paraId="4EF1156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4.安全责任保险：成交人应在本项目合同正式履行前，足额投保项目安全责任保险，保险最低保额不得少于500万元，投保产生的全部费用均由成交人承担。项目所有进场人员所产生的工伤、人身损害及各类安全事故赔偿责任均归属成交人。合同履行期限内，本项目所发生的一切安全事故、安全责任及由此引发的全部纠纷、赔偿、行政处罚等事宜，均由成交人全权处置并承担全部经济、法律责任，采购人不承担任何责任。</w:t>
      </w:r>
    </w:p>
    <w:p w14:paraId="1652130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投保事项包括但不限于以下内容：</w:t>
      </w:r>
    </w:p>
    <w:p w14:paraId="500C1E6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①现场作业人员、管理人员、临时务工人员、第三方访客等所有相关人员人身伤亡、伤残、医疗、误工、抚恤等全部赔偿费用；</w:t>
      </w:r>
    </w:p>
    <w:p w14:paraId="44F54E9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②项目施工、服务作业造成的第三方财产损毁、财物损失、停</w:t>
      </w:r>
      <w:bookmarkStart w:id="2" w:name="_GoBack"/>
      <w:bookmarkEnd w:id="2"/>
      <w:r>
        <w:rPr>
          <w:rFonts w:hint="eastAsia" w:ascii="宋体" w:hAnsi="宋体" w:eastAsia="宋体" w:cs="宋体"/>
          <w:color w:val="auto"/>
          <w:sz w:val="27"/>
          <w:szCs w:val="27"/>
        </w:rPr>
        <w:t>产停业损失等赔付支出；</w:t>
      </w:r>
    </w:p>
    <w:p w14:paraId="53B3A6D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③安全事故引发的行政处罚、罚款、整改处置、检测鉴定、应急救援等全部费用；</w:t>
      </w:r>
    </w:p>
    <w:p w14:paraId="556909F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④因安全事故产生的诉讼、仲裁、调解、律师、公证、鉴定等维权相关费用；</w:t>
      </w:r>
    </w:p>
    <w:p w14:paraId="67DB1F2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⑤因安全事故造成项目停工、延期、整改返工产生的全部损失；</w:t>
      </w:r>
    </w:p>
    <w:p w14:paraId="612F29B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0" w:firstLineChars="200"/>
        <w:textAlignment w:val="auto"/>
        <w:rPr>
          <w:rFonts w:hint="eastAsia" w:ascii="宋体" w:hAnsi="宋体" w:eastAsia="宋体" w:cs="宋体"/>
          <w:color w:val="auto"/>
          <w:sz w:val="27"/>
          <w:szCs w:val="27"/>
        </w:rPr>
      </w:pPr>
      <w:r>
        <w:rPr>
          <w:rFonts w:hint="eastAsia" w:ascii="宋体" w:hAnsi="宋体" w:eastAsia="宋体" w:cs="宋体"/>
          <w:color w:val="auto"/>
          <w:sz w:val="27"/>
          <w:szCs w:val="27"/>
        </w:rPr>
        <w:t>⑥各类安全隐患、违规操作、意外事件衍生的全部经济赔偿与法律责任。</w:t>
      </w:r>
    </w:p>
    <w:p w14:paraId="0E78801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2" w:firstLineChars="200"/>
        <w:textAlignment w:val="auto"/>
        <w:rPr>
          <w:rFonts w:hint="eastAsia" w:ascii="宋体" w:hAnsi="宋体" w:eastAsia="宋体" w:cs="宋体"/>
          <w:color w:val="auto"/>
          <w:sz w:val="27"/>
          <w:szCs w:val="27"/>
          <w:lang w:val="en-US" w:eastAsia="zh-CN"/>
        </w:rPr>
      </w:pPr>
      <w:r>
        <w:rPr>
          <w:rFonts w:hint="eastAsia" w:ascii="宋体" w:hAnsi="宋体" w:eastAsia="宋体" w:cs="宋体"/>
          <w:b/>
          <w:bCs/>
          <w:color w:val="auto"/>
          <w:sz w:val="27"/>
          <w:szCs w:val="27"/>
        </w:rPr>
        <w:t>响应文件中提供承诺书，格式自拟，未提供或提供的不符合要求的视为无效响应。</w:t>
      </w:r>
    </w:p>
    <w:p w14:paraId="0D047A2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2" w:firstLineChars="200"/>
        <w:textAlignment w:val="auto"/>
        <w:rPr>
          <w:rFonts w:hint="eastAsia" w:ascii="宋体" w:hAnsi="宋体" w:eastAsia="宋体" w:cs="宋体"/>
          <w:b/>
          <w:bCs/>
          <w:color w:val="auto"/>
          <w:sz w:val="27"/>
          <w:szCs w:val="27"/>
          <w:lang w:val="en-US" w:eastAsia="zh-CN"/>
        </w:rPr>
      </w:pPr>
      <w:r>
        <w:rPr>
          <w:rFonts w:hint="eastAsia" w:ascii="宋体" w:hAnsi="宋体" w:eastAsia="宋体" w:cs="宋体"/>
          <w:b/>
          <w:bCs/>
          <w:color w:val="auto"/>
          <w:sz w:val="27"/>
          <w:szCs w:val="27"/>
          <w:lang w:val="en-US" w:eastAsia="zh-CN"/>
        </w:rPr>
        <w:t>六、成交人应保证所提供服务不侵犯任何第三方知识产权，如因知识产权问题引发纠纷，除支付合同金额8%的违约金外，由成交人承担全部责任并赔偿采购人因此造成的损失。活动期间产生的全部宣传素材（包括视频、图片、文案等）的知识产权归采购人所有，成交人仅有权在本次活动宣传中使用，未经采购人书面同意，不得用于其他商业用途。</w:t>
      </w:r>
    </w:p>
    <w:p w14:paraId="4DEA527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2" w:firstLineChars="200"/>
        <w:textAlignment w:val="auto"/>
        <w:rPr>
          <w:rFonts w:hint="eastAsia" w:ascii="宋体" w:hAnsi="宋体" w:eastAsia="宋体" w:cs="宋体"/>
          <w:b/>
          <w:bCs/>
          <w:color w:val="auto"/>
          <w:sz w:val="27"/>
          <w:szCs w:val="27"/>
          <w:lang w:val="en-US" w:eastAsia="zh-CN"/>
        </w:rPr>
      </w:pPr>
      <w:r>
        <w:rPr>
          <w:rFonts w:hint="eastAsia" w:ascii="宋体" w:hAnsi="宋体" w:eastAsia="宋体" w:cs="宋体"/>
          <w:b/>
          <w:bCs/>
          <w:color w:val="auto"/>
          <w:sz w:val="27"/>
          <w:szCs w:val="27"/>
          <w:lang w:val="en-US" w:eastAsia="zh-CN"/>
        </w:rPr>
        <w:t>七、本磋商文件提出的是最低限度的要求，响应人的方案应达到或优于本磋商文件要求，且符合国家有关标准和规范要求，否则作无效响应处理。</w:t>
      </w:r>
    </w:p>
    <w:p w14:paraId="2E3EB42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542" w:firstLineChars="200"/>
        <w:textAlignment w:val="auto"/>
        <w:rPr>
          <w:rFonts w:hint="eastAsia" w:ascii="宋体" w:hAnsi="宋体" w:eastAsia="宋体" w:cs="宋体"/>
          <w:color w:val="auto"/>
          <w:sz w:val="27"/>
          <w:szCs w:val="27"/>
        </w:rPr>
        <w:sectPr>
          <w:headerReference r:id="rId3" w:type="default"/>
          <w:footerReference r:id="rId4" w:type="default"/>
          <w:pgSz w:w="11906" w:h="16839"/>
          <w:pgMar w:top="984" w:right="1080" w:bottom="1440" w:left="1080" w:header="680" w:footer="931" w:gutter="0"/>
          <w:pgBorders w:zOrder="back" w:offsetFrom="page">
            <w:top w:val="single" w:color="auto" w:sz="4" w:space="24"/>
            <w:left w:val="single" w:color="auto" w:sz="4" w:space="24"/>
            <w:bottom w:val="single" w:color="auto" w:sz="4" w:space="24"/>
            <w:right w:val="single" w:color="auto" w:sz="4" w:space="24"/>
          </w:pgBorders>
          <w:cols w:space="720" w:num="1"/>
        </w:sectPr>
      </w:pPr>
      <w:r>
        <w:rPr>
          <w:rFonts w:hint="eastAsia" w:ascii="宋体" w:hAnsi="宋体" w:eastAsia="宋体" w:cs="宋体"/>
          <w:b/>
          <w:bCs/>
          <w:color w:val="auto"/>
          <w:sz w:val="27"/>
          <w:szCs w:val="27"/>
          <w:lang w:val="en-US" w:eastAsia="zh-CN"/>
        </w:rPr>
        <w:t>八、成交人在实施合同过程中不能达到磋商文件服务要求和在响应文件中作出响应及承诺不能实施的，采购人将不予验收，责任及后果自负。并按提供虚假材料应标，报本级财政部门按《政府采购法》及相关法律、法规处理。</w:t>
      </w:r>
    </w:p>
    <w:p w14:paraId="538731F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EDFC7">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84D0A5C">
                          <w:pPr>
                            <w:pStyle w:val="4"/>
                          </w:pPr>
                          <w:r>
                            <w:fldChar w:fldCharType="begin"/>
                          </w:r>
                          <w:r>
                            <w:instrText xml:space="preserve"> PAGE  \* MERGEFORMAT </w:instrText>
                          </w:r>
                          <w:r>
                            <w:fldChar w:fldCharType="separate"/>
                          </w:r>
                          <w:r>
                            <w:t>27</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path/>
              <v:fill on="f" focussize="0,0"/>
              <v:stroke on="f"/>
              <v:imagedata o:title=""/>
              <o:lock v:ext="edit" grouping="f" rotation="f" text="f" aspectratio="f"/>
              <v:textbox inset="0mm,0mm,0mm,0mm" style="mso-fit-shape-to-text:t;">
                <w:txbxContent>
                  <w:p w14:paraId="084D0A5C">
                    <w:pPr>
                      <w:pStyle w:val="4"/>
                    </w:pPr>
                    <w:r>
                      <w:fldChar w:fldCharType="begin"/>
                    </w:r>
                    <w:r>
                      <w:instrText xml:space="preserve"> PAGE  \* MERGEFORMAT </w:instrText>
                    </w:r>
                    <w:r>
                      <w:fldChar w:fldCharType="separate"/>
                    </w:r>
                    <w:r>
                      <w:t>27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EE21E0">
    <w:pPr>
      <w:pStyle w:val="5"/>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25F50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beforeLines="0" w:after="330" w:afterLines="0" w:line="578" w:lineRule="auto"/>
      <w:outlineLvl w:val="0"/>
    </w:pPr>
    <w:rPr>
      <w:b/>
      <w:bCs/>
      <w:kern w:val="44"/>
      <w:sz w:val="44"/>
      <w:szCs w:val="44"/>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First Indent 2"/>
    <w:basedOn w:val="1"/>
    <w:qFormat/>
    <w:uiPriority w:val="0"/>
    <w:pPr>
      <w:spacing w:after="120" w:afterLines="0"/>
      <w:ind w:left="420" w:leftChars="200" w:firstLine="420" w:firstLine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2026-06-26T10:23:51Z</dcterms:created>
  <dc:creator>Y</dc:creator>
  <cp:lastModifiedBy>Y</cp:lastModifiedBy>
  <dcterms:modified xsi:type="dcterms:W3CDTF">2026-06-26T10:24:10Z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eyJoZGlkIjoiNDJhMTcwZjQ2NDhhOTVlZmE2NmJmODZkMTU0MmFiNzAiLCJ1c2VySWQiOiIzOTA1NDQ3NzYifQ==</vt:lpwstr>
  </property>
  <property fmtid="{D5CDD505-2E9C-101B-9397-08002B2CF9AE}" pid="4" name="ICV">
    <vt:lpwstr>8EC915D974774BE5A5ABF5CDB7A642EA_12</vt:lpwstr>
  </property>
</Properties>
</file>