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431CC2">
      <w:pPr>
        <w:pageBreakBefore w:val="0"/>
        <w:widowControl w:val="0"/>
        <w:kinsoku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pacing w:val="0"/>
          <w:position w:val="0"/>
          <w:sz w:val="31"/>
          <w:szCs w:val="31"/>
          <w:lang w:eastAsia="zh-CN"/>
        </w:rPr>
      </w:pPr>
      <w:r>
        <w:rPr>
          <w:rFonts w:ascii="宋体" w:hAnsi="宋体" w:eastAsia="宋体" w:cs="宋体"/>
          <w:color w:val="auto"/>
          <w:spacing w:val="0"/>
          <w:position w:val="0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30E6CAC8">
      <w:pPr>
        <w:pageBreakBefore w:val="0"/>
        <w:widowControl w:val="0"/>
        <w:kinsoku/>
        <w:wordWrap/>
        <w:overflowPunct/>
        <w:topLinePunct w:val="0"/>
        <w:bidi w:val="0"/>
        <w:spacing w:line="309" w:lineRule="auto"/>
        <w:rPr>
          <w:color w:val="auto"/>
          <w:spacing w:val="0"/>
          <w:position w:val="0"/>
          <w:lang w:eastAsia="zh-CN"/>
        </w:rPr>
      </w:pPr>
      <w:bookmarkStart w:id="13" w:name="_GoBack"/>
      <w:bookmarkEnd w:id="13"/>
    </w:p>
    <w:p w14:paraId="3E6949F1">
      <w:pPr>
        <w:pageBreakBefore w:val="0"/>
        <w:widowControl w:val="0"/>
        <w:kinsoku/>
        <w:wordWrap/>
        <w:overflowPunct/>
        <w:topLinePunct w:val="0"/>
        <w:bidi w:val="0"/>
        <w:spacing w:before="78" w:line="220" w:lineRule="auto"/>
        <w:outlineLvl w:val="0"/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</w:pPr>
      <w:bookmarkStart w:id="0" w:name="_Toc29396"/>
      <w:bookmarkStart w:id="1" w:name="_Toc4108"/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  <w:bookmarkEnd w:id="1"/>
    </w:p>
    <w:p w14:paraId="5F739219">
      <w:pPr>
        <w:pageBreakBefore w:val="0"/>
        <w:widowControl w:val="0"/>
        <w:kinsoku/>
        <w:wordWrap/>
        <w:overflowPunct/>
        <w:topLinePunct w:val="0"/>
        <w:bidi w:val="0"/>
        <w:spacing w:before="64"/>
        <w:rPr>
          <w:color w:val="auto"/>
          <w:spacing w:val="0"/>
          <w:position w:val="0"/>
        </w:rPr>
      </w:pPr>
    </w:p>
    <w:tbl>
      <w:tblPr>
        <w:tblStyle w:val="7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09CD79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0D42D705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color w:val="auto"/>
                <w:spacing w:val="0"/>
                <w:position w:val="0"/>
              </w:rPr>
              <w:drawing>
                <wp:anchor distT="0" distB="0" distL="0" distR="0" simplePos="0" relativeHeight="251661312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名</w:t>
            </w:r>
          </w:p>
          <w:p w14:paraId="7F4DE6C5">
            <w:pPr>
              <w:pStyle w:val="8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5" w:lineRule="auto"/>
              <w:rPr>
                <w:color w:val="auto"/>
                <w:spacing w:val="0"/>
                <w:position w:val="0"/>
              </w:rPr>
            </w:pPr>
          </w:p>
          <w:p w14:paraId="48CD3627">
            <w:pPr>
              <w:pStyle w:val="8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6" w:lineRule="auto"/>
              <w:rPr>
                <w:color w:val="auto"/>
                <w:spacing w:val="0"/>
                <w:position w:val="0"/>
              </w:rPr>
            </w:pPr>
          </w:p>
          <w:p w14:paraId="0B8A177C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内</w:t>
            </w:r>
          </w:p>
          <w:p w14:paraId="28E8E994">
            <w:pPr>
              <w:pStyle w:val="8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338" w:lineRule="auto"/>
              <w:rPr>
                <w:color w:val="auto"/>
                <w:spacing w:val="0"/>
                <w:position w:val="0"/>
              </w:rPr>
            </w:pPr>
          </w:p>
          <w:p w14:paraId="1E37CBA5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32FF109B">
            <w:pPr>
              <w:pStyle w:val="8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position w:val="0"/>
              </w:rPr>
            </w:pPr>
          </w:p>
          <w:p w14:paraId="05E0F17E">
            <w:pPr>
              <w:pStyle w:val="8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63" w:lineRule="auto"/>
              <w:rPr>
                <w:color w:val="auto"/>
                <w:spacing w:val="0"/>
                <w:position w:val="0"/>
              </w:rPr>
            </w:pPr>
          </w:p>
          <w:p w14:paraId="309D1F5B">
            <w:pPr>
              <w:pStyle w:val="8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64" w:lineRule="auto"/>
              <w:rPr>
                <w:color w:val="auto"/>
                <w:spacing w:val="0"/>
                <w:position w:val="0"/>
              </w:rPr>
            </w:pPr>
          </w:p>
          <w:p w14:paraId="1E3BFF19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称</w:t>
            </w:r>
          </w:p>
        </w:tc>
        <w:tc>
          <w:tcPr>
            <w:tcW w:w="6150" w:type="dxa"/>
            <w:vAlign w:val="center"/>
          </w:tcPr>
          <w:p w14:paraId="0E11B00B">
            <w:pPr>
              <w:pStyle w:val="8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</w:rPr>
              <w:t>吉安县城市体检和城市更新专项规划编制服务项目</w:t>
            </w:r>
          </w:p>
        </w:tc>
      </w:tr>
      <w:tr w14:paraId="44E294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2865" w:type="dxa"/>
            <w:gridSpan w:val="2"/>
          </w:tcPr>
          <w:p w14:paraId="700D095A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数量</w:t>
            </w:r>
          </w:p>
        </w:tc>
        <w:tc>
          <w:tcPr>
            <w:tcW w:w="6150" w:type="dxa"/>
            <w:vAlign w:val="center"/>
          </w:tcPr>
          <w:p w14:paraId="2F349A5E">
            <w:pPr>
              <w:pStyle w:val="8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default" w:eastAsia="宋体"/>
                <w:color w:val="auto"/>
                <w:spacing w:val="0"/>
                <w:position w:val="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5"/>
                <w:sz w:val="24"/>
                <w:szCs w:val="24"/>
                <w:highlight w:val="none"/>
                <w:lang w:val="en-US" w:eastAsia="zh-CN" w:bidi="ar-SA"/>
              </w:rPr>
              <w:t>详见第五章“采购需求”</w:t>
            </w:r>
          </w:p>
        </w:tc>
      </w:tr>
      <w:tr w14:paraId="4BD591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2865" w:type="dxa"/>
            <w:gridSpan w:val="2"/>
          </w:tcPr>
          <w:p w14:paraId="4F1711F5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期</w:t>
            </w:r>
          </w:p>
        </w:tc>
        <w:tc>
          <w:tcPr>
            <w:tcW w:w="6150" w:type="dxa"/>
            <w:vAlign w:val="center"/>
          </w:tcPr>
          <w:p w14:paraId="25152DAD">
            <w:pPr>
              <w:pStyle w:val="8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5"/>
                <w:sz w:val="24"/>
                <w:szCs w:val="24"/>
                <w:highlight w:val="none"/>
                <w:lang w:val="en-US" w:eastAsia="zh-CN" w:bidi="ar-SA"/>
              </w:rPr>
              <w:t>详见第五章“采购需求”</w:t>
            </w:r>
          </w:p>
        </w:tc>
      </w:tr>
      <w:tr w14:paraId="3969F4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4" w:hRule="atLeast"/>
        </w:trPr>
        <w:tc>
          <w:tcPr>
            <w:tcW w:w="2865" w:type="dxa"/>
            <w:gridSpan w:val="2"/>
          </w:tcPr>
          <w:p w14:paraId="20569D79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position w:val="0"/>
                <w:sz w:val="24"/>
                <w:szCs w:val="24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地点</w:t>
            </w:r>
          </w:p>
        </w:tc>
        <w:tc>
          <w:tcPr>
            <w:tcW w:w="6150" w:type="dxa"/>
            <w:vAlign w:val="center"/>
          </w:tcPr>
          <w:p w14:paraId="6AF95DC6">
            <w:pPr>
              <w:pStyle w:val="8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5"/>
                <w:sz w:val="24"/>
                <w:szCs w:val="24"/>
                <w:highlight w:val="none"/>
                <w:lang w:val="en-US" w:eastAsia="zh-CN" w:bidi="ar-SA"/>
              </w:rPr>
              <w:t>详见第五章“采购需求”</w:t>
            </w:r>
          </w:p>
        </w:tc>
      </w:tr>
      <w:tr w14:paraId="747894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2865" w:type="dxa"/>
            <w:gridSpan w:val="2"/>
          </w:tcPr>
          <w:p w14:paraId="54F338C6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position w:val="0"/>
                <w:sz w:val="24"/>
                <w:szCs w:val="24"/>
              </w:rPr>
              <w:t>备注</w:t>
            </w:r>
          </w:p>
        </w:tc>
        <w:tc>
          <w:tcPr>
            <w:tcW w:w="6150" w:type="dxa"/>
            <w:vAlign w:val="center"/>
          </w:tcPr>
          <w:p w14:paraId="0DF1623E">
            <w:pPr>
              <w:pStyle w:val="8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eastAsia="宋体"/>
                <w:color w:val="auto"/>
                <w:spacing w:val="0"/>
                <w:position w:val="0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position w:val="0"/>
                <w:lang w:val="en-US" w:eastAsia="zh-CN"/>
              </w:rPr>
              <w:t>/</w:t>
            </w:r>
          </w:p>
        </w:tc>
      </w:tr>
    </w:tbl>
    <w:p w14:paraId="17675241">
      <w:pPr>
        <w:pageBreakBefore w:val="0"/>
        <w:widowControl w:val="0"/>
        <w:kinsoku/>
        <w:wordWrap/>
        <w:overflowPunct/>
        <w:topLinePunct w:val="0"/>
        <w:bidi w:val="0"/>
        <w:rPr>
          <w:color w:val="auto"/>
          <w:spacing w:val="0"/>
          <w:position w:val="0"/>
        </w:rPr>
      </w:pPr>
    </w:p>
    <w:p w14:paraId="16243D57">
      <w:pPr>
        <w:pageBreakBefore w:val="0"/>
        <w:widowControl w:val="0"/>
        <w:kinsoku/>
        <w:wordWrap/>
        <w:overflowPunct/>
        <w:topLinePunct w:val="0"/>
        <w:bidi w:val="0"/>
        <w:rPr>
          <w:color w:val="auto"/>
          <w:spacing w:val="0"/>
          <w:position w:val="0"/>
        </w:rPr>
        <w:sectPr>
          <w:footerReference r:id="rId3" w:type="default"/>
          <w:pgSz w:w="11906" w:h="16839"/>
          <w:pgMar w:top="1429" w:right="1786" w:bottom="1429" w:left="1786" w:header="0" w:footer="994" w:gutter="0"/>
          <w:pgNumType w:fmt="decimal"/>
          <w:cols w:space="720" w:num="1"/>
        </w:sectPr>
      </w:pPr>
    </w:p>
    <w:p w14:paraId="1A86D866">
      <w:pPr>
        <w:pageBreakBefore w:val="0"/>
        <w:widowControl w:val="0"/>
        <w:kinsoku/>
        <w:wordWrap/>
        <w:overflowPunct/>
        <w:topLinePunct w:val="0"/>
        <w:bidi w:val="0"/>
        <w:spacing w:before="47" w:line="219" w:lineRule="auto"/>
        <w:ind w:left="3805" w:leftChars="0"/>
        <w:outlineLvl w:val="0"/>
        <w:rPr>
          <w:color w:val="auto"/>
          <w:spacing w:val="0"/>
          <w:position w:val="0"/>
        </w:rPr>
      </w:pPr>
      <w:bookmarkStart w:id="2" w:name="bookmark81"/>
      <w:bookmarkEnd w:id="2"/>
      <w:bookmarkStart w:id="3" w:name="_Toc31369"/>
      <w:bookmarkStart w:id="4" w:name="_Toc17483"/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  <w:bookmarkEnd w:id="3"/>
      <w:bookmarkEnd w:id="4"/>
    </w:p>
    <w:p w14:paraId="551FB056">
      <w:pPr>
        <w:pageBreakBefore w:val="0"/>
        <w:widowControl w:val="0"/>
        <w:kinsoku/>
        <w:wordWrap/>
        <w:overflowPunct/>
        <w:topLinePunct w:val="0"/>
        <w:bidi w:val="0"/>
        <w:spacing w:line="258" w:lineRule="auto"/>
        <w:rPr>
          <w:color w:val="auto"/>
          <w:spacing w:val="0"/>
          <w:position w:val="0"/>
        </w:rPr>
      </w:pPr>
    </w:p>
    <w:p w14:paraId="38D18A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afterLines="50" w:line="219" w:lineRule="auto"/>
        <w:textAlignment w:val="baseline"/>
        <w:outlineLvl w:val="1"/>
        <w:rPr>
          <w:b/>
          <w:bCs/>
          <w:color w:val="auto"/>
          <w:spacing w:val="0"/>
          <w:position w:val="0"/>
        </w:rPr>
      </w:pPr>
      <w:bookmarkStart w:id="5" w:name="_Toc11890"/>
      <w:bookmarkStart w:id="6" w:name="_Toc5412"/>
      <w:r>
        <w:rPr>
          <w:rFonts w:ascii="宋体" w:hAnsi="宋体" w:eastAsia="宋体" w:cs="宋体"/>
          <w:b/>
          <w:bCs/>
          <w:color w:val="auto"/>
          <w:spacing w:val="0"/>
          <w:position w:val="0"/>
          <w:sz w:val="24"/>
          <w:szCs w:val="24"/>
        </w:rPr>
        <w:t xml:space="preserve">（一） </w:t>
      </w:r>
      <w:r>
        <w:rPr>
          <w:rFonts w:hint="eastAsia" w:ascii="宋体" w:hAnsi="宋体" w:eastAsia="宋体" w:cs="宋体"/>
          <w:b/>
          <w:bCs/>
          <w:color w:val="auto"/>
          <w:spacing w:val="0"/>
          <w:position w:val="0"/>
          <w:sz w:val="24"/>
          <w:szCs w:val="24"/>
          <w:lang w:val="en-US" w:eastAsia="zh-CN"/>
        </w:rPr>
        <w:t>服务</w:t>
      </w:r>
      <w:r>
        <w:rPr>
          <w:rFonts w:ascii="宋体" w:hAnsi="宋体" w:eastAsia="宋体" w:cs="宋体"/>
          <w:b/>
          <w:bCs/>
          <w:color w:val="auto"/>
          <w:spacing w:val="0"/>
          <w:position w:val="0"/>
          <w:sz w:val="24"/>
          <w:szCs w:val="24"/>
        </w:rPr>
        <w:t>需求</w:t>
      </w:r>
      <w:bookmarkEnd w:id="5"/>
      <w:bookmarkEnd w:id="6"/>
    </w:p>
    <w:tbl>
      <w:tblPr>
        <w:tblStyle w:val="5"/>
        <w:tblW w:w="0" w:type="auto"/>
        <w:tblInd w:w="1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5270"/>
        <w:gridCol w:w="1057"/>
        <w:gridCol w:w="1206"/>
      </w:tblGrid>
      <w:tr w14:paraId="14FCA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4" w:type="dxa"/>
          </w:tcPr>
          <w:p w14:paraId="67330D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5850" w:type="dxa"/>
          </w:tcPr>
          <w:p w14:paraId="06F32A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b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服务需求</w:t>
            </w:r>
          </w:p>
        </w:tc>
        <w:tc>
          <w:tcPr>
            <w:tcW w:w="1133" w:type="dxa"/>
          </w:tcPr>
          <w:p w14:paraId="2E16AB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b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数量</w:t>
            </w:r>
          </w:p>
        </w:tc>
        <w:tc>
          <w:tcPr>
            <w:tcW w:w="1300" w:type="dxa"/>
          </w:tcPr>
          <w:p w14:paraId="4328B3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b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单位</w:t>
            </w:r>
          </w:p>
        </w:tc>
      </w:tr>
      <w:tr w14:paraId="48F50A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4" w:type="dxa"/>
          </w:tcPr>
          <w:p w14:paraId="5AE00A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5850" w:type="dxa"/>
          </w:tcPr>
          <w:p w14:paraId="756FD9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vertAlign w:val="baseline"/>
                <w:lang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  <w:t>吉安县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lang w:eastAsia="en-US"/>
              </w:rPr>
              <w:t>城市体检</w:t>
            </w:r>
          </w:p>
        </w:tc>
        <w:tc>
          <w:tcPr>
            <w:tcW w:w="1133" w:type="dxa"/>
          </w:tcPr>
          <w:p w14:paraId="6DEE9E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00" w:type="dxa"/>
          </w:tcPr>
          <w:p w14:paraId="054F81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lang w:val="en-US" w:eastAsia="zh-CN"/>
              </w:rPr>
              <w:t>项</w:t>
            </w:r>
          </w:p>
        </w:tc>
      </w:tr>
      <w:tr w14:paraId="5E26E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34" w:type="dxa"/>
          </w:tcPr>
          <w:p w14:paraId="7B6974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5850" w:type="dxa"/>
          </w:tcPr>
          <w:p w14:paraId="105DD2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000000"/>
                <w:kern w:val="0"/>
                <w:sz w:val="24"/>
                <w:szCs w:val="24"/>
                <w:vertAlign w:val="baseline"/>
                <w:lang w:eastAsia="en-US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吉安县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auto"/>
                <w:kern w:val="0"/>
                <w:sz w:val="24"/>
                <w:szCs w:val="24"/>
                <w:lang w:eastAsia="en-US"/>
              </w:rPr>
              <w:t>城市更新专项规划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auto"/>
                <w:kern w:val="0"/>
                <w:sz w:val="24"/>
                <w:szCs w:val="24"/>
                <w:lang w:eastAsia="zh-CN"/>
              </w:rPr>
              <w:t>（含重点片区城市更新片区策划）</w:t>
            </w:r>
          </w:p>
        </w:tc>
        <w:tc>
          <w:tcPr>
            <w:tcW w:w="1133" w:type="dxa"/>
          </w:tcPr>
          <w:p w14:paraId="1F2451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b w:val="0"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00" w:type="dxa"/>
          </w:tcPr>
          <w:p w14:paraId="74D34C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beforeLines="50" w:after="156" w:afterLines="50" w:line="440" w:lineRule="exact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b w:val="0"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napToGrid w:val="0"/>
                <w:color w:val="auto"/>
                <w:kern w:val="0"/>
                <w:sz w:val="24"/>
                <w:szCs w:val="24"/>
                <w:lang w:val="en-US" w:eastAsia="zh-CN"/>
              </w:rPr>
              <w:t>项</w:t>
            </w:r>
          </w:p>
        </w:tc>
      </w:tr>
    </w:tbl>
    <w:p w14:paraId="5F5F14C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81915</wp:posOffset>
            </wp:positionH>
            <wp:positionV relativeFrom="paragraph">
              <wp:posOffset>217170</wp:posOffset>
            </wp:positionV>
            <wp:extent cx="5894705" cy="6242050"/>
            <wp:effectExtent l="0" t="0" r="10795" b="6350"/>
            <wp:wrapNone/>
            <wp:docPr id="10" name="图片 10" descr="88d54462bc98936bb2bdb4302f3c1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88d54462bc98936bb2bdb4302f3c139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94705" cy="6242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5B318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  <w:bookmarkStart w:id="7" w:name="_Toc714"/>
    </w:p>
    <w:p w14:paraId="2B84377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70B42423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34258FB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0D68ED52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36D0496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0303C60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0A94A37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5CEA79B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10C7066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4B772F9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70F25DD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21CBCD49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251E60A4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59D89063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65D278B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4F111E89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71EF5C8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1D9A47BC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</w:p>
    <w:p w14:paraId="77CD35E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</w:rPr>
      </w:pPr>
      <w:bookmarkStart w:id="8" w:name="_Toc31624"/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  <w:t>一、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val="en-US" w:eastAsia="zh-CN"/>
        </w:rPr>
        <w:t>吉安县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  <w:t>城市体检</w:t>
      </w:r>
      <w:bookmarkEnd w:id="7"/>
      <w:bookmarkEnd w:id="8"/>
    </w:p>
    <w:p w14:paraId="23814F2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0" w:firstLineChars="0"/>
        <w:jc w:val="left"/>
        <w:textAlignment w:val="baseline"/>
        <w:outlineLvl w:val="3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bidi="ar"/>
        </w:rPr>
        <w:t>（一）城市体检范围与对象</w:t>
      </w:r>
    </w:p>
    <w:p w14:paraId="043A3EE2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480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本次城市体检范围及面积：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val="en-US" w:eastAsia="zh-CN"/>
        </w:rPr>
        <w:t>吉安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县城区、凤凰园区、物流园区、吉州窑陶瓷产业园区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zh-CN"/>
        </w:rPr>
        <w:t>及现代农业示范园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，共计面积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zh-CN"/>
        </w:rPr>
        <w:t>约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val="en-US" w:eastAsia="zh-CN"/>
        </w:rPr>
        <w:t>25.8平方公里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。</w:t>
      </w:r>
    </w:p>
    <w:p w14:paraId="425B279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0" w:firstLineChars="0"/>
        <w:jc w:val="left"/>
        <w:textAlignment w:val="baseline"/>
        <w:outlineLvl w:val="3"/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bidi="ar"/>
        </w:rPr>
        <w:t>（二）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</w:rPr>
        <w:t>工作内容</w:t>
      </w:r>
    </w:p>
    <w:p w14:paraId="6A31942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highlight w:val="none"/>
        </w:rPr>
        <w:t>为全面深化城市体检工作，一体化推进城市体检与城市更新，精准查找城市发展短板弱项，持续提升城市建设治理水平和人居环境质量，根据住房城乡建设部《关于全面开展城市体检工作的指导意见》(建科[2023]75号)《关于深入开展2026年城市体检工作的通知》(建办科[2026]16号)及江西省住房和城乡建设厅《关于印发2026年江西省城市体检工作方案的通知》(赣建科设[2026]13号)要求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</w:rPr>
        <w:t>以及国家、省、市相关最新文件等文件精神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zh-CN"/>
        </w:rPr>
        <w:t>。</w:t>
      </w:r>
    </w:p>
    <w:p w14:paraId="3568FEE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zh-CN"/>
        </w:rPr>
        <w:t>城市体检工作包括城市综合体检、重点片区城市体检、城市专项体检和城市居民问卷抽样调查等方面内容。</w:t>
      </w:r>
    </w:p>
    <w:p w14:paraId="46DF6E14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</w:rPr>
        <w:t>通过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明确城市体检范围与对象、完善体检指标体系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</w:rPr>
        <w:t>、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进行指标数据采集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</w:rPr>
        <w:t>、开展居民问卷抽样调查、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开展分析评价、回溯治理成效、形成问题清单、整治建议清单、编制城市体检报告等工作流程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</w:rPr>
        <w:t>，按时保质高效完成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  <w:t>吉安县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城市体检工作。</w:t>
      </w:r>
    </w:p>
    <w:p w14:paraId="099F14C3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根据评估结果，结合城市居民问卷抽样调查，综合相关领域工作成效及突出问题，分析识别出城市发展的短板和问题，在开展城市综合体检的过程中，要强化对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eastAsia="zh-CN" w:bidi="ar"/>
        </w:rPr>
        <w:t>往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年城市体检问题的整治情况进行“回头看”，回顾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eastAsia="zh-CN" w:bidi="ar"/>
        </w:rPr>
        <w:t>往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年城市体检提出问题的整改情况和治理措施实施成效。通过城市体检全面掌握城市各层级行政管理单元发展情况，发现主要问题所在，科学制定整治措施和建议，逐步实现补短板、守底线、惠民生、提品质等工作任务。</w:t>
      </w:r>
    </w:p>
    <w:p w14:paraId="2D2D633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3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</w:rPr>
        <w:t>（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val="en-US" w:eastAsia="zh-CN"/>
        </w:rPr>
        <w:t>三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</w:rPr>
        <w:t>）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val="en-US" w:eastAsia="zh-CN" w:bidi="ar"/>
        </w:rPr>
        <w:t>城市体检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bidi="ar"/>
        </w:rPr>
        <w:t>成果</w:t>
      </w:r>
    </w:p>
    <w:p w14:paraId="4F2EB67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应在体检评估指标分析和居民抽样问卷调查结果基础上，编制城市体检报告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</w:rPr>
        <w:t>，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城市体检报告由文本、图纸和附件等三部分组成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</w:rPr>
        <w:t>。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城市体检指标应形成过程及结果电子矢量数据库，居民满意度（意愿）调查和体检分析评估应形成书面报告。</w:t>
      </w:r>
    </w:p>
    <w:p w14:paraId="03FC3F8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2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</w:rPr>
        <w:t>1.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  <w:t>文本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</w:rPr>
        <w:t>：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应包括城市体检工作概述、指标体系构建情况、指标分析诊断与综合评价、居民抽样问卷调查、问题清单与整治建议清单、治理对策与行动建议等内容。</w:t>
      </w:r>
    </w:p>
    <w:p w14:paraId="2609D67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2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</w:rPr>
        <w:t>2.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  <w:t>图纸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</w:rPr>
        <w:t>：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应包括涉及体检指标要求的相关图纸，各地可通过汇总社区、街区的问题台账，分板块进行空间可视化表达，形成覆盖全部建成区的“问题地图”。并增加各维度、各板块的“问题地图”，强化问题分析的系统性与空间化。</w:t>
      </w:r>
    </w:p>
    <w:p w14:paraId="5C1F49A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2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</w:rPr>
        <w:t>3.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  <w:lang w:eastAsia="en-US"/>
        </w:rPr>
        <w:t>附件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000000"/>
          <w:kern w:val="0"/>
          <w:sz w:val="24"/>
          <w:szCs w:val="24"/>
        </w:rPr>
        <w:t>：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应包括指标调查表、问题台账、问题清单、整治建议清单、项目建议清单等内容。</w:t>
      </w:r>
    </w:p>
    <w:p w14:paraId="593DA281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0" w:firstLineChars="0"/>
        <w:jc w:val="left"/>
        <w:textAlignment w:val="baseline"/>
        <w:outlineLvl w:val="3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bidi="ar"/>
        </w:rPr>
        <w:t>（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val="en-US" w:eastAsia="zh-CN" w:bidi="ar"/>
        </w:rPr>
        <w:t>四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bidi="ar"/>
        </w:rPr>
        <w:t xml:space="preserve">）成果格式与要求 </w:t>
      </w:r>
    </w:p>
    <w:p w14:paraId="3A041CB4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（1）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  <w:t>体检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成果格式应有纸质成果和电子成果两类。文本和图纸按A3 或 A4 规格打印、装订，提交最终纸质成果 5 套。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eastAsia="zh-CN" w:bidi="ar"/>
        </w:rPr>
        <w:t>成交供应商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需向采购人提供以上设计成果的全套电子成果文件，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要求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</w:rPr>
        <w:t>报告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内容采用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val="en-US" w:eastAsia="zh-CN"/>
        </w:rPr>
        <w:t>DOC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或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val="en-US" w:eastAsia="zh-CN"/>
        </w:rPr>
        <w:t>PDF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格式，图形内容采用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val="en-US" w:eastAsia="zh-CN"/>
        </w:rPr>
        <w:t>DWG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、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val="en-US" w:eastAsia="zh-CN"/>
        </w:rPr>
        <w:t>SHP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和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val="en-US" w:eastAsia="zh-CN"/>
        </w:rPr>
        <w:t>JPG</w:t>
      </w:r>
      <w:r>
        <w:rPr>
          <w:rFonts w:hint="eastAsia" w:asciiTheme="minorEastAsia" w:hAnsiTheme="minorEastAsia" w:eastAsiaTheme="minorEastAsia" w:cstheme="minorEastAsia"/>
          <w:snapToGrid w:val="0"/>
          <w:color w:val="000000"/>
          <w:kern w:val="0"/>
          <w:sz w:val="24"/>
          <w:szCs w:val="24"/>
          <w:lang w:eastAsia="en-US"/>
        </w:rPr>
        <w:t>格式文件。</w:t>
      </w:r>
    </w:p>
    <w:p w14:paraId="5351476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（2）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eastAsia="zh-CN" w:bidi="ar"/>
        </w:rPr>
        <w:t>成交供应商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提交的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  <w:t>体检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成果内容与深度应符合国家、省市相关法律法规、标准规范的相关要求，并通过成果验收。</w:t>
      </w:r>
    </w:p>
    <w:p w14:paraId="413931A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6" w:beforeLines="50" w:after="156" w:afterLines="50" w:line="440" w:lineRule="exact"/>
        <w:ind w:firstLine="0" w:firstLineChars="0"/>
        <w:jc w:val="left"/>
        <w:textAlignment w:val="baseline"/>
        <w:outlineLvl w:val="2"/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eastAsia="zh-CN"/>
        </w:rPr>
      </w:pPr>
      <w:bookmarkStart w:id="9" w:name="_Toc15358"/>
      <w:bookmarkStart w:id="10" w:name="_Toc24184"/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eastAsia="en-US"/>
        </w:rPr>
        <w:t>二、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val="en-US" w:eastAsia="zh-CN"/>
        </w:rPr>
        <w:t>吉安县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eastAsia="en-US"/>
        </w:rPr>
        <w:t>城市更新专项规划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eastAsia="zh-CN"/>
        </w:rPr>
        <w:t>（含重点片区城市更新片区策划）</w:t>
      </w:r>
      <w:bookmarkEnd w:id="9"/>
      <w:bookmarkEnd w:id="10"/>
    </w:p>
    <w:p w14:paraId="37BAA65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0" w:firstLineChars="0"/>
        <w:jc w:val="left"/>
        <w:textAlignment w:val="baseline"/>
        <w:outlineLvl w:val="3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bidi="ar"/>
        </w:rPr>
        <w:t>（一）规划范围</w:t>
      </w:r>
    </w:p>
    <w:p w14:paraId="1B146AC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本次城市更新专项规划（含重点片区城市更新片区策划）范围为吉安县城区、凤凰园区、物流园区、吉州窑陶瓷产业园区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eastAsia="zh-CN" w:bidi="ar"/>
        </w:rPr>
        <w:t>及现代农业示范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highlight w:val="none"/>
          <w:lang w:eastAsia="zh-CN" w:bidi="ar"/>
        </w:rPr>
        <w:t>园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highlight w:val="none"/>
          <w:lang w:bidi="ar"/>
        </w:rPr>
        <w:t>，面积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highlight w:val="none"/>
          <w:lang w:eastAsia="zh-CN" w:bidi="ar"/>
        </w:rPr>
        <w:t>约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highlight w:val="none"/>
          <w:lang w:bidi="ar"/>
        </w:rPr>
        <w:t>32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.3平方公里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highlight w:val="none"/>
          <w:lang w:bidi="ar"/>
        </w:rPr>
        <w:t>。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要体现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highlight w:val="none"/>
          <w:lang w:eastAsia="zh-CN" w:bidi="ar"/>
        </w:rPr>
        <w:t>重点片区城市更新片区策划、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提出建立城市更新项目库。</w:t>
      </w:r>
    </w:p>
    <w:p w14:paraId="2206C299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0" w:firstLineChars="0"/>
        <w:jc w:val="left"/>
        <w:textAlignment w:val="baseline"/>
        <w:outlineLvl w:val="3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bidi="ar"/>
        </w:rPr>
        <w:t>（二）规划主要内容</w:t>
      </w:r>
    </w:p>
    <w:p w14:paraId="59B7DA92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根据《中共中央办公厅国务院办公厅关于持续推进城市更新行动的意见》《江西省城市更新条例》《江西省城市更新工作指引（试行）》等文件精神，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  <w:t>吉安县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城市更新专项规划编制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eastAsia="zh-CN" w:bidi="ar"/>
        </w:rPr>
        <w:t>含重点片区城市更新片区策划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主要内容如下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</w:rPr>
        <w:t>，未明确的内容以国家、省、市相关最新文件为准。</w:t>
      </w:r>
    </w:p>
    <w:p w14:paraId="596B1B7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1.城市体检评估</w:t>
      </w:r>
    </w:p>
    <w:p w14:paraId="4175565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结合同步编制的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  <w:t>吉安县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城市体检报告成果，建立发现问题、解决问题、评估效果、巩固提升的工作路径，精准识别城市存在的问题短板。</w:t>
      </w:r>
    </w:p>
    <w:p w14:paraId="00D4CC5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2.城市更新成效与挑战</w:t>
      </w:r>
    </w:p>
    <w:p w14:paraId="43B76D9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基于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  <w:t>吉安县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城市体检评估，阐述近年来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  <w:t>吉安县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城市更新主要成效和主要挑战。</w:t>
      </w:r>
    </w:p>
    <w:p w14:paraId="5F1646F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3.城市更新目标</w:t>
      </w:r>
    </w:p>
    <w:p w14:paraId="1EABB475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0" w:firstLineChars="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提出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  <w:t>吉安县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城市更新指导思想、总体目标及近远期分阶段目标。</w:t>
      </w:r>
    </w:p>
    <w:p w14:paraId="020C27A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4.城市更新策略与行动</w:t>
      </w:r>
    </w:p>
    <w:p w14:paraId="2ECA445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围绕人民关切，根据《意见》提出的8项城市更新主要任务，分别对既有建筑改造利用，城镇老旧小区整治改造，完整社区建设（“好社区”建设），老旧街区、老旧厂区、城中村等更新改造，城市功能完善，城市基础设施建设改造，城市生态系统修复，城市历史文化传承等提出城市更新策略与行动。</w:t>
      </w:r>
    </w:p>
    <w:p w14:paraId="1942C01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5.城市更新分类指引</w:t>
      </w:r>
    </w:p>
    <w:p w14:paraId="0E6DF74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按类别对历史文化要素、老旧住区、老旧厂区、老旧市场、老旧街区、老旧设施、低效用地等提出更新指引。</w:t>
      </w:r>
    </w:p>
    <w:p w14:paraId="5FE30AD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6.城市更新片区划分与指引</w:t>
      </w:r>
    </w:p>
    <w:p w14:paraId="68B0DDA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更新片区是联动激活高价值更新潜力资源，整体焕新城市结构性重点空间，激发城市动力和活力再生，有序推进更新项目的重要空间单元。针对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  <w:t>吉安县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各类地区现状物质环境、功能结构、发展条件、更新资源禀赋等差异，分解传导国土空间总体规划对于中心体系、产业区和生活圈等关键要素的空间布局，划定更新片区并提出更新指引。</w:t>
      </w:r>
    </w:p>
    <w:p w14:paraId="556DF30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7.实施机制与政策保障</w:t>
      </w:r>
    </w:p>
    <w:p w14:paraId="5CA86902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搭建组织机制，构建“城市更新专项规划、更新片区策划方案、更新单元（项目）实施方案”三级更新规划传导体系，探索“部门协同”的政策支持等。</w:t>
      </w:r>
    </w:p>
    <w:p w14:paraId="06F1B982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8.近期城市更新项目指引（清单）</w:t>
      </w:r>
    </w:p>
    <w:p w14:paraId="772E819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落实国空要求，聚焦更新重点区域；对接更新行动计划，推进更新项目实施。</w:t>
      </w:r>
    </w:p>
    <w:p w14:paraId="5218EAD3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  <w:t>9.</w:t>
      </w: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其他相关要求。</w:t>
      </w:r>
    </w:p>
    <w:p w14:paraId="324EF51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本项工作内容按研究内容单独提交研究成果。</w:t>
      </w:r>
    </w:p>
    <w:p w14:paraId="444DC5FB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0" w:firstLineChars="0"/>
        <w:textAlignment w:val="baseline"/>
        <w:outlineLvl w:val="3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kern w:val="0"/>
          <w:sz w:val="24"/>
          <w:szCs w:val="24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kern w:val="0"/>
          <w:sz w:val="24"/>
          <w:szCs w:val="24"/>
          <w:lang w:eastAsia="zh-CN" w:bidi="ar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kern w:val="0"/>
          <w:sz w:val="24"/>
          <w:szCs w:val="24"/>
          <w:lang w:val="en-US" w:eastAsia="zh-CN" w:bidi="ar"/>
        </w:rPr>
        <w:t>三）服务期限</w:t>
      </w:r>
    </w:p>
    <w:p w14:paraId="2F654EA6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jc w:val="left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val="en-US" w:eastAsia="zh-CN" w:bidi="ar"/>
        </w:rPr>
        <w:t>本项工作服务期为5年左右，具体分为三个阶段：第一阶段，完成规划初步成果的编制及报批报备；第二阶段，开展规划期中论证评估，根据评估结果视情况调整规划；第三阶段，进行规划期末评估，形成评估报告。</w:t>
      </w:r>
    </w:p>
    <w:p w14:paraId="2E3E08F7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0" w:firstLineChars="0"/>
        <w:jc w:val="left"/>
        <w:textAlignment w:val="baseline"/>
        <w:outlineLvl w:val="3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bidi="ar"/>
        </w:rPr>
        <w:t>（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val="en-US" w:eastAsia="zh-CN" w:bidi="ar"/>
        </w:rPr>
        <w:t>四</w:t>
      </w:r>
      <w:r>
        <w:rPr>
          <w:rFonts w:hint="eastAsia" w:asciiTheme="minorEastAsia" w:hAnsiTheme="minorEastAsia" w:eastAsiaTheme="minorEastAsia" w:cstheme="minorEastAsia"/>
          <w:b/>
          <w:snapToGrid w:val="0"/>
          <w:color w:val="auto"/>
          <w:kern w:val="0"/>
          <w:sz w:val="24"/>
          <w:szCs w:val="24"/>
          <w:lang w:bidi="ar"/>
        </w:rPr>
        <w:t>）规划编制成果</w:t>
      </w:r>
    </w:p>
    <w:p w14:paraId="491B230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成果主要包含规划文本、图表、其他支撑材料三个部分。</w:t>
      </w:r>
    </w:p>
    <w:p w14:paraId="6C3C3D7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（1）规划文本</w:t>
      </w:r>
    </w:p>
    <w:p w14:paraId="4E300802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0" w:firstLineChars="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包括总则、城市体检、规划目标、重点任务、城市设计引导、片区指引、项目库、保障措施八部分，以 WORD 、PDF 格式提供。</w:t>
      </w:r>
    </w:p>
    <w:p w14:paraId="1EC295A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（2）图表</w:t>
      </w:r>
    </w:p>
    <w:p w14:paraId="76CA4C8D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规划图表是规划文本的空间化、可视化表达，需与文本保持一致。其中图纸包括更新对象分布图、更新任务规划图、城市设计引导图、更新片区划分图、更新片区引导图、更新项目实施计划表等。</w:t>
      </w:r>
    </w:p>
    <w:p w14:paraId="6EDBD86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电子数据成果的文本正文采用 WORD 格式或 PDF 格式。图纸采用 JPG 格式，图纸比例宜采用1：2000-1：10000，图纸目录和表达内容可根据需要拆分与增减。</w:t>
      </w:r>
    </w:p>
    <w:p w14:paraId="00DE85D8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outlineLvl w:val="4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（3）附件（其他支撑材料）</w:t>
      </w:r>
    </w:p>
    <w:p w14:paraId="56EB6BCA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Lines="0" w:line="440" w:lineRule="exact"/>
        <w:ind w:firstLine="480" w:firstLineChars="200"/>
        <w:textAlignment w:val="baseline"/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</w:pPr>
      <w:r>
        <w:rPr>
          <w:rFonts w:hint="eastAsia" w:asciiTheme="minorEastAsia" w:hAnsiTheme="minorEastAsia" w:eastAsiaTheme="minorEastAsia" w:cstheme="minorEastAsia"/>
          <w:snapToGrid w:val="0"/>
          <w:color w:val="auto"/>
          <w:kern w:val="0"/>
          <w:sz w:val="24"/>
          <w:szCs w:val="24"/>
          <w:lang w:bidi="ar"/>
        </w:rPr>
        <w:t>包括城市体检报告、专题研究、会议纪要、部门意见、专家论证意见等。</w:t>
      </w:r>
    </w:p>
    <w:p w14:paraId="1A7EEA9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Lines="0" w:after="0" w:afterLines="50" w:line="440" w:lineRule="exact"/>
        <w:ind w:left="0" w:leftChars="0" w:firstLine="0" w:firstLineChars="0"/>
        <w:textAlignment w:val="baseline"/>
        <w:outlineLvl w:val="0"/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kern w:val="0"/>
          <w:sz w:val="24"/>
          <w:szCs w:val="24"/>
          <w:lang w:val="en-US" w:eastAsia="zh-CN" w:bidi="ar"/>
        </w:rPr>
      </w:pPr>
      <w:bookmarkStart w:id="11" w:name="_Toc7398"/>
      <w:bookmarkStart w:id="12" w:name="_Toc19963"/>
      <w:r>
        <w:rPr>
          <w:rFonts w:hint="eastAsia" w:asciiTheme="minorEastAsia" w:hAnsiTheme="minorEastAsia" w:eastAsiaTheme="minorEastAsia" w:cstheme="minorEastAsia"/>
          <w:b/>
          <w:bCs/>
          <w:snapToGrid w:val="0"/>
          <w:color w:val="auto"/>
          <w:kern w:val="0"/>
          <w:sz w:val="24"/>
          <w:szCs w:val="24"/>
          <w:lang w:val="en-US" w:eastAsia="zh-CN" w:bidi="ar"/>
        </w:rPr>
        <w:t>三、拟派人员要求</w:t>
      </w:r>
      <w:bookmarkEnd w:id="11"/>
      <w:bookmarkEnd w:id="12"/>
    </w:p>
    <w:p w14:paraId="0D64EB60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1" w:line="380" w:lineRule="auto"/>
        <w:ind w:left="4" w:right="2" w:firstLine="484"/>
        <w:textAlignment w:val="baseline"/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1.响应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单位拟派的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项目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负责人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须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具有注册城乡规划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登记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书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须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提供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开标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前六个月（不含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开标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当月）任意一个月的在本单位缴纳社保证明材料。</w:t>
      </w:r>
    </w:p>
    <w:p w14:paraId="37AF952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1" w:line="380" w:lineRule="auto"/>
        <w:ind w:left="4" w:right="2" w:firstLine="484"/>
        <w:textAlignment w:val="baseline"/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其他设计人员（设计团队）：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响应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单位拟派本项目的其他设计人员应专业齐全（至少具备结构、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市政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道路、给排水、风景园林、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测绘、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规划专业人员各一名，各专业设计人员应具有中级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及以上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工程师职称证书，所有参与投标设计团队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成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员须为本单位正式职工，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响应文件中须提供人员专业证书扫描件及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社保证明，社保证明为开标前六个月（不含开标当月）任意一个月的在本单位缴纳社保证明材料；【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拟投入本项目的岗位人员须为不同人员，同一人不得兼任不同的岗位</w:t>
      </w:r>
      <w:r>
        <w:rPr>
          <w:rFonts w:hint="default" w:ascii="宋体" w:hAnsi="宋体" w:eastAsia="宋体" w:cs="宋体"/>
          <w:color w:val="auto"/>
          <w:spacing w:val="-2"/>
          <w:sz w:val="24"/>
          <w:szCs w:val="24"/>
          <w:lang w:val="en-US" w:eastAsia="zh-CN"/>
        </w:rPr>
        <w:t>】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</w:rPr>
        <w:t>；</w:t>
      </w:r>
    </w:p>
    <w:p w14:paraId="2E84066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2F2B13">
    <w:pPr>
      <w:pStyle w:val="3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A8A2135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iEy20zAgAAZQQAAA4AAABkcnMvZTJvRG9jLnhtbK1UzY7TMBC+I/EO&#10;lu80aYFV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MiEy20zAgAAZQ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A8A2135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D686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2026-06-26T08:29:41Z</dcterms:created>
  <dc:creator>Administrator</dc:creator>
  <cp:lastModifiedBy>小劉</cp:lastModifiedBy>
  <dcterms:modified xsi:type="dcterms:W3CDTF">2026-06-26T08:29:48Z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eyJoZGlkIjoiZWJiODM4ZDUwNWViNzZlOTM0MDExNzlhNjA2MTdmZTAiLCJ1c2VySWQiOiIzMTIyMTU3NzYifQ==</vt:lpwstr>
  </property>
  <property fmtid="{D5CDD505-2E9C-101B-9397-08002B2CF9AE}" pid="4" name="ICV">
    <vt:lpwstr>0FE7D74E11DE48D69F5D621351B17F6B_12</vt:lpwstr>
  </property>
</Properties>
</file>