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p>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00D6E72B">
      <w:pPr>
        <w:pageBreakBefore w:val="0"/>
        <w:widowControl w:val="0"/>
        <w:wordWrap/>
        <w:overflowPunct/>
        <w:topLinePunct w:val="0"/>
        <w:bidi w:val="0"/>
        <w:spacing w:before="64"/>
        <w:rPr>
          <w:color w:val="auto"/>
          <w:highlight w:val="none"/>
        </w:rPr>
      </w:pPr>
    </w:p>
    <w:tbl>
      <w:tblPr>
        <w:tblStyle w:val="9"/>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bookmarkStart w:id="1" w:name="_GoBack"/>
            <w:r>
              <w:rPr>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bookmarkEnd w:id="1"/>
            <w:r>
              <w:rPr>
                <w:rFonts w:ascii="宋体" w:hAnsi="宋体" w:eastAsia="宋体" w:cs="宋体"/>
                <w:color w:val="auto"/>
                <w:sz w:val="24"/>
                <w:szCs w:val="24"/>
                <w:highlight w:val="none"/>
              </w:rPr>
              <w:t>名</w:t>
            </w:r>
          </w:p>
          <w:p w14:paraId="6C82F925">
            <w:pPr>
              <w:pStyle w:val="10"/>
              <w:pageBreakBefore w:val="0"/>
              <w:widowControl w:val="0"/>
              <w:wordWrap/>
              <w:overflowPunct/>
              <w:topLinePunct w:val="0"/>
              <w:bidi w:val="0"/>
              <w:spacing w:line="245" w:lineRule="auto"/>
              <w:rPr>
                <w:color w:val="auto"/>
                <w:highlight w:val="none"/>
              </w:rPr>
            </w:pPr>
          </w:p>
          <w:p w14:paraId="40F7ED8D">
            <w:pPr>
              <w:pStyle w:val="10"/>
              <w:pageBreakBefore w:val="0"/>
              <w:widowControl w:val="0"/>
              <w:wordWrap/>
              <w:overflowPunct/>
              <w:topLinePunct w:val="0"/>
              <w:bidi w:val="0"/>
              <w:spacing w:line="246" w:lineRule="auto"/>
              <w:rPr>
                <w:color w:val="auto"/>
                <w:highlight w:val="none"/>
              </w:rPr>
            </w:pPr>
          </w:p>
          <w:p w14:paraId="22D0E8F0">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CCD6524">
            <w:pPr>
              <w:pStyle w:val="10"/>
              <w:pageBreakBefore w:val="0"/>
              <w:widowControl w:val="0"/>
              <w:wordWrap/>
              <w:overflowPunct/>
              <w:topLinePunct w:val="0"/>
              <w:bidi w:val="0"/>
              <w:spacing w:line="338" w:lineRule="auto"/>
              <w:rPr>
                <w:color w:val="auto"/>
                <w:highlight w:val="none"/>
              </w:rPr>
            </w:pPr>
          </w:p>
          <w:p w14:paraId="56739E74">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12B26195">
            <w:pPr>
              <w:pStyle w:val="10"/>
              <w:pageBreakBefore w:val="0"/>
              <w:widowControl w:val="0"/>
              <w:wordWrap/>
              <w:overflowPunct/>
              <w:topLinePunct w:val="0"/>
              <w:bidi w:val="0"/>
              <w:spacing w:line="263" w:lineRule="auto"/>
              <w:rPr>
                <w:color w:val="auto"/>
                <w:highlight w:val="none"/>
              </w:rPr>
            </w:pPr>
          </w:p>
          <w:p w14:paraId="0743B18A">
            <w:pPr>
              <w:pStyle w:val="10"/>
              <w:pageBreakBefore w:val="0"/>
              <w:widowControl w:val="0"/>
              <w:wordWrap/>
              <w:overflowPunct/>
              <w:topLinePunct w:val="0"/>
              <w:bidi w:val="0"/>
              <w:spacing w:line="263" w:lineRule="auto"/>
              <w:rPr>
                <w:color w:val="auto"/>
                <w:highlight w:val="none"/>
              </w:rPr>
            </w:pPr>
          </w:p>
          <w:p w14:paraId="144BF3D0">
            <w:pPr>
              <w:pStyle w:val="10"/>
              <w:pageBreakBefore w:val="0"/>
              <w:widowControl w:val="0"/>
              <w:wordWrap/>
              <w:overflowPunct/>
              <w:topLinePunct w:val="0"/>
              <w:bidi w:val="0"/>
              <w:spacing w:line="264" w:lineRule="auto"/>
              <w:rPr>
                <w:color w:val="auto"/>
                <w:highlight w:val="none"/>
              </w:rPr>
            </w:pPr>
          </w:p>
          <w:p w14:paraId="537402C6">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tcPr>
          <w:p w14:paraId="08CE9823">
            <w:pPr>
              <w:pageBreakBefore w:val="0"/>
              <w:widowControl w:val="0"/>
              <w:wordWrap/>
              <w:overflowPunct/>
              <w:topLinePunct w:val="0"/>
              <w:bidi w:val="0"/>
              <w:spacing w:before="253" w:line="219" w:lineRule="auto"/>
              <w:ind w:left="1188"/>
              <w:rPr>
                <w:rFonts w:hint="eastAsia" w:ascii="仿宋_GB2312" w:hAnsi="仿宋_GB2312" w:eastAsia="仿宋_GB2312" w:cs="仿宋_GB2312"/>
                <w:snapToGrid w:val="0"/>
                <w:color w:val="000000"/>
                <w:sz w:val="24"/>
                <w:szCs w:val="21"/>
                <w:lang w:val="en-US" w:eastAsia="en-US" w:bidi="ar-SA"/>
              </w:rPr>
            </w:pPr>
          </w:p>
          <w:p w14:paraId="771D4052">
            <w:pPr>
              <w:pageBreakBefore w:val="0"/>
              <w:widowControl w:val="0"/>
              <w:wordWrap/>
              <w:overflowPunct/>
              <w:topLinePunct w:val="0"/>
              <w:bidi w:val="0"/>
              <w:spacing w:before="253" w:line="219" w:lineRule="auto"/>
              <w:ind w:left="1188"/>
              <w:rPr>
                <w:rFonts w:hint="eastAsia" w:ascii="仿宋_GB2312" w:hAnsi="仿宋_GB2312" w:eastAsia="仿宋_GB2312" w:cs="仿宋_GB2312"/>
                <w:snapToGrid w:val="0"/>
                <w:color w:val="000000"/>
                <w:sz w:val="24"/>
                <w:szCs w:val="21"/>
                <w:lang w:val="en-US" w:eastAsia="en-US" w:bidi="ar-SA"/>
              </w:rPr>
            </w:pPr>
          </w:p>
          <w:p w14:paraId="09A7E5D9">
            <w:pPr>
              <w:pageBreakBefore w:val="0"/>
              <w:widowControl w:val="0"/>
              <w:wordWrap/>
              <w:overflowPunct/>
              <w:topLinePunct w:val="0"/>
              <w:bidi w:val="0"/>
              <w:spacing w:before="253" w:line="219" w:lineRule="auto"/>
              <w:ind w:firstLine="480" w:firstLineChars="200"/>
              <w:rPr>
                <w:rFonts w:hint="default" w:ascii="仿宋_GB2312" w:hAnsi="仿宋_GB2312" w:eastAsia="仿宋_GB2312" w:cs="仿宋_GB2312"/>
                <w:snapToGrid w:val="0"/>
                <w:color w:val="000000"/>
                <w:sz w:val="24"/>
                <w:szCs w:val="21"/>
                <w:lang w:val="en-US" w:eastAsia="zh-CN" w:bidi="ar-SA"/>
              </w:rPr>
            </w:pPr>
            <w:r>
              <w:rPr>
                <w:rFonts w:hint="eastAsia" w:ascii="仿宋_GB2312" w:hAnsi="仿宋_GB2312" w:eastAsia="仿宋_GB2312" w:cs="仿宋_GB2312"/>
                <w:snapToGrid w:val="0"/>
                <w:color w:val="000000"/>
                <w:sz w:val="24"/>
                <w:szCs w:val="21"/>
                <w:lang w:val="en-US" w:eastAsia="zh-CN" w:bidi="ar-SA"/>
              </w:rPr>
              <w:t xml:space="preserve"> </w:t>
            </w:r>
            <w:r>
              <w:rPr>
                <w:rFonts w:hint="eastAsia" w:ascii="仿宋_GB2312" w:hAnsi="仿宋_GB2312" w:eastAsia="仿宋_GB2312" w:cs="仿宋_GB2312"/>
                <w:snapToGrid w:val="0"/>
                <w:color w:val="000000"/>
                <w:sz w:val="24"/>
                <w:szCs w:val="21"/>
                <w:lang w:val="en-US" w:eastAsia="en-US" w:bidi="ar-SA"/>
              </w:rPr>
              <w:t>2026年抚州站水生生物资源调查监测项目</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hint="eastAsia" w:ascii="仿宋_GB2312" w:hAnsi="仿宋_GB2312" w:eastAsia="仿宋_GB2312" w:cs="仿宋_GB2312"/>
                <w:snapToGrid w:val="0"/>
                <w:color w:val="000000"/>
                <w:sz w:val="24"/>
                <w:szCs w:val="21"/>
                <w:lang w:val="en-US" w:eastAsia="en-US" w:bidi="ar-SA"/>
              </w:rPr>
              <w:t>数量</w:t>
            </w:r>
          </w:p>
        </w:tc>
        <w:tc>
          <w:tcPr>
            <w:tcW w:w="6150" w:type="dxa"/>
            <w:vAlign w:val="center"/>
          </w:tcPr>
          <w:p w14:paraId="0E4CD573">
            <w:pPr>
              <w:pageBreakBefore w:val="0"/>
              <w:widowControl w:val="0"/>
              <w:wordWrap/>
              <w:overflowPunct/>
              <w:topLinePunct w:val="0"/>
              <w:bidi w:val="0"/>
              <w:spacing w:before="253" w:line="219" w:lineRule="auto"/>
              <w:ind w:firstLine="0" w:firstLineChars="0"/>
              <w:jc w:val="center"/>
              <w:rPr>
                <w:rFonts w:hint="eastAsia" w:ascii="仿宋_GB2312" w:hAnsi="仿宋_GB2312" w:eastAsia="仿宋_GB2312" w:cs="仿宋_GB2312"/>
                <w:snapToGrid w:val="0"/>
                <w:color w:val="000000"/>
                <w:sz w:val="24"/>
                <w:szCs w:val="21"/>
                <w:lang w:val="en-US" w:eastAsia="zh-CN" w:bidi="ar-SA"/>
              </w:rPr>
            </w:pPr>
            <w:r>
              <w:rPr>
                <w:rFonts w:hint="eastAsia" w:ascii="仿宋_GB2312" w:hAnsi="仿宋_GB2312" w:eastAsia="仿宋_GB2312" w:cs="仿宋_GB2312"/>
                <w:snapToGrid w:val="0"/>
                <w:color w:val="000000"/>
                <w:sz w:val="24"/>
                <w:szCs w:val="21"/>
                <w:lang w:val="en-US" w:eastAsia="zh-CN" w:bidi="ar-SA"/>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tcPr>
          <w:p w14:paraId="2856DFA6">
            <w:pPr>
              <w:pageBreakBefore w:val="0"/>
              <w:widowControl w:val="0"/>
              <w:wordWrap/>
              <w:overflowPunct/>
              <w:topLinePunct w:val="0"/>
              <w:bidi w:val="0"/>
              <w:spacing w:before="253" w:line="219" w:lineRule="auto"/>
              <w:ind w:firstLine="240" w:firstLineChars="100"/>
              <w:rPr>
                <w:rFonts w:hint="default" w:ascii="仿宋_GB2312" w:hAnsi="仿宋_GB2312" w:eastAsia="仿宋_GB2312" w:cs="仿宋_GB2312"/>
                <w:snapToGrid w:val="0"/>
                <w:color w:val="000000"/>
                <w:sz w:val="24"/>
                <w:szCs w:val="21"/>
                <w:lang w:val="en-US" w:eastAsia="zh-CN" w:bidi="ar-SA"/>
              </w:rPr>
            </w:pPr>
            <w:r>
              <w:rPr>
                <w:rFonts w:hint="default" w:ascii="仿宋_GB2312" w:hAnsi="仿宋_GB2312" w:eastAsia="仿宋_GB2312" w:cs="仿宋_GB2312"/>
                <w:snapToGrid w:val="0"/>
                <w:color w:val="000000"/>
                <w:sz w:val="24"/>
                <w:szCs w:val="21"/>
                <w:lang w:val="en-US" w:eastAsia="zh-CN" w:bidi="ar-SA"/>
              </w:rPr>
              <w:t>实际签订合同至2026年12月31日（具体以实际签订合同为准）</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tcPr>
          <w:p w14:paraId="4BB6DCE7">
            <w:pPr>
              <w:pageBreakBefore w:val="0"/>
              <w:widowControl w:val="0"/>
              <w:wordWrap/>
              <w:overflowPunct/>
              <w:topLinePunct w:val="0"/>
              <w:bidi w:val="0"/>
              <w:spacing w:before="253" w:line="219" w:lineRule="auto"/>
              <w:ind w:left="1188"/>
              <w:rPr>
                <w:rFonts w:hint="eastAsia" w:ascii="仿宋_GB2312" w:hAnsi="仿宋_GB2312" w:eastAsia="仿宋_GB2312" w:cs="仿宋_GB2312"/>
                <w:snapToGrid w:val="0"/>
                <w:color w:val="000000"/>
                <w:sz w:val="24"/>
                <w:szCs w:val="21"/>
                <w:lang w:val="en-US" w:eastAsia="en-US" w:bidi="ar-SA"/>
              </w:rPr>
            </w:pPr>
          </w:p>
          <w:p w14:paraId="111C05C8">
            <w:pPr>
              <w:pageBreakBefore w:val="0"/>
              <w:widowControl w:val="0"/>
              <w:wordWrap/>
              <w:overflowPunct/>
              <w:topLinePunct w:val="0"/>
              <w:bidi w:val="0"/>
              <w:spacing w:before="253" w:line="219" w:lineRule="auto"/>
              <w:rPr>
                <w:rFonts w:hint="eastAsia" w:ascii="仿宋_GB2312" w:hAnsi="仿宋_GB2312" w:eastAsia="仿宋_GB2312" w:cs="仿宋_GB2312"/>
                <w:snapToGrid w:val="0"/>
                <w:color w:val="000000"/>
                <w:sz w:val="24"/>
                <w:szCs w:val="21"/>
                <w:lang w:val="en-US" w:eastAsia="zh-CN" w:bidi="ar-SA"/>
              </w:rPr>
            </w:pPr>
            <w:r>
              <w:rPr>
                <w:rFonts w:hint="eastAsia" w:ascii="仿宋_GB2312" w:hAnsi="仿宋_GB2312" w:eastAsia="仿宋_GB2312" w:cs="仿宋_GB2312"/>
                <w:snapToGrid w:val="0"/>
                <w:color w:val="000000"/>
                <w:sz w:val="24"/>
                <w:szCs w:val="21"/>
                <w:lang w:val="en-US" w:eastAsia="zh-CN" w:bidi="ar-SA"/>
              </w:rPr>
              <w:t xml:space="preserve"> </w:t>
            </w:r>
            <w:r>
              <w:rPr>
                <w:rFonts w:hint="eastAsia" w:ascii="仿宋_GB2312" w:hAnsi="仿宋_GB2312" w:eastAsia="仿宋_GB2312" w:cs="仿宋_GB2312"/>
                <w:snapToGrid w:val="0"/>
                <w:color w:val="000000"/>
                <w:sz w:val="24"/>
                <w:szCs w:val="21"/>
                <w:lang w:val="en-US" w:eastAsia="en-US" w:bidi="ar-SA"/>
              </w:rPr>
              <w:t>抚州站8个监测点（临川区、崇仁县、宜黄县、南城县、资溪县、南丰县、黎川县、广昌县）</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62C91BD2">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tcPr>
          <w:p w14:paraId="350793D5">
            <w:pPr>
              <w:pStyle w:val="10"/>
              <w:pageBreakBefore w:val="0"/>
              <w:widowControl w:val="0"/>
              <w:wordWrap/>
              <w:overflowPunct/>
              <w:topLinePunct w:val="0"/>
              <w:bidi w:val="0"/>
              <w:rPr>
                <w:color w:val="auto"/>
                <w:highlight w:val="none"/>
              </w:rPr>
            </w:pPr>
          </w:p>
        </w:tc>
      </w:tr>
    </w:tbl>
    <w:p w14:paraId="4F86D054">
      <w:pPr>
        <w:pageBreakBefore w:val="0"/>
        <w:widowControl w:val="0"/>
        <w:wordWrap/>
        <w:overflowPunct/>
        <w:topLinePunct w:val="0"/>
        <w:bidi w:val="0"/>
        <w:spacing w:line="360" w:lineRule="auto"/>
        <w:rPr>
          <w:color w:val="auto"/>
          <w:highlight w:val="none"/>
        </w:rPr>
      </w:pPr>
    </w:p>
    <w:p w14:paraId="0C0723DB">
      <w:pPr>
        <w:pageBreakBefore w:val="0"/>
        <w:widowControl w:val="0"/>
        <w:wordWrap/>
        <w:overflowPunct/>
        <w:topLinePunct w:val="0"/>
        <w:bidi w:val="0"/>
        <w:spacing w:line="360" w:lineRule="auto"/>
        <w:rPr>
          <w:color w:val="auto"/>
          <w:highlight w:val="none"/>
        </w:rPr>
        <w:sectPr>
          <w:footerReference r:id="rId3"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47" w:line="360" w:lineRule="auto"/>
        <w:ind w:left="3805"/>
        <w:outlineLvl w:val="1"/>
        <w:rPr>
          <w:rFonts w:ascii="宋体" w:hAnsi="宋体" w:eastAsia="宋体" w:cs="宋体"/>
          <w:color w:val="auto"/>
          <w:sz w:val="24"/>
          <w:szCs w:val="24"/>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D258939">
      <w:pPr>
        <w:pageBreakBefore w:val="0"/>
        <w:widowControl w:val="0"/>
        <w:wordWrap/>
        <w:overflowPunct/>
        <w:topLinePunct w:val="0"/>
        <w:bidi w:val="0"/>
        <w:spacing w:line="360" w:lineRule="auto"/>
        <w:rPr>
          <w:color w:val="auto"/>
          <w:highlight w:val="none"/>
        </w:rPr>
      </w:pPr>
    </w:p>
    <w:p w14:paraId="6EF4E5D2">
      <w:pPr>
        <w:pageBreakBefore w:val="0"/>
        <w:widowControl w:val="0"/>
        <w:wordWrap/>
        <w:overflowPunct/>
        <w:topLinePunct w:val="0"/>
        <w:bidi w:val="0"/>
        <w:spacing w:line="360" w:lineRule="auto"/>
        <w:rPr>
          <w:color w:val="auto"/>
          <w:highlight w:val="none"/>
        </w:rPr>
      </w:pPr>
    </w:p>
    <w:p w14:paraId="0D9C0787">
      <w:pPr>
        <w:pageBreakBefore w:val="0"/>
        <w:widowControl w:val="0"/>
        <w:wordWrap/>
        <w:overflowPunct/>
        <w:topLinePunct w:val="0"/>
        <w:bidi w:val="0"/>
        <w:spacing w:line="360" w:lineRule="auto"/>
        <w:rPr>
          <w:color w:val="auto"/>
          <w:highlight w:val="none"/>
        </w:rPr>
      </w:pPr>
    </w:p>
    <w:p w14:paraId="213747FE">
      <w:pPr>
        <w:pageBreakBefore w:val="0"/>
        <w:widowControl w:val="0"/>
        <w:wordWrap/>
        <w:overflowPunct/>
        <w:topLinePunct w:val="0"/>
        <w:bidi w:val="0"/>
        <w:spacing w:before="78" w:line="360"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4A134F56">
      <w:pPr>
        <w:pageBreakBefore w:val="0"/>
        <w:widowControl w:val="0"/>
        <w:wordWrap/>
        <w:overflowPunct/>
        <w:topLinePunct w:val="0"/>
        <w:bidi w:val="0"/>
        <w:spacing w:line="360" w:lineRule="auto"/>
        <w:rPr>
          <w:color w:val="auto"/>
          <w:sz w:val="24"/>
          <w:szCs w:val="24"/>
          <w:highlight w:val="none"/>
        </w:rPr>
      </w:pPr>
    </w:p>
    <w:p w14:paraId="4CFBF967">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1．供应商须按照江西省水生生物保护救助中心（江西站）的要求，对抚州站8个监测点（临川区、崇仁县、宜黄县、南城县、资溪县、南丰县、黎川县、广昌县）的水生生物资源进行调查监测。每个监测点的水环境与水生生物资源调查都需要设置不少于3个监测断面，在水生生物主要繁殖期（4-7月）、索饵期（9-11月）各开展一次监测，每次各监测点的监测时间不少于10天或9个监测频次，即每次监测时间不少于80天或72个监测频次，全年不少于160天或144个监测频次。</w:t>
      </w:r>
    </w:p>
    <w:p w14:paraId="2120CE0A">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注：一个监测频次为某个监测断面使用1套监测网具（包括1、3、5、7指三层复合刺网4张以及1个地笼等网具）捕捞12小时以上。</w:t>
      </w:r>
    </w:p>
    <w:p w14:paraId="28D1E7F0">
      <w:pPr>
        <w:pStyle w:val="5"/>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2．供应商须按照省水生生物保护救助中心（江西站）的要求，按时按质完成抚州站水生生物的数据和照片上传、标本移交以及报告编制等相关工作，具体内容包括：</w:t>
      </w:r>
    </w:p>
    <w:p w14:paraId="544AB592">
      <w:pPr>
        <w:pStyle w:val="5"/>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1）每个监测点的水样采集与水环境指标（包括：温度、pH、溶解氧、透明度、电导率、溶解性总固体、高锰酸盐指数、氨氮、总氮、总磷、石油类、挥发酚、铜、叶绿素a）检测。其中，水环境检测结果需要提供有检测资质单位盖章的检测报告。</w:t>
      </w:r>
    </w:p>
    <w:p w14:paraId="207892C1">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（2）每个监测点的浮游植物、浮游动物和底栖动物的定性、定量采集与鉴定，以及浮游植物、浮游动物和底栖动物的种类与多样性、密度与生物量等资源状况分析。</w:t>
      </w:r>
    </w:p>
    <w:p w14:paraId="28EAEB70">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（3）每个监测点的鱼类采集、鉴定、测量、称重、统计、照片拍摄、标本制作，以及鱼类物种组成、群落结构与资源状况分析。</w:t>
      </w:r>
    </w:p>
    <w:p w14:paraId="49F435AA">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（4）根据江西站的要求，上传抚州站水生生物数据和照片、移交抚州站水生生物标本、编制抚州站（包含2个国家级水产种质资源保护区）水生生物监测报告等。</w:t>
      </w:r>
    </w:p>
    <w:p w14:paraId="081EA3B4">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（5）另外，还需完成江西站等相关部门提出的、与抚州站水生生物资源监测有关的其他工作内容。</w:t>
      </w:r>
    </w:p>
    <w:p w14:paraId="0B2B636A">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3．本次监测期间，供应商根据采购方要求开展重点水域（如水产种质资源保护区等）的鱼类资源水声学探测。</w:t>
      </w:r>
    </w:p>
    <w:p w14:paraId="51B2AFEA">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4．供应商根据相关监测数据，完成本年度的成果产出。</w:t>
      </w:r>
    </w:p>
    <w:p w14:paraId="59620139">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5．编制的抚州站（包含2个国家级水产种质资源保护区）水生生物资源监测报告通过专家验收，提交的水生生物数据、照片和标本等通过江西站审核，以及完成本年度的成果产出，方为完成了本次采购的委托服务内容。</w:t>
      </w:r>
    </w:p>
    <w:p w14:paraId="2A59F75D">
      <w:pPr>
        <w:spacing w:line="360" w:lineRule="auto"/>
        <w:ind w:firstLine="480" w:firstLineChars="200"/>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6.中标供应商需按照监测要求自行准备每个监测点的网具（规格和数量需符合江西站制定的技术规范）、船只、标识标牌、设备、试剂等、，自行联系每个监测点的农业农村局等相关职能部门，做好监测工作正常开展的衔接、社会舆情、安全保障与后勤等工作。</w:t>
      </w:r>
    </w:p>
    <w:p w14:paraId="56BFA3B8">
      <w:pPr>
        <w:pStyle w:val="4"/>
        <w:bidi w:val="0"/>
        <w:spacing w:line="360" w:lineRule="auto"/>
        <w:ind w:firstLine="238"/>
        <w:rPr>
          <w:rFonts w:hint="eastAsia" w:ascii="宋体" w:hAnsi="宋体" w:eastAsia="宋体" w:cs="宋体"/>
          <w:b/>
          <w:bCs/>
          <w:color w:val="auto"/>
          <w:sz w:val="24"/>
          <w:szCs w:val="24"/>
        </w:rPr>
        <w:sectPr>
          <w:footerReference r:id="rId4" w:type="default"/>
          <w:pgSz w:w="11906" w:h="16839"/>
          <w:pgMar w:top="1429" w:right="1786" w:bottom="1429" w:left="1786" w:header="0" w:footer="994" w:gutter="0"/>
          <w:cols w:space="720" w:num="1"/>
        </w:sectPr>
      </w:pPr>
      <w:r>
        <w:rPr>
          <w:rFonts w:hint="eastAsia" w:ascii="宋体" w:hAnsi="宋体" w:eastAsia="宋体" w:cs="宋体"/>
          <w:b/>
          <w:bCs/>
          <w:color w:val="auto"/>
          <w:spacing w:val="-2"/>
          <w:position w:val="16"/>
          <w:sz w:val="24"/>
          <w:szCs w:val="24"/>
          <w:highlight w:val="white"/>
        </w:rPr>
        <w:t>注：以上所有采购需求、</w:t>
      </w:r>
      <w:r>
        <w:rPr>
          <w:rFonts w:hint="eastAsia" w:ascii="宋体" w:hAnsi="宋体" w:eastAsia="宋体" w:cs="宋体"/>
          <w:b/>
          <w:bCs/>
          <w:color w:val="auto"/>
          <w:spacing w:val="-2"/>
          <w:position w:val="16"/>
          <w:sz w:val="24"/>
          <w:szCs w:val="24"/>
          <w:highlight w:val="white"/>
          <w:lang w:eastAsia="zh-CN"/>
        </w:rPr>
        <w:t>服务</w:t>
      </w:r>
      <w:r>
        <w:rPr>
          <w:rFonts w:hint="eastAsia" w:ascii="宋体" w:hAnsi="宋体" w:eastAsia="宋体" w:cs="宋体"/>
          <w:b/>
          <w:bCs/>
          <w:color w:val="auto"/>
          <w:spacing w:val="-2"/>
          <w:position w:val="16"/>
          <w:sz w:val="24"/>
          <w:szCs w:val="24"/>
          <w:highlight w:val="white"/>
        </w:rPr>
        <w:t>要求内容都必须满足，否则视为无效响应。</w:t>
      </w:r>
    </w:p>
    <w:p w14:paraId="52514FED">
      <w:pPr>
        <w:pStyle w:val="5"/>
        <w:rPr>
          <w:rFonts w:hint="eastAsia"/>
        </w:rPr>
      </w:pPr>
    </w:p>
    <w:p w14:paraId="3C5E9767">
      <w:pPr>
        <w:pageBreakBefore w:val="0"/>
        <w:widowControl w:val="0"/>
        <w:wordWrap/>
        <w:overflowPunct/>
        <w:topLinePunct w:val="0"/>
        <w:bidi w:val="0"/>
        <w:spacing w:line="242" w:lineRule="auto"/>
        <w:rPr>
          <w:color w:val="auto"/>
          <w:highlight w:val="none"/>
        </w:rPr>
      </w:pPr>
    </w:p>
    <w:p w14:paraId="50544940">
      <w:pPr>
        <w:pageBreakBefore w:val="0"/>
        <w:widowControl w:val="0"/>
        <w:wordWrap/>
        <w:overflowPunct/>
        <w:topLinePunct w:val="0"/>
        <w:bidi w:val="0"/>
        <w:spacing w:line="242" w:lineRule="auto"/>
        <w:rPr>
          <w:color w:val="auto"/>
          <w:highlight w:val="none"/>
        </w:rPr>
      </w:pPr>
    </w:p>
    <w:p w14:paraId="025077BE">
      <w:pPr>
        <w:pageBreakBefore w:val="0"/>
        <w:widowControl w:val="0"/>
        <w:wordWrap/>
        <w:overflowPunct/>
        <w:topLinePunct w:val="0"/>
        <w:bidi w:val="0"/>
        <w:spacing w:line="242" w:lineRule="auto"/>
        <w:rPr>
          <w:color w:val="auto"/>
          <w:highlight w:val="none"/>
        </w:rPr>
      </w:pPr>
    </w:p>
    <w:p w14:paraId="6CD0063E">
      <w:pPr>
        <w:pageBreakBefore w:val="0"/>
        <w:widowControl w:val="0"/>
        <w:numPr>
          <w:ilvl w:val="0"/>
          <w:numId w:val="1"/>
        </w:numPr>
        <w:wordWrap/>
        <w:overflowPunct/>
        <w:topLinePunct w:val="0"/>
        <w:bidi w:val="0"/>
        <w:spacing w:before="78" w:line="219" w:lineRule="auto"/>
        <w:rPr>
          <w:rFonts w:ascii="宋体" w:hAnsi="宋体" w:eastAsia="宋体" w:cs="宋体"/>
          <w:b/>
          <w:bCs/>
          <w:color w:val="auto"/>
          <w:spacing w:val="-6"/>
          <w:sz w:val="24"/>
          <w:szCs w:val="24"/>
          <w:highlight w:val="none"/>
          <w:lang w:eastAsia="zh-CN"/>
        </w:rPr>
      </w:pPr>
      <w:r>
        <w:rPr>
          <w:rFonts w:ascii="宋体" w:hAnsi="宋体" w:eastAsia="宋体" w:cs="宋体"/>
          <w:b/>
          <w:bCs/>
          <w:color w:val="auto"/>
          <w:spacing w:val="-6"/>
          <w:sz w:val="24"/>
          <w:szCs w:val="24"/>
          <w:highlight w:val="none"/>
          <w:lang w:eastAsia="zh-CN"/>
        </w:rPr>
        <w:t>商务条件</w:t>
      </w:r>
    </w:p>
    <w:p w14:paraId="5E68D030">
      <w:pPr>
        <w:pStyle w:val="5"/>
        <w:rPr>
          <w:lang w:eastAsia="zh-CN"/>
        </w:rPr>
      </w:pPr>
    </w:p>
    <w:p w14:paraId="180B77B1">
      <w:pPr>
        <w:pStyle w:val="5"/>
        <w:numPr>
          <w:ilvl w:val="0"/>
          <w:numId w:val="2"/>
        </w:numPr>
        <w:spacing w:line="360" w:lineRule="auto"/>
        <w:ind w:left="0" w:leftChars="0" w:firstLine="400" w:firstLineChars="0"/>
        <w:rPr>
          <w:rFonts w:hint="default" w:ascii="Arial" w:hAnsi="Arial" w:eastAsia="Arial" w:cs="Arial"/>
          <w:snapToGrid w:val="0"/>
          <w:color w:val="auto"/>
          <w:kern w:val="0"/>
          <w:sz w:val="24"/>
          <w:szCs w:val="24"/>
          <w:highlight w:val="none"/>
          <w:lang w:val="en-US" w:eastAsia="zh-CN" w:bidi="ar-SA"/>
        </w:rPr>
      </w:pPr>
      <w:r>
        <w:rPr>
          <w:rFonts w:hint="eastAsia" w:ascii="Arial" w:hAnsi="Arial" w:cs="Arial"/>
          <w:snapToGrid w:val="0"/>
          <w:color w:val="auto"/>
          <w:kern w:val="0"/>
          <w:sz w:val="24"/>
          <w:szCs w:val="24"/>
          <w:highlight w:val="none"/>
          <w:lang w:val="en-US" w:eastAsia="zh-CN" w:bidi="ar-SA"/>
        </w:rPr>
        <w:t>服务期：实际签订合同至2026年12月31日</w:t>
      </w:r>
      <w:r>
        <w:rPr>
          <w:rFonts w:hint="eastAsia" w:ascii="宋体" w:hAnsi="宋体" w:eastAsia="宋体" w:cs="宋体"/>
          <w:color w:val="auto"/>
          <w:spacing w:val="0"/>
          <w:position w:val="0"/>
          <w:sz w:val="24"/>
          <w:szCs w:val="24"/>
          <w:highlight w:val="none"/>
          <w:u w:val="none"/>
          <w:lang w:val="en-US" w:eastAsia="zh-CN"/>
        </w:rPr>
        <w:t>（具体以实际签订合同为准）。</w:t>
      </w:r>
    </w:p>
    <w:p w14:paraId="7070A835">
      <w:pPr>
        <w:pStyle w:val="5"/>
        <w:numPr>
          <w:ilvl w:val="0"/>
          <w:numId w:val="2"/>
        </w:numPr>
        <w:spacing w:line="360" w:lineRule="auto"/>
        <w:ind w:left="0" w:leftChars="0" w:firstLine="400" w:firstLineChars="0"/>
        <w:rPr>
          <w:rFonts w:hint="eastAsia" w:ascii="Arial" w:hAnsi="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服务地点：抚州站8个监测点（临川区、崇仁县、宜黄县、南城县、资溪县、南丰县、黎川县、广昌县）</w:t>
      </w:r>
      <w:r>
        <w:rPr>
          <w:rFonts w:hint="eastAsia" w:ascii="Arial" w:hAnsi="Arial" w:cs="Arial"/>
          <w:snapToGrid w:val="0"/>
          <w:color w:val="auto"/>
          <w:kern w:val="0"/>
          <w:sz w:val="24"/>
          <w:szCs w:val="24"/>
          <w:highlight w:val="none"/>
          <w:lang w:val="en-US" w:eastAsia="zh-CN" w:bidi="ar-SA"/>
        </w:rPr>
        <w:t>。</w:t>
      </w:r>
    </w:p>
    <w:p w14:paraId="35088FE1">
      <w:pPr>
        <w:pageBreakBefore w:val="0"/>
        <w:widowControl w:val="0"/>
        <w:numPr>
          <w:ilvl w:val="0"/>
          <w:numId w:val="2"/>
        </w:numPr>
        <w:wordWrap/>
        <w:overflowPunct/>
        <w:topLinePunct w:val="0"/>
        <w:bidi w:val="0"/>
        <w:spacing w:line="360" w:lineRule="auto"/>
        <w:ind w:left="0" w:leftChars="0" w:firstLine="400" w:firstLineChars="0"/>
        <w:rPr>
          <w:rFonts w:hint="eastAsia"/>
          <w:color w:val="auto"/>
          <w:sz w:val="24"/>
          <w:szCs w:val="24"/>
          <w:highlight w:val="none"/>
          <w:lang w:eastAsia="zh-CN"/>
        </w:rPr>
      </w:pPr>
      <w:r>
        <w:rPr>
          <w:rFonts w:hint="eastAsia"/>
          <w:color w:val="auto"/>
          <w:sz w:val="24"/>
          <w:szCs w:val="24"/>
          <w:highlight w:val="none"/>
          <w:lang w:val="en-US" w:eastAsia="zh-CN"/>
        </w:rPr>
        <w:t>付款方式：</w:t>
      </w:r>
    </w:p>
    <w:p w14:paraId="5816FC9E">
      <w:pPr>
        <w:pStyle w:val="5"/>
        <w:numPr>
          <w:ilvl w:val="0"/>
          <w:numId w:val="0"/>
        </w:numPr>
        <w:spacing w:line="360" w:lineRule="auto"/>
        <w:ind w:left="400" w:leftChars="0" w:firstLine="480" w:firstLineChars="200"/>
        <w:jc w:val="both"/>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分两笔付款。第一笔中标方</w:t>
      </w:r>
      <w:r>
        <w:rPr>
          <w:rFonts w:hint="eastAsia" w:ascii="Arial" w:hAnsi="Arial" w:cs="Arial"/>
          <w:snapToGrid w:val="0"/>
          <w:color w:val="auto"/>
          <w:kern w:val="0"/>
          <w:sz w:val="24"/>
          <w:szCs w:val="24"/>
          <w:highlight w:val="none"/>
          <w:lang w:val="en-US" w:eastAsia="zh-CN" w:bidi="ar-SA"/>
        </w:rPr>
        <w:t>在2026年7月31日前必须完成上半年野外实地监测任务、</w:t>
      </w:r>
      <w:r>
        <w:rPr>
          <w:rFonts w:hint="eastAsia" w:ascii="Arial" w:hAnsi="Arial" w:eastAsia="Arial" w:cs="Arial"/>
          <w:snapToGrid w:val="0"/>
          <w:color w:val="auto"/>
          <w:kern w:val="0"/>
          <w:sz w:val="24"/>
          <w:szCs w:val="24"/>
          <w:highlight w:val="none"/>
          <w:lang w:val="en-US" w:eastAsia="zh-CN" w:bidi="ar-SA"/>
        </w:rPr>
        <w:t>并通过抚州市农科所组织技术人员验收以后支付40%中标额度（验收时间在2026年8月5日左右）；</w:t>
      </w:r>
    </w:p>
    <w:p w14:paraId="3B0BED8A">
      <w:pPr>
        <w:pStyle w:val="5"/>
        <w:numPr>
          <w:ilvl w:val="0"/>
          <w:numId w:val="0"/>
        </w:numPr>
        <w:spacing w:line="360" w:lineRule="auto"/>
        <w:ind w:left="400" w:leftChars="0" w:firstLine="480" w:firstLineChars="200"/>
        <w:jc w:val="both"/>
        <w:rPr>
          <w:rFonts w:hint="eastAsia" w:ascii="Arial" w:hAnsi="Arial" w:eastAsia="Arial" w:cs="Arial"/>
          <w:snapToGrid w:val="0"/>
          <w:color w:val="auto"/>
          <w:kern w:val="0"/>
          <w:sz w:val="24"/>
          <w:szCs w:val="24"/>
          <w:highlight w:val="none"/>
          <w:lang w:val="en-US" w:eastAsia="zh-CN" w:bidi="ar-SA"/>
        </w:rPr>
      </w:pPr>
      <w:r>
        <w:rPr>
          <w:rFonts w:hint="eastAsia" w:ascii="Arial" w:hAnsi="Arial" w:eastAsia="Arial" w:cs="Arial"/>
          <w:snapToGrid w:val="0"/>
          <w:color w:val="auto"/>
          <w:kern w:val="0"/>
          <w:sz w:val="24"/>
          <w:szCs w:val="24"/>
          <w:highlight w:val="none"/>
          <w:lang w:val="en-US" w:eastAsia="zh-CN" w:bidi="ar-SA"/>
        </w:rPr>
        <w:t>第二笔在完成全年的监测任务，编制的抚州站（包含2个国家级水产种质资源保护区）水生生物资源监测报告通过专家验收，提交的水生生物数据、照片和标本等通过江西站审核，以及完成本年度的成果产出后支付其余60%中标额度。</w:t>
      </w:r>
    </w:p>
    <w:p w14:paraId="694CE348">
      <w:pPr>
        <w:numPr>
          <w:ilvl w:val="0"/>
          <w:numId w:val="0"/>
        </w:numPr>
        <w:bidi w:val="0"/>
        <w:spacing w:line="459" w:lineRule="exact"/>
        <w:ind w:left="400" w:leftChars="0"/>
        <w:jc w:val="both"/>
        <w:rPr>
          <w:rFonts w:hint="default"/>
          <w:b/>
          <w:bCs/>
          <w:highlight w:val="none"/>
          <w:lang w:val="en-US" w:eastAsia="zh-CN"/>
        </w:rPr>
      </w:pPr>
      <w:r>
        <w:rPr>
          <w:rFonts w:hint="eastAsia" w:ascii="宋体" w:hAnsi="宋体" w:cs="宋体"/>
          <w:b/>
          <w:bCs/>
          <w:color w:val="auto"/>
          <w:spacing w:val="-2"/>
          <w:position w:val="16"/>
          <w:sz w:val="24"/>
          <w:szCs w:val="24"/>
          <w:highlight w:val="none"/>
        </w:rPr>
        <w:t>注</w:t>
      </w:r>
      <w:r>
        <w:rPr>
          <w:rFonts w:ascii="宋体" w:hAnsi="宋体" w:cs="宋体"/>
          <w:b/>
          <w:bCs/>
          <w:color w:val="auto"/>
          <w:spacing w:val="-2"/>
          <w:position w:val="16"/>
          <w:sz w:val="24"/>
          <w:szCs w:val="24"/>
          <w:highlight w:val="none"/>
        </w:rPr>
        <w:t>：付款前成交供应商</w:t>
      </w:r>
      <w:r>
        <w:rPr>
          <w:rFonts w:ascii="宋体" w:hAnsi="宋体" w:eastAsia="宋体" w:cs="宋体"/>
          <w:b/>
          <w:bCs/>
          <w:color w:val="auto"/>
          <w:spacing w:val="-2"/>
          <w:position w:val="16"/>
          <w:sz w:val="24"/>
          <w:szCs w:val="24"/>
          <w:highlight w:val="none"/>
        </w:rPr>
        <w:t>需开具正式发票(以银行开出的汇票或支票日期为准)</w:t>
      </w:r>
      <w:r>
        <w:rPr>
          <w:rFonts w:hint="eastAsia" w:ascii="宋体" w:hAnsi="宋体" w:eastAsia="宋体" w:cs="宋体"/>
          <w:b/>
          <w:bCs/>
          <w:color w:val="auto"/>
          <w:spacing w:val="-2"/>
          <w:position w:val="16"/>
          <w:sz w:val="24"/>
          <w:szCs w:val="24"/>
          <w:highlight w:val="none"/>
          <w:lang w:val="en-US" w:eastAsia="zh-CN"/>
        </w:rPr>
        <w:t>，否则甲方有权拒绝付款并不承担任何责任</w:t>
      </w:r>
      <w:r>
        <w:rPr>
          <w:rFonts w:ascii="宋体" w:hAnsi="宋体" w:eastAsia="宋体" w:cs="宋体"/>
          <w:b/>
          <w:bCs/>
          <w:color w:val="auto"/>
          <w:spacing w:val="-2"/>
          <w:position w:val="16"/>
          <w:sz w:val="24"/>
          <w:szCs w:val="24"/>
          <w:highlight w:val="none"/>
        </w:rPr>
        <w:t>。</w:t>
      </w:r>
    </w:p>
    <w:p w14:paraId="09396314">
      <w:pPr>
        <w:pageBreakBefore w:val="0"/>
        <w:widowControl w:val="0"/>
        <w:numPr>
          <w:ilvl w:val="0"/>
          <w:numId w:val="2"/>
        </w:numPr>
        <w:wordWrap/>
        <w:overflowPunct/>
        <w:topLinePunct w:val="0"/>
        <w:bidi w:val="0"/>
        <w:spacing w:line="360" w:lineRule="auto"/>
        <w:ind w:left="0" w:leftChars="0" w:firstLine="400" w:firstLineChars="0"/>
        <w:rPr>
          <w:rFonts w:hint="eastAsia"/>
          <w:color w:val="auto"/>
          <w:sz w:val="24"/>
          <w:szCs w:val="24"/>
          <w:highlight w:val="none"/>
          <w:lang w:val="en-US" w:eastAsia="zh-CN"/>
        </w:rPr>
      </w:pPr>
      <w:r>
        <w:rPr>
          <w:rFonts w:hint="eastAsia"/>
          <w:color w:val="auto"/>
          <w:sz w:val="24"/>
          <w:szCs w:val="24"/>
          <w:highlight w:val="none"/>
          <w:lang w:val="en-US" w:eastAsia="zh-CN"/>
        </w:rPr>
        <w:t>违约责任</w:t>
      </w:r>
    </w:p>
    <w:p w14:paraId="7E0C3265">
      <w:pPr>
        <w:numPr>
          <w:ilvl w:val="0"/>
          <w:numId w:val="0"/>
        </w:numPr>
        <w:bidi w:val="0"/>
        <w:spacing w:line="459" w:lineRule="exact"/>
        <w:ind w:left="399" w:leftChars="190" w:firstLine="238" w:firstLineChars="101"/>
        <w:rPr>
          <w:rFonts w:hint="eastAsia"/>
          <w:highlight w:val="none"/>
          <w:lang w:val="en-US" w:eastAsia="zh-CN"/>
        </w:rPr>
      </w:pPr>
      <w:r>
        <w:rPr>
          <w:rFonts w:ascii="宋体" w:hAnsi="宋体" w:cs="宋体"/>
          <w:color w:val="auto"/>
          <w:spacing w:val="-2"/>
          <w:position w:val="16"/>
          <w:sz w:val="24"/>
          <w:szCs w:val="24"/>
          <w:highlight w:val="none"/>
        </w:rPr>
        <w:t>凡有下列情况之一的，不通过验收</w:t>
      </w:r>
      <w:r>
        <w:rPr>
          <w:rFonts w:hint="eastAsia" w:ascii="宋体" w:hAnsi="宋体" w:cs="宋体"/>
          <w:color w:val="auto"/>
          <w:spacing w:val="-2"/>
          <w:position w:val="16"/>
          <w:sz w:val="24"/>
          <w:szCs w:val="24"/>
          <w:highlight w:val="none"/>
        </w:rPr>
        <w:t>，情节严重</w:t>
      </w:r>
      <w:r>
        <w:rPr>
          <w:rFonts w:ascii="宋体" w:hAnsi="宋体" w:cs="宋体"/>
          <w:color w:val="auto"/>
          <w:spacing w:val="-2"/>
          <w:position w:val="16"/>
          <w:sz w:val="24"/>
          <w:szCs w:val="24"/>
          <w:highlight w:val="none"/>
        </w:rPr>
        <w:t>采购人有权终止合同。</w:t>
      </w:r>
    </w:p>
    <w:p w14:paraId="151B83F7">
      <w:pPr>
        <w:numPr>
          <w:ilvl w:val="0"/>
          <w:numId w:val="3"/>
        </w:numPr>
        <w:bidi w:val="0"/>
        <w:spacing w:line="459" w:lineRule="exact"/>
        <w:ind w:left="399" w:leftChars="190" w:firstLine="238" w:firstLineChars="101"/>
        <w:rPr>
          <w:rFonts w:hint="eastAsia" w:ascii="宋体" w:hAnsi="宋体" w:cs="宋体"/>
          <w:color w:val="auto"/>
          <w:spacing w:val="-2"/>
          <w:position w:val="16"/>
          <w:sz w:val="24"/>
          <w:szCs w:val="24"/>
          <w:highlight w:val="none"/>
        </w:rPr>
      </w:pPr>
      <w:r>
        <w:rPr>
          <w:rFonts w:hint="eastAsia" w:ascii="宋体" w:hAnsi="宋体" w:cs="宋体"/>
          <w:color w:val="auto"/>
          <w:spacing w:val="-2"/>
          <w:position w:val="16"/>
          <w:sz w:val="24"/>
          <w:szCs w:val="24"/>
          <w:highlight w:val="none"/>
        </w:rPr>
        <w:t>未按合同规定完成服务内容；</w:t>
      </w:r>
    </w:p>
    <w:p w14:paraId="50BBE80F">
      <w:pPr>
        <w:numPr>
          <w:ilvl w:val="0"/>
          <w:numId w:val="3"/>
        </w:numPr>
        <w:bidi w:val="0"/>
        <w:spacing w:line="459" w:lineRule="exact"/>
        <w:ind w:left="399" w:leftChars="190" w:firstLine="238" w:firstLineChars="101"/>
        <w:rPr>
          <w:rFonts w:hint="eastAsia" w:ascii="宋体" w:hAnsi="宋体" w:cs="宋体"/>
          <w:color w:val="auto"/>
          <w:spacing w:val="-2"/>
          <w:position w:val="16"/>
          <w:sz w:val="24"/>
          <w:szCs w:val="24"/>
          <w:highlight w:val="none"/>
        </w:rPr>
      </w:pPr>
      <w:r>
        <w:rPr>
          <w:rFonts w:hint="eastAsia" w:ascii="宋体" w:hAnsi="宋体" w:cs="宋体"/>
          <w:color w:val="auto"/>
          <w:spacing w:val="-2"/>
          <w:position w:val="16"/>
          <w:sz w:val="24"/>
          <w:szCs w:val="24"/>
          <w:highlight w:val="none"/>
        </w:rPr>
        <w:t>提供的验收资料不全或不真实的；</w:t>
      </w:r>
    </w:p>
    <w:p w14:paraId="34BD0C03">
      <w:pPr>
        <w:numPr>
          <w:ilvl w:val="0"/>
          <w:numId w:val="3"/>
        </w:numPr>
        <w:bidi w:val="0"/>
        <w:spacing w:line="459" w:lineRule="exact"/>
        <w:ind w:left="399" w:leftChars="190" w:firstLine="238" w:firstLineChars="101"/>
        <w:rPr>
          <w:rFonts w:hint="eastAsia" w:ascii="宋体" w:hAnsi="宋体" w:cs="宋体"/>
          <w:color w:val="auto"/>
          <w:spacing w:val="-2"/>
          <w:position w:val="16"/>
          <w:sz w:val="24"/>
          <w:szCs w:val="24"/>
          <w:highlight w:val="none"/>
          <w:lang w:eastAsia="zh-CN"/>
        </w:rPr>
      </w:pPr>
      <w:r>
        <w:rPr>
          <w:rFonts w:hint="eastAsia" w:ascii="宋体" w:hAnsi="宋体" w:cs="宋体"/>
          <w:color w:val="auto"/>
          <w:spacing w:val="-2"/>
          <w:position w:val="16"/>
          <w:sz w:val="24"/>
          <w:szCs w:val="24"/>
          <w:highlight w:val="none"/>
          <w:lang w:val="en-US" w:eastAsia="zh-CN"/>
        </w:rPr>
        <w:t>若中标方2026年8月5日前监测项目未通过抚州市农科所组织技术人员开展的验收，采购方有权不支付该40%款项，终止下半年监测任务，并对供应商处以合同金额的20%数额进行罚款。</w:t>
      </w:r>
    </w:p>
    <w:p w14:paraId="0B26A66E">
      <w:pPr>
        <w:numPr>
          <w:ilvl w:val="0"/>
          <w:numId w:val="3"/>
        </w:numPr>
        <w:bidi w:val="0"/>
        <w:spacing w:line="459" w:lineRule="exact"/>
        <w:ind w:left="399" w:leftChars="190" w:firstLine="238" w:firstLineChars="101"/>
        <w:rPr>
          <w:rFonts w:hint="eastAsia" w:ascii="宋体" w:hAnsi="宋体" w:cs="宋体"/>
          <w:color w:val="auto"/>
          <w:spacing w:val="-2"/>
          <w:position w:val="16"/>
          <w:sz w:val="24"/>
          <w:szCs w:val="24"/>
          <w:highlight w:val="none"/>
          <w:lang w:val="en-US" w:eastAsia="zh-CN"/>
        </w:rPr>
      </w:pPr>
      <w:r>
        <w:rPr>
          <w:rFonts w:hint="eastAsia" w:ascii="宋体" w:hAnsi="宋体" w:cs="宋体"/>
          <w:color w:val="auto"/>
          <w:spacing w:val="-2"/>
          <w:position w:val="16"/>
          <w:sz w:val="24"/>
          <w:szCs w:val="24"/>
          <w:highlight w:val="none"/>
          <w:lang w:val="en-US" w:eastAsia="zh-CN"/>
        </w:rPr>
        <w:t>若中标方已完成上半年监测任务并通过抚州市农科所组织技术人员开展的验收，但未完成全年监测任务，或未通过专家验收，或提交的水生生物数据、照片及标本等未通过江西站审核，采购人可以拒绝验收。供应商必须无条件退回采购人支付的资金，采购人有权解除合同，并对供应商处以合同金额的20%数额进行罚款。</w:t>
      </w:r>
    </w:p>
    <w:p w14:paraId="2B114732">
      <w:pPr>
        <w:numPr>
          <w:ilvl w:val="0"/>
          <w:numId w:val="3"/>
        </w:numPr>
        <w:bidi w:val="0"/>
        <w:spacing w:line="459" w:lineRule="exact"/>
        <w:ind w:left="399" w:leftChars="190" w:firstLine="238" w:firstLineChars="101"/>
        <w:rPr>
          <w:rFonts w:hint="eastAsia" w:ascii="宋体" w:hAnsi="宋体" w:cs="宋体"/>
          <w:color w:val="auto"/>
          <w:spacing w:val="-2"/>
          <w:position w:val="16"/>
          <w:sz w:val="24"/>
          <w:szCs w:val="24"/>
          <w:highlight w:val="none"/>
          <w:lang w:val="en-US" w:eastAsia="zh-CN"/>
        </w:rPr>
      </w:pPr>
      <w:r>
        <w:rPr>
          <w:rFonts w:hint="eastAsia" w:ascii="宋体" w:hAnsi="宋体" w:cs="宋体"/>
          <w:color w:val="auto"/>
          <w:spacing w:val="-2"/>
          <w:position w:val="16"/>
          <w:sz w:val="24"/>
          <w:szCs w:val="24"/>
          <w:highlight w:val="none"/>
          <w:lang w:val="en-US" w:eastAsia="zh-CN"/>
        </w:rPr>
        <w:t>若发现提供的原件与响应文件存在不符或原件材料中存在虚假材料响应竞争性磋商文件，采购人可以拒绝验收，供应商必须无条件退回采购人支付的资金，采购人有权解除合同，并对供应商处以合同金额的20%数额进行罚款，并将其不诚信行为上报至监管单位，所产生的一切后果由供应商自行承担。</w:t>
      </w:r>
    </w:p>
    <w:p w14:paraId="327247E1">
      <w:pPr>
        <w:pageBreakBefore w:val="0"/>
        <w:widowControl w:val="0"/>
        <w:numPr>
          <w:ilvl w:val="0"/>
          <w:numId w:val="2"/>
        </w:numPr>
        <w:wordWrap/>
        <w:overflowPunct/>
        <w:topLinePunct w:val="0"/>
        <w:bidi w:val="0"/>
        <w:spacing w:line="360" w:lineRule="auto"/>
        <w:ind w:left="0" w:leftChars="0" w:firstLine="638" w:firstLineChars="266"/>
        <w:rPr>
          <w:rFonts w:hint="eastAsia"/>
          <w:color w:val="auto"/>
          <w:sz w:val="24"/>
          <w:szCs w:val="24"/>
          <w:highlight w:val="none"/>
          <w:lang w:eastAsia="zh-CN"/>
        </w:rPr>
      </w:pPr>
      <w:r>
        <w:rPr>
          <w:rFonts w:hint="eastAsia"/>
          <w:color w:val="auto"/>
          <w:sz w:val="24"/>
          <w:szCs w:val="24"/>
          <w:highlight w:val="none"/>
          <w:lang w:eastAsia="zh-CN"/>
        </w:rPr>
        <w:t>其它事项要求</w:t>
      </w:r>
    </w:p>
    <w:p w14:paraId="0505A9AC">
      <w:pPr>
        <w:pageBreakBefore w:val="0"/>
        <w:widowControl w:val="0"/>
        <w:numPr>
          <w:ilvl w:val="0"/>
          <w:numId w:val="4"/>
        </w:numPr>
        <w:wordWrap/>
        <w:overflowPunct/>
        <w:topLinePunct w:val="0"/>
        <w:bidi w:val="0"/>
        <w:spacing w:line="360" w:lineRule="auto"/>
        <w:ind w:left="0" w:leftChars="0" w:firstLine="638" w:firstLineChars="266"/>
        <w:rPr>
          <w:rFonts w:hint="eastAsia"/>
          <w:color w:val="auto"/>
          <w:sz w:val="24"/>
          <w:szCs w:val="24"/>
          <w:highlight w:val="none"/>
          <w:lang w:eastAsia="zh-CN"/>
        </w:rPr>
      </w:pPr>
      <w:r>
        <w:rPr>
          <w:rFonts w:hint="eastAsia"/>
          <w:color w:val="auto"/>
          <w:sz w:val="24"/>
          <w:szCs w:val="24"/>
          <w:highlight w:val="none"/>
          <w:lang w:eastAsia="zh-CN"/>
        </w:rPr>
        <w:t>供应商中标后，不得转包。中标供应商在开展水生生物资源调查监测工作时，须接受采购方的监督，按照采购方拟定的时间在指定地点规范开展。具体时间和地点由采购方提前一周通知。</w:t>
      </w:r>
    </w:p>
    <w:p w14:paraId="4429DE6C">
      <w:pPr>
        <w:pageBreakBefore w:val="0"/>
        <w:widowControl w:val="0"/>
        <w:numPr>
          <w:ilvl w:val="0"/>
          <w:numId w:val="4"/>
        </w:numPr>
        <w:wordWrap/>
        <w:overflowPunct/>
        <w:topLinePunct w:val="0"/>
        <w:bidi w:val="0"/>
        <w:spacing w:line="360" w:lineRule="auto"/>
        <w:ind w:left="0" w:leftChars="0" w:firstLine="638" w:firstLineChars="266"/>
        <w:rPr>
          <w:rFonts w:hint="default"/>
          <w:color w:val="auto"/>
          <w:sz w:val="24"/>
          <w:szCs w:val="24"/>
          <w:highlight w:val="none"/>
          <w:lang w:val="en-US" w:eastAsia="zh-CN"/>
        </w:rPr>
      </w:pPr>
      <w:r>
        <w:rPr>
          <w:rFonts w:hint="eastAsia"/>
          <w:color w:val="auto"/>
          <w:sz w:val="24"/>
          <w:szCs w:val="24"/>
          <w:highlight w:val="none"/>
          <w:lang w:val="en-US" w:eastAsia="zh-CN"/>
        </w:rPr>
        <w:t>组织专家验收相关费用由中标方承担。</w:t>
      </w:r>
    </w:p>
    <w:p w14:paraId="7B54FCD3">
      <w:pPr>
        <w:pageBreakBefore w:val="0"/>
        <w:widowControl w:val="0"/>
        <w:numPr>
          <w:ilvl w:val="0"/>
          <w:numId w:val="4"/>
        </w:numPr>
        <w:wordWrap/>
        <w:overflowPunct/>
        <w:topLinePunct w:val="0"/>
        <w:bidi w:val="0"/>
        <w:spacing w:line="360" w:lineRule="auto"/>
        <w:ind w:left="0" w:leftChars="0" w:firstLine="638" w:firstLineChars="266"/>
        <w:rPr>
          <w:rFonts w:hint="eastAsia"/>
          <w:color w:val="auto"/>
          <w:sz w:val="24"/>
          <w:szCs w:val="24"/>
          <w:highlight w:val="none"/>
          <w:lang w:eastAsia="zh-CN"/>
        </w:rPr>
      </w:pPr>
      <w:r>
        <w:rPr>
          <w:rFonts w:hint="eastAsia"/>
          <w:color w:val="auto"/>
          <w:sz w:val="24"/>
          <w:szCs w:val="24"/>
          <w:highlight w:val="none"/>
          <w:lang w:eastAsia="zh-CN"/>
        </w:rPr>
        <w:t>中标供应商须严格按照农业农村部、江西省农业农村厅和中国环境监测总站印发的相关要求及技术规范开展水生生物调查监测工作，确保调查监测工作的规范性和统一性，相关要求及水生生物监测主要技术标准有：</w:t>
      </w:r>
    </w:p>
    <w:p w14:paraId="03D7CFC1">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《农业农村部办公厅关于进一步明确长江禁捕期间因特殊需要采集水生生物有关事项的函》(农办渔函〔2020〕23号)；</w:t>
      </w:r>
    </w:p>
    <w:p w14:paraId="6FFB5E35">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 xml:space="preserve">《关于规范长江水生生物资源监测标识的通知》(长渔 发〔2021〕7号)； </w:t>
      </w:r>
    </w:p>
    <w:p w14:paraId="59890D2D">
      <w:pPr>
        <w:pageBreakBefore w:val="0"/>
        <w:widowControl w:val="0"/>
        <w:numPr>
          <w:ilvl w:val="0"/>
          <w:numId w:val="5"/>
        </w:numPr>
        <w:tabs>
          <w:tab w:val="left" w:pos="1060"/>
        </w:tabs>
        <w:wordWrap/>
        <w:overflowPunct/>
        <w:topLinePunct w:val="0"/>
        <w:bidi w:val="0"/>
        <w:spacing w:line="360" w:lineRule="auto"/>
        <w:ind w:left="635" w:leftChars="0" w:firstLine="0" w:firstLineChars="0"/>
        <w:rPr>
          <w:rFonts w:hint="eastAsia"/>
          <w:color w:val="auto"/>
          <w:sz w:val="24"/>
          <w:szCs w:val="24"/>
          <w:highlight w:val="none"/>
          <w:lang w:eastAsia="zh-CN"/>
        </w:rPr>
      </w:pPr>
      <w:r>
        <w:rPr>
          <w:rFonts w:hint="eastAsia"/>
          <w:color w:val="auto"/>
          <w:sz w:val="24"/>
          <w:szCs w:val="24"/>
          <w:highlight w:val="none"/>
          <w:lang w:eastAsia="zh-CN"/>
        </w:rPr>
        <w:t xml:space="preserve">《关于规范水生生物资源调查监测渔获物处置的通知》(赣渔调办函〔2022〕4号)； </w:t>
      </w:r>
    </w:p>
    <w:p w14:paraId="0FAF44CC">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《江西省水生生物资源监测鱼类标本及照片保存实施方案》（试行）的通知（赣渔调办函〔2022〕5号）；</w:t>
      </w:r>
    </w:p>
    <w:p w14:paraId="145BA70E">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 xml:space="preserve">《关于印发&lt;江西省水生生物资源调查监测工作方案&gt;的通知》（赣渔调办函〔2023〕3号）; </w:t>
      </w:r>
    </w:p>
    <w:p w14:paraId="3C5C1C1A">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《关于做好2024年全省水生生物资源调查监测有关工作的通知》(赣渔调办函〔2024〕1号)；</w:t>
      </w:r>
    </w:p>
    <w:p w14:paraId="32795CA4">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《关于</w:t>
      </w:r>
      <w:r>
        <w:rPr>
          <w:rFonts w:hint="eastAsia"/>
          <w:color w:val="auto"/>
          <w:sz w:val="24"/>
          <w:szCs w:val="24"/>
          <w:highlight w:val="none"/>
          <w:lang w:val="en-US" w:eastAsia="zh-CN"/>
        </w:rPr>
        <w:t>进一步</w:t>
      </w:r>
      <w:r>
        <w:rPr>
          <w:rFonts w:hint="eastAsia"/>
          <w:color w:val="auto"/>
          <w:sz w:val="24"/>
          <w:szCs w:val="24"/>
          <w:highlight w:val="none"/>
          <w:lang w:eastAsia="zh-CN"/>
        </w:rPr>
        <w:t>做好</w:t>
      </w:r>
      <w:r>
        <w:rPr>
          <w:rFonts w:hint="eastAsia"/>
          <w:color w:val="auto"/>
          <w:sz w:val="24"/>
          <w:szCs w:val="24"/>
          <w:highlight w:val="none"/>
          <w:lang w:val="en-US" w:eastAsia="zh-CN"/>
        </w:rPr>
        <w:t>全省</w:t>
      </w:r>
      <w:r>
        <w:rPr>
          <w:rFonts w:hint="eastAsia"/>
          <w:color w:val="auto"/>
          <w:sz w:val="24"/>
          <w:szCs w:val="24"/>
          <w:highlight w:val="none"/>
          <w:lang w:eastAsia="zh-CN"/>
        </w:rPr>
        <w:t>水生生物资源调查监测工作的通知》(赣</w:t>
      </w:r>
      <w:r>
        <w:rPr>
          <w:rFonts w:hint="eastAsia"/>
          <w:color w:val="auto"/>
          <w:sz w:val="24"/>
          <w:szCs w:val="24"/>
          <w:highlight w:val="none"/>
          <w:lang w:val="en-US" w:eastAsia="zh-CN"/>
        </w:rPr>
        <w:t>农厅办便函</w:t>
      </w:r>
      <w:r>
        <w:rPr>
          <w:rFonts w:hint="eastAsia"/>
          <w:color w:val="auto"/>
          <w:sz w:val="24"/>
          <w:szCs w:val="24"/>
          <w:highlight w:val="none"/>
          <w:lang w:eastAsia="zh-CN"/>
        </w:rPr>
        <w:t>〔202</w:t>
      </w:r>
      <w:r>
        <w:rPr>
          <w:rFonts w:hint="eastAsia"/>
          <w:color w:val="auto"/>
          <w:sz w:val="24"/>
          <w:szCs w:val="24"/>
          <w:highlight w:val="none"/>
          <w:lang w:val="en-US" w:eastAsia="zh-CN"/>
        </w:rPr>
        <w:t>6</w:t>
      </w:r>
      <w:r>
        <w:rPr>
          <w:rFonts w:hint="eastAsia"/>
          <w:color w:val="auto"/>
          <w:sz w:val="24"/>
          <w:szCs w:val="24"/>
          <w:highlight w:val="none"/>
          <w:lang w:eastAsia="zh-CN"/>
        </w:rPr>
        <w:t>〕</w:t>
      </w:r>
      <w:r>
        <w:rPr>
          <w:rFonts w:hint="eastAsia"/>
          <w:color w:val="auto"/>
          <w:sz w:val="24"/>
          <w:szCs w:val="24"/>
          <w:highlight w:val="none"/>
          <w:lang w:val="en-US" w:eastAsia="zh-CN"/>
        </w:rPr>
        <w:t>85</w:t>
      </w:r>
      <w:r>
        <w:rPr>
          <w:rFonts w:hint="eastAsia"/>
          <w:color w:val="auto"/>
          <w:sz w:val="24"/>
          <w:szCs w:val="24"/>
          <w:highlight w:val="none"/>
          <w:lang w:eastAsia="zh-CN"/>
        </w:rPr>
        <w:t>号)；</w:t>
      </w:r>
    </w:p>
    <w:p w14:paraId="22CE1B14">
      <w:pPr>
        <w:pageBreakBefore w:val="0"/>
        <w:widowControl w:val="0"/>
        <w:numPr>
          <w:ilvl w:val="0"/>
          <w:numId w:val="5"/>
        </w:numPr>
        <w:tabs>
          <w:tab w:val="left" w:pos="640"/>
          <w:tab w:val="left" w:pos="84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《水生态监测技术指南：河流水生生物监测与评价（试行）》（HJ 1295-2023）；</w:t>
      </w:r>
    </w:p>
    <w:p w14:paraId="4E2F9C49">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《水生态监测技术指南：湖泊和水库水生生物监测与评价（试行）》（HJ 1296-2023）；</w:t>
      </w:r>
    </w:p>
    <w:p w14:paraId="72CFDA95">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《水生态监测技术要求：淡水大型底栖无脊椎动物》（试行）（总站水字﹝2021﹞629号）；</w:t>
      </w:r>
    </w:p>
    <w:p w14:paraId="74298105">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 xml:space="preserve">《水生态监测技术要求：淡水浮游动物》（试行）（总站水字〔2022〕47号）； </w:t>
      </w:r>
    </w:p>
    <w:p w14:paraId="68AEE2D2">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《水生态监测技术要求：淡水浮游植物》（试行）（总站水字〔2022〕41号）；</w:t>
      </w:r>
    </w:p>
    <w:p w14:paraId="1E68747A">
      <w:pPr>
        <w:pageBreakBefore w:val="0"/>
        <w:widowControl w:val="0"/>
        <w:numPr>
          <w:ilvl w:val="0"/>
          <w:numId w:val="5"/>
        </w:numPr>
        <w:tabs>
          <w:tab w:val="left" w:pos="640"/>
          <w:tab w:val="left" w:pos="1060"/>
        </w:tabs>
        <w:wordWrap/>
        <w:overflowPunct/>
        <w:topLinePunct w:val="0"/>
        <w:bidi w:val="0"/>
        <w:spacing w:line="360" w:lineRule="auto"/>
        <w:ind w:left="635" w:leftChars="0" w:hanging="5" w:firstLineChars="0"/>
        <w:rPr>
          <w:rFonts w:hint="eastAsia"/>
          <w:color w:val="auto"/>
          <w:sz w:val="24"/>
          <w:szCs w:val="24"/>
          <w:highlight w:val="none"/>
          <w:lang w:eastAsia="zh-CN"/>
        </w:rPr>
      </w:pPr>
      <w:r>
        <w:rPr>
          <w:rFonts w:hint="eastAsia"/>
          <w:color w:val="auto"/>
          <w:sz w:val="24"/>
          <w:szCs w:val="24"/>
          <w:highlight w:val="none"/>
          <w:lang w:eastAsia="zh-CN"/>
        </w:rPr>
        <w:t>《水生态监测技术要求：淡水着生藻类》（试行）（总站水字〔2022〕33号）。</w:t>
      </w:r>
    </w:p>
    <w:p w14:paraId="336F6346">
      <w:pPr>
        <w:pStyle w:val="5"/>
        <w:rPr>
          <w:rFonts w:hint="eastAsia"/>
          <w:lang w:eastAsia="zh-CN"/>
        </w:rPr>
      </w:pPr>
      <w:r>
        <w:rPr>
          <w:rFonts w:hint="eastAsia" w:ascii="宋体" w:hAnsi="宋体" w:eastAsia="宋体" w:cs="宋体"/>
          <w:b/>
          <w:bCs/>
          <w:color w:val="auto"/>
          <w:spacing w:val="-2"/>
          <w:position w:val="16"/>
          <w:sz w:val="24"/>
          <w:szCs w:val="24"/>
          <w:highlight w:val="white"/>
          <w:lang w:val="en-US" w:eastAsia="zh-CN"/>
        </w:rPr>
        <w:t>注：</w:t>
      </w:r>
      <w:r>
        <w:rPr>
          <w:rFonts w:hint="eastAsia" w:ascii="宋体" w:hAnsi="宋体" w:eastAsia="宋体" w:cs="宋体"/>
          <w:b/>
          <w:bCs/>
          <w:color w:val="auto"/>
          <w:spacing w:val="-2"/>
          <w:position w:val="16"/>
          <w:sz w:val="24"/>
          <w:szCs w:val="24"/>
          <w:highlight w:val="white"/>
        </w:rPr>
        <w:t>以上所有采购需求、商务条款内容都必须满足，否则视为无效响应。</w:t>
      </w:r>
    </w:p>
    <w:p w14:paraId="7B50B9E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6"/>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6"/>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6"/>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260CF">
    <w:pPr>
      <w:pStyle w:val="6"/>
      <w:bidi w:val="0"/>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7118A9C">
                          <w:pPr>
                            <w:pStyle w:val="6"/>
                            <w:bidi w:val="0"/>
                          </w:pPr>
                          <w:r>
                            <w:fldChar w:fldCharType="begin"/>
                          </w:r>
                          <w:r>
                            <w:rPr>
                              <w:highlight w:val="white"/>
                            </w:rPr>
                            <w:instrText xml:space="preserve"> PAGE  \* MERGEFORMAT </w:instrText>
                          </w:r>
                          <w:r>
                            <w:fldChar w:fldCharType="separate"/>
                          </w:r>
                          <w:r>
                            <w:rPr>
                              <w:highlight w:val="white"/>
                            </w:rPr>
                            <w:t>60</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77118A9C">
                    <w:pPr>
                      <w:pStyle w:val="6"/>
                      <w:bidi w:val="0"/>
                    </w:pPr>
                    <w:r>
                      <w:fldChar w:fldCharType="begin"/>
                    </w:r>
                    <w:r>
                      <w:rPr>
                        <w:highlight w:val="white"/>
                      </w:rPr>
                      <w:instrText xml:space="preserve"> PAGE  \* MERGEFORMAT </w:instrText>
                    </w:r>
                    <w:r>
                      <w:fldChar w:fldCharType="separate"/>
                    </w:r>
                    <w:r>
                      <w:rPr>
                        <w:highlight w:val="white"/>
                      </w:rPr>
                      <w:t>60</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B8EB65"/>
    <w:multiLevelType w:val="singleLevel"/>
    <w:tmpl w:val="CFB8EB65"/>
    <w:lvl w:ilvl="0" w:tentative="0">
      <w:start w:val="1"/>
      <w:numFmt w:val="decimal"/>
      <w:lvlText w:val="%1)"/>
      <w:lvlJc w:val="left"/>
      <w:pPr>
        <w:ind w:left="420" w:hanging="425"/>
      </w:pPr>
      <w:rPr>
        <w:rFonts w:hint="default"/>
      </w:rPr>
    </w:lvl>
  </w:abstractNum>
  <w:abstractNum w:abstractNumId="1">
    <w:nsid w:val="E905356D"/>
    <w:multiLevelType w:val="singleLevel"/>
    <w:tmpl w:val="E905356D"/>
    <w:lvl w:ilvl="0" w:tentative="0">
      <w:start w:val="1"/>
      <w:numFmt w:val="decimal"/>
      <w:suff w:val="nothing"/>
      <w:lvlText w:val="%1．"/>
      <w:lvlJc w:val="left"/>
      <w:pPr>
        <w:ind w:left="0" w:firstLine="400"/>
      </w:pPr>
      <w:rPr>
        <w:rFonts w:hint="default"/>
      </w:rPr>
    </w:lvl>
  </w:abstractNum>
  <w:abstractNum w:abstractNumId="2">
    <w:nsid w:val="05C66AD4"/>
    <w:multiLevelType w:val="singleLevel"/>
    <w:tmpl w:val="05C66AD4"/>
    <w:lvl w:ilvl="0" w:tentative="0">
      <w:start w:val="1"/>
      <w:numFmt w:val="decimal"/>
      <w:lvlText w:val="(%1)"/>
      <w:lvlJc w:val="left"/>
      <w:pPr>
        <w:ind w:left="425" w:hanging="425"/>
      </w:pPr>
      <w:rPr>
        <w:rFonts w:hint="default"/>
      </w:rPr>
    </w:lvl>
  </w:abstractNum>
  <w:abstractNum w:abstractNumId="3">
    <w:nsid w:val="232929AC"/>
    <w:multiLevelType w:val="singleLevel"/>
    <w:tmpl w:val="232929AC"/>
    <w:lvl w:ilvl="0" w:tentative="0">
      <w:start w:val="1"/>
      <w:numFmt w:val="decimal"/>
      <w:lvlText w:val="(%1)"/>
      <w:lvlJc w:val="left"/>
      <w:pPr>
        <w:ind w:left="425" w:hanging="425"/>
      </w:pPr>
      <w:rPr>
        <w:rFonts w:hint="default"/>
      </w:rPr>
    </w:lvl>
  </w:abstractNum>
  <w:abstractNum w:abstractNumId="4">
    <w:nsid w:val="7BDCE8A5"/>
    <w:multiLevelType w:val="singleLevel"/>
    <w:tmpl w:val="7BDCE8A5"/>
    <w:lvl w:ilvl="0" w:tentative="0">
      <w:start w:val="2"/>
      <w:numFmt w:val="chineseCounting"/>
      <w:suff w:val="space"/>
      <w:lvlText w:val="（%1）"/>
      <w:lvlJc w:val="left"/>
      <w:rPr>
        <w:rFonts w:hint="eastAsia"/>
      </w:r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E44F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Plain Text"/>
    <w:basedOn w:val="1"/>
    <w:qFormat/>
    <w:uiPriority w:val="0"/>
    <w:rPr>
      <w:rFonts w:ascii="宋体" w:hAnsi="Courier New"/>
      <w:kern w:val="0"/>
      <w:sz w:val="20"/>
      <w:szCs w:val="21"/>
    </w:rPr>
  </w:style>
  <w:style w:type="paragraph" w:styleId="6">
    <w:name w:val="footer"/>
    <w:basedOn w:val="1"/>
    <w:qFormat/>
    <w:uiPriority w:val="0"/>
    <w:pPr>
      <w:tabs>
        <w:tab w:val="center" w:pos="4153"/>
        <w:tab w:val="right" w:pos="8306"/>
      </w:tabs>
    </w:pPr>
    <w:rPr>
      <w:sz w:val="18"/>
    </w:r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2026-06-26T04:23:38Z</dcterms:created>
  <dc:creator>Administrator</dc:creator>
  <cp:lastModifiedBy>Administrator</cp:lastModifiedBy>
  <dcterms:modified xsi:type="dcterms:W3CDTF">2026-06-26T04:24:12Z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eyJoZGlkIjoiOGVhZTNlMDI4ZTY5ODVkMWVhNTc3ZjFhZjNlZDdkMTEiLCJ1c2VySWQiOiI1NzEyNjk3NjUifQ==</vt:lpwstr>
  </property>
  <property fmtid="{D5CDD505-2E9C-101B-9397-08002B2CF9AE}" pid="4" name="ICV">
    <vt:lpwstr>2DD66E84290B4BE882F3128605221127_12</vt:lpwstr>
  </property>
</Properties>
</file>