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47505D">
      <w:pPr>
        <w:pageBreakBefore w:val="0"/>
        <w:widowControl w:val="0"/>
        <w:wordWrap/>
        <w:overflowPunct/>
        <w:topLinePunct w:val="0"/>
        <w:bidi w:val="0"/>
        <w:spacing w:before="63" w:line="224" w:lineRule="auto"/>
        <w:jc w:val="center"/>
        <w:rPr>
          <w:rFonts w:ascii="宋体" w:hAnsi="宋体" w:eastAsia="宋体" w:cs="宋体"/>
          <w:color w:val="auto"/>
          <w:sz w:val="31"/>
          <w:szCs w:val="31"/>
          <w:highlight w:val="none"/>
          <w:lang w:eastAsia="zh-CN"/>
        </w:rPr>
      </w:pP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6251FDD0">
      <w:pPr>
        <w:pageBreakBefore w:val="0"/>
        <w:widowControl w:val="0"/>
        <w:wordWrap/>
        <w:overflowPunct/>
        <w:topLinePunct w:val="0"/>
        <w:bidi w:val="0"/>
        <w:spacing w:line="309" w:lineRule="auto"/>
        <w:jc w:val="center"/>
        <w:rPr>
          <w:color w:val="auto"/>
          <w:highlight w:val="none"/>
          <w:lang w:eastAsia="zh-CN"/>
        </w:rPr>
      </w:pPr>
    </w:p>
    <w:p w14:paraId="48F7A062">
      <w:pPr>
        <w:pageBreakBefore w:val="0"/>
        <w:widowControl w:val="0"/>
        <w:wordWrap/>
        <w:overflowPunct/>
        <w:topLinePunct w:val="0"/>
        <w:bidi w:val="0"/>
        <w:spacing w:before="78" w:line="220" w:lineRule="auto"/>
        <w:jc w:val="both"/>
        <w:outlineLvl w:val="1"/>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p>
    <w:p w14:paraId="2C11F739">
      <w:pPr>
        <w:pageBreakBefore w:val="0"/>
        <w:widowControl w:val="0"/>
        <w:wordWrap/>
        <w:overflowPunct/>
        <w:topLinePunct w:val="0"/>
        <w:bidi w:val="0"/>
        <w:spacing w:before="64"/>
        <w:rPr>
          <w:color w:val="auto"/>
          <w:highlight w:val="none"/>
        </w:rPr>
      </w:pPr>
    </w:p>
    <w:tbl>
      <w:tblPr>
        <w:tblStyle w:val="8"/>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2B2B48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580E6615">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r>
              <w:rPr>
                <w:color w:val="auto"/>
                <w:highlight w:val="none"/>
              </w:rPr>
              <w:drawing>
                <wp:anchor distT="0" distB="0" distL="0" distR="0" simplePos="0" relativeHeight="251661312"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6"/>
                          <a:stretch>
                            <a:fillRect/>
                          </a:stretch>
                        </pic:blipFill>
                        <pic:spPr>
                          <a:xfrm>
                            <a:off x="0" y="0"/>
                            <a:ext cx="1805051" cy="1485442"/>
                          </a:xfrm>
                          <a:prstGeom prst="rect">
                            <a:avLst/>
                          </a:prstGeom>
                        </pic:spPr>
                      </pic:pic>
                    </a:graphicData>
                  </a:graphic>
                </wp:anchor>
              </w:drawing>
            </w:r>
            <w:r>
              <w:rPr>
                <w:rFonts w:ascii="宋体" w:hAnsi="宋体" w:eastAsia="宋体" w:cs="宋体"/>
                <w:color w:val="auto"/>
                <w:sz w:val="24"/>
                <w:szCs w:val="24"/>
                <w:highlight w:val="none"/>
              </w:rPr>
              <w:t>名</w:t>
            </w:r>
          </w:p>
          <w:p w14:paraId="0D471199">
            <w:pPr>
              <w:pStyle w:val="9"/>
              <w:pageBreakBefore w:val="0"/>
              <w:widowControl w:val="0"/>
              <w:wordWrap/>
              <w:overflowPunct/>
              <w:topLinePunct w:val="0"/>
              <w:bidi w:val="0"/>
              <w:spacing w:line="245" w:lineRule="auto"/>
              <w:rPr>
                <w:color w:val="auto"/>
                <w:highlight w:val="none"/>
              </w:rPr>
            </w:pPr>
          </w:p>
          <w:p w14:paraId="48A7C48A">
            <w:pPr>
              <w:pStyle w:val="9"/>
              <w:pageBreakBefore w:val="0"/>
              <w:widowControl w:val="0"/>
              <w:wordWrap/>
              <w:overflowPunct/>
              <w:topLinePunct w:val="0"/>
              <w:bidi w:val="0"/>
              <w:spacing w:line="246" w:lineRule="auto"/>
              <w:rPr>
                <w:color w:val="auto"/>
                <w:highlight w:val="none"/>
              </w:rPr>
            </w:pPr>
          </w:p>
          <w:p w14:paraId="05BE76B3">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630DAD64">
            <w:pPr>
              <w:pStyle w:val="9"/>
              <w:pageBreakBefore w:val="0"/>
              <w:widowControl w:val="0"/>
              <w:wordWrap/>
              <w:overflowPunct/>
              <w:topLinePunct w:val="0"/>
              <w:bidi w:val="0"/>
              <w:spacing w:line="338" w:lineRule="auto"/>
              <w:rPr>
                <w:color w:val="auto"/>
                <w:highlight w:val="none"/>
              </w:rPr>
            </w:pPr>
          </w:p>
          <w:p w14:paraId="083B3A68">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817" w:type="dxa"/>
            <w:tcBorders>
              <w:left w:val="nil"/>
            </w:tcBorders>
          </w:tcPr>
          <w:p w14:paraId="19FED54B">
            <w:pPr>
              <w:pStyle w:val="9"/>
              <w:pageBreakBefore w:val="0"/>
              <w:widowControl w:val="0"/>
              <w:wordWrap/>
              <w:overflowPunct/>
              <w:topLinePunct w:val="0"/>
              <w:bidi w:val="0"/>
              <w:spacing w:line="263" w:lineRule="auto"/>
              <w:rPr>
                <w:color w:val="auto"/>
                <w:highlight w:val="none"/>
              </w:rPr>
            </w:pPr>
          </w:p>
          <w:p w14:paraId="3FE4A52D">
            <w:pPr>
              <w:pStyle w:val="9"/>
              <w:pageBreakBefore w:val="0"/>
              <w:widowControl w:val="0"/>
              <w:wordWrap/>
              <w:overflowPunct/>
              <w:topLinePunct w:val="0"/>
              <w:bidi w:val="0"/>
              <w:spacing w:line="263" w:lineRule="auto"/>
              <w:rPr>
                <w:color w:val="auto"/>
                <w:highlight w:val="none"/>
              </w:rPr>
            </w:pPr>
          </w:p>
          <w:p w14:paraId="415F576F">
            <w:pPr>
              <w:pStyle w:val="9"/>
              <w:pageBreakBefore w:val="0"/>
              <w:widowControl w:val="0"/>
              <w:wordWrap/>
              <w:overflowPunct/>
              <w:topLinePunct w:val="0"/>
              <w:bidi w:val="0"/>
              <w:spacing w:line="264" w:lineRule="auto"/>
              <w:rPr>
                <w:color w:val="auto"/>
                <w:highlight w:val="none"/>
              </w:rPr>
            </w:pPr>
          </w:p>
          <w:p w14:paraId="20B78764">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150" w:type="dxa"/>
            <w:vAlign w:val="center"/>
          </w:tcPr>
          <w:p w14:paraId="30D2E616">
            <w:pPr>
              <w:pStyle w:val="9"/>
              <w:pageBreakBefore w:val="0"/>
              <w:widowControl w:val="0"/>
              <w:wordWrap/>
              <w:overflowPunct/>
              <w:topLinePunct w:val="0"/>
              <w:bidi w:val="0"/>
              <w:jc w:val="both"/>
              <w:rPr>
                <w:color w:val="auto"/>
                <w:highlight w:val="none"/>
              </w:rPr>
            </w:pPr>
            <w:r>
              <w:rPr>
                <w:rFonts w:hint="eastAsia"/>
                <w:color w:val="auto"/>
                <w:sz w:val="24"/>
                <w:szCs w:val="24"/>
                <w:highlight w:val="none"/>
              </w:rPr>
              <w:t>江西省吉安市万安县万安中学新建学⽣宿舍楼项⽬监理采购服务</w:t>
            </w:r>
            <w:r>
              <w:rPr>
                <w:rFonts w:hint="eastAsia"/>
                <w:color w:val="auto"/>
                <w:sz w:val="28"/>
                <w:szCs w:val="28"/>
                <w:highlight w:val="none"/>
              </w:rPr>
              <w:t xml:space="preserve"> </w:t>
            </w:r>
          </w:p>
        </w:tc>
      </w:tr>
      <w:tr w14:paraId="6E2660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43662B42">
            <w:pPr>
              <w:pageBreakBefore w:val="0"/>
              <w:widowControl w:val="0"/>
              <w:wordWrap/>
              <w:overflowPunct/>
              <w:topLinePunct w:val="0"/>
              <w:bidi w:val="0"/>
              <w:spacing w:before="253" w:line="219" w:lineRule="auto"/>
              <w:ind w:left="1188"/>
              <w:rPr>
                <w:rFonts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6150" w:type="dxa"/>
            <w:vAlign w:val="center"/>
          </w:tcPr>
          <w:p w14:paraId="158F3F98">
            <w:pPr>
              <w:pStyle w:val="9"/>
              <w:pageBreakBefore w:val="0"/>
              <w:widowControl w:val="0"/>
              <w:wordWrap/>
              <w:overflowPunct/>
              <w:topLinePunct w:val="0"/>
              <w:bidi w:val="0"/>
              <w:jc w:val="both"/>
              <w:rPr>
                <w:rFonts w:hint="default"/>
                <w:color w:val="auto"/>
                <w:sz w:val="24"/>
                <w:szCs w:val="24"/>
                <w:highlight w:val="none"/>
                <w:lang w:val="en-US" w:eastAsia="zh-CN"/>
              </w:rPr>
            </w:pPr>
            <w:r>
              <w:rPr>
                <w:rFonts w:hint="eastAsia"/>
                <w:color w:val="auto"/>
                <w:sz w:val="24"/>
                <w:szCs w:val="24"/>
                <w:highlight w:val="none"/>
                <w:lang w:val="en-US" w:eastAsia="zh-CN"/>
              </w:rPr>
              <w:t>1项</w:t>
            </w:r>
          </w:p>
        </w:tc>
      </w:tr>
      <w:tr w14:paraId="5AB932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98" w:hRule="atLeast"/>
        </w:trPr>
        <w:tc>
          <w:tcPr>
            <w:tcW w:w="2865" w:type="dxa"/>
            <w:gridSpan w:val="2"/>
          </w:tcPr>
          <w:p w14:paraId="5670BF11">
            <w:pPr>
              <w:pageBreakBefore w:val="0"/>
              <w:widowControl w:val="0"/>
              <w:wordWrap/>
              <w:overflowPunct/>
              <w:topLinePunct w:val="0"/>
              <w:bidi w:val="0"/>
              <w:spacing w:before="253" w:line="219" w:lineRule="auto"/>
              <w:ind w:left="1071"/>
              <w:rPr>
                <w:rFonts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期</w:t>
            </w:r>
          </w:p>
        </w:tc>
        <w:tc>
          <w:tcPr>
            <w:tcW w:w="6150" w:type="dxa"/>
            <w:vAlign w:val="center"/>
          </w:tcPr>
          <w:p w14:paraId="6B6EA88C">
            <w:pPr>
              <w:pStyle w:val="9"/>
              <w:pageBreakBefore w:val="0"/>
              <w:widowControl w:val="0"/>
              <w:wordWrap/>
              <w:overflowPunct/>
              <w:topLinePunct w:val="0"/>
              <w:bidi w:val="0"/>
              <w:jc w:val="both"/>
              <w:rPr>
                <w:rFonts w:hint="eastAsia"/>
                <w:color w:val="auto"/>
                <w:sz w:val="24"/>
                <w:szCs w:val="24"/>
                <w:highlight w:val="none"/>
              </w:rPr>
            </w:pPr>
            <w:r>
              <w:rPr>
                <w:rFonts w:hint="eastAsia"/>
                <w:color w:val="auto"/>
                <w:sz w:val="24"/>
                <w:szCs w:val="24"/>
                <w:highlight w:val="none"/>
              </w:rPr>
              <w:t>从签订监理合同之日起算,至所有工程保修期结束且办妥竣工验收止,包括本工程的施工准备期、施工期、工程收尾期等全过程监理服务。（工程施工的计划工期:730日历天。计划开工日期:2026年07月01日，计划竣工日期:2028年06月30日）</w:t>
            </w:r>
          </w:p>
        </w:tc>
      </w:tr>
      <w:tr w14:paraId="4620CC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7F5E733B">
            <w:pPr>
              <w:pageBreakBefore w:val="0"/>
              <w:widowControl w:val="0"/>
              <w:wordWrap/>
              <w:overflowPunct/>
              <w:topLinePunct w:val="0"/>
              <w:bidi w:val="0"/>
              <w:spacing w:before="256" w:line="219" w:lineRule="auto"/>
              <w:ind w:left="951"/>
              <w:rPr>
                <w:rFonts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lang w:val="en-US" w:eastAsia="zh-CN"/>
              </w:rPr>
              <w:t>服务</w:t>
            </w:r>
            <w:r>
              <w:rPr>
                <w:rFonts w:ascii="宋体" w:hAnsi="宋体" w:eastAsia="宋体" w:cs="宋体"/>
                <w:color w:val="auto"/>
                <w:spacing w:val="-4"/>
                <w:sz w:val="24"/>
                <w:szCs w:val="24"/>
                <w:highlight w:val="none"/>
              </w:rPr>
              <w:t>地点</w:t>
            </w:r>
          </w:p>
        </w:tc>
        <w:tc>
          <w:tcPr>
            <w:tcW w:w="6150" w:type="dxa"/>
            <w:vAlign w:val="center"/>
          </w:tcPr>
          <w:p w14:paraId="5B6CC5C0">
            <w:pPr>
              <w:pStyle w:val="9"/>
              <w:pageBreakBefore w:val="0"/>
              <w:widowControl w:val="0"/>
              <w:wordWrap/>
              <w:overflowPunct/>
              <w:topLinePunct w:val="0"/>
              <w:bidi w:val="0"/>
              <w:jc w:val="both"/>
              <w:rPr>
                <w:rFonts w:hint="default"/>
                <w:color w:val="auto"/>
                <w:sz w:val="24"/>
                <w:szCs w:val="24"/>
                <w:highlight w:val="none"/>
                <w:lang w:val="en-US" w:eastAsia="zh-CN"/>
              </w:rPr>
            </w:pPr>
            <w:r>
              <w:rPr>
                <w:rFonts w:hint="eastAsia"/>
                <w:color w:val="auto"/>
                <w:sz w:val="24"/>
                <w:szCs w:val="24"/>
                <w:highlight w:val="none"/>
                <w:lang w:val="en-US" w:eastAsia="zh-CN"/>
              </w:rPr>
              <w:t>江西省吉安市万安县万安中学</w:t>
            </w:r>
          </w:p>
        </w:tc>
      </w:tr>
      <w:tr w14:paraId="223313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65" w:type="dxa"/>
            <w:gridSpan w:val="2"/>
          </w:tcPr>
          <w:p w14:paraId="5A5921F7">
            <w:pPr>
              <w:pageBreakBefore w:val="0"/>
              <w:widowControl w:val="0"/>
              <w:wordWrap/>
              <w:overflowPunct/>
              <w:topLinePunct w:val="0"/>
              <w:bidi w:val="0"/>
              <w:spacing w:before="256" w:line="221" w:lineRule="auto"/>
              <w:ind w:left="1189"/>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6150" w:type="dxa"/>
            <w:vAlign w:val="center"/>
          </w:tcPr>
          <w:p w14:paraId="674E0F61">
            <w:pPr>
              <w:pStyle w:val="9"/>
              <w:pageBreakBefore w:val="0"/>
              <w:widowControl w:val="0"/>
              <w:wordWrap/>
              <w:overflowPunct/>
              <w:topLinePunct w:val="0"/>
              <w:bidi w:val="0"/>
              <w:jc w:val="both"/>
              <w:rPr>
                <w:rFonts w:hint="eastAsia"/>
                <w:color w:val="auto"/>
                <w:sz w:val="24"/>
                <w:szCs w:val="24"/>
                <w:highlight w:val="none"/>
              </w:rPr>
            </w:pPr>
            <w:r>
              <w:rPr>
                <w:rFonts w:hint="eastAsia"/>
                <w:color w:val="auto"/>
                <w:sz w:val="24"/>
                <w:szCs w:val="24"/>
                <w:highlight w:val="none"/>
              </w:rPr>
              <w:t>监理合同工期内监理费不予调整。非</w:t>
            </w:r>
            <w:r>
              <w:rPr>
                <w:rFonts w:hint="eastAsia"/>
                <w:color w:val="auto"/>
                <w:sz w:val="24"/>
                <w:szCs w:val="24"/>
                <w:highlight w:val="none"/>
                <w:lang w:val="en-US" w:eastAsia="zh-CN"/>
              </w:rPr>
              <w:t>成交供应商</w:t>
            </w:r>
            <w:r>
              <w:rPr>
                <w:rFonts w:hint="eastAsia"/>
                <w:color w:val="auto"/>
                <w:sz w:val="24"/>
                <w:szCs w:val="24"/>
                <w:highlight w:val="none"/>
              </w:rPr>
              <w:t>原因造成工程停工或延期，按</w:t>
            </w:r>
            <w:r>
              <w:rPr>
                <w:rFonts w:hint="eastAsia"/>
                <w:color w:val="auto"/>
                <w:sz w:val="24"/>
                <w:szCs w:val="24"/>
                <w:highlight w:val="none"/>
                <w:lang w:val="en-US" w:eastAsia="zh-CN"/>
              </w:rPr>
              <w:t>采购人</w:t>
            </w:r>
            <w:r>
              <w:rPr>
                <w:rFonts w:hint="eastAsia"/>
                <w:color w:val="auto"/>
                <w:sz w:val="24"/>
                <w:szCs w:val="24"/>
                <w:highlight w:val="none"/>
              </w:rPr>
              <w:t>的签证协商进行调整。</w:t>
            </w:r>
          </w:p>
        </w:tc>
      </w:tr>
    </w:tbl>
    <w:p w14:paraId="5F87503B">
      <w:pPr>
        <w:pageBreakBefore w:val="0"/>
        <w:widowControl w:val="0"/>
        <w:wordWrap/>
        <w:overflowPunct/>
        <w:topLinePunct w:val="0"/>
        <w:bidi w:val="0"/>
        <w:rPr>
          <w:color w:val="auto"/>
          <w:highlight w:val="none"/>
        </w:rPr>
      </w:pPr>
    </w:p>
    <w:p w14:paraId="4DB07357">
      <w:pPr>
        <w:pageBreakBefore w:val="0"/>
        <w:widowControl w:val="0"/>
        <w:wordWrap/>
        <w:overflowPunct/>
        <w:topLinePunct w:val="0"/>
        <w:bidi w:val="0"/>
        <w:rPr>
          <w:color w:val="auto"/>
          <w:highlight w:val="none"/>
        </w:rPr>
        <w:sectPr>
          <w:footerReference r:id="rId3" w:type="default"/>
          <w:pgSz w:w="11906" w:h="16839"/>
          <w:pgMar w:top="1232" w:right="1786" w:bottom="1156" w:left="1786" w:header="0" w:footer="994" w:gutter="0"/>
          <w:pgNumType w:fmt="decimal"/>
          <w:cols w:space="720" w:num="1"/>
        </w:sectPr>
      </w:pPr>
    </w:p>
    <w:p w14:paraId="623A6A6F">
      <w:pPr>
        <w:pageBreakBefore w:val="0"/>
        <w:widowControl w:val="0"/>
        <w:wordWrap/>
        <w:overflowPunct/>
        <w:topLinePunct w:val="0"/>
        <w:bidi w:val="0"/>
        <w:spacing w:before="47" w:line="219" w:lineRule="auto"/>
        <w:ind w:left="3805"/>
        <w:outlineLvl w:val="1"/>
        <w:rPr>
          <w:color w:val="auto"/>
          <w:highlight w:val="none"/>
        </w:rPr>
      </w:pPr>
      <w:bookmarkStart w:id="0" w:name="bookmark81"/>
      <w:bookmarkEnd w:id="0"/>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14:paraId="5835946C">
      <w:pPr>
        <w:pageBreakBefore w:val="0"/>
        <w:widowControl w:val="0"/>
        <w:wordWrap/>
        <w:overflowPunct/>
        <w:topLinePunct w:val="0"/>
        <w:bidi w:val="0"/>
        <w:spacing w:line="258" w:lineRule="auto"/>
        <w:rPr>
          <w:color w:val="auto"/>
          <w:highlight w:val="none"/>
        </w:rPr>
      </w:pPr>
    </w:p>
    <w:p w14:paraId="79FA08BC">
      <w:pPr>
        <w:pageBreakBefore w:val="0"/>
        <w:widowControl w:val="0"/>
        <w:wordWrap/>
        <w:overflowPunct/>
        <w:topLinePunct w:val="0"/>
        <w:bidi w:val="0"/>
        <w:spacing w:before="78" w:line="219" w:lineRule="auto"/>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需求</w:t>
      </w:r>
    </w:p>
    <w:p w14:paraId="563DEB17">
      <w:pPr>
        <w:pageBreakBefore w:val="0"/>
        <w:widowControl w:val="0"/>
        <w:wordWrap/>
        <w:overflowPunct/>
        <w:topLinePunct w:val="0"/>
        <w:bidi w:val="0"/>
        <w:spacing w:line="242" w:lineRule="auto"/>
        <w:rPr>
          <w:color w:val="auto"/>
          <w:highlight w:val="none"/>
        </w:rPr>
      </w:pPr>
    </w:p>
    <w:p w14:paraId="49F598E9">
      <w:pPr>
        <w:keepNext w:val="0"/>
        <w:keepLines w:val="0"/>
        <w:pageBreakBefore w:val="0"/>
        <w:widowControl w:val="0"/>
        <w:kinsoku w:val="0"/>
        <w:wordWrap/>
        <w:overflowPunct/>
        <w:topLinePunct w:val="0"/>
        <w:autoSpaceDE w:val="0"/>
        <w:autoSpaceDN w:val="0"/>
        <w:bidi w:val="0"/>
        <w:adjustRightInd w:val="0"/>
        <w:snapToGrid w:val="0"/>
        <w:spacing w:before="78" w:line="500" w:lineRule="atLeast"/>
        <w:jc w:val="both"/>
        <w:textAlignment w:val="baseline"/>
        <w:rPr>
          <w:rFonts w:hint="eastAsia" w:ascii="宋体" w:hAnsi="宋体" w:eastAsia="宋体" w:cs="宋体"/>
          <w:color w:val="auto"/>
          <w:spacing w:val="9"/>
          <w:sz w:val="24"/>
          <w:szCs w:val="24"/>
          <w:highlight w:val="none"/>
          <w:lang w:val="en-US" w:eastAsia="zh-CN"/>
        </w:rPr>
      </w:pPr>
      <w:r>
        <w:rPr>
          <w:rFonts w:hint="eastAsia" w:ascii="宋体" w:hAnsi="宋体" w:eastAsia="宋体" w:cs="宋体"/>
          <w:color w:val="auto"/>
          <w:spacing w:val="9"/>
          <w:sz w:val="24"/>
          <w:szCs w:val="24"/>
          <w:highlight w:val="none"/>
          <w:lang w:val="en-US" w:eastAsia="zh-CN"/>
        </w:rPr>
        <w:t>1.工程建设规模（概况）：江西省吉安市万安县万安中学新建学⽣宿舍楼项⽬新建3栋5层学生宿舍楼及附属设施，建筑高度:19.8米，为多层公共建筑，耐火等级二级，结构设计使用年限50年，采用框架结构体系。总建筑面积约13205.4平方米:其中1#宿舍建筑面积4398.31平方米，2#宿舍建筑面积3982.82平方米(地上3766.18平方米，地下216.64平方米)，3#宿舍面积4824.27平方米(3#楼为装配式建筑，装配率达到33%)，配套建设市政道路等附属设施。</w:t>
      </w:r>
    </w:p>
    <w:p w14:paraId="4A251D60">
      <w:pPr>
        <w:keepNext w:val="0"/>
        <w:keepLines w:val="0"/>
        <w:pageBreakBefore w:val="0"/>
        <w:widowControl w:val="0"/>
        <w:kinsoku w:val="0"/>
        <w:wordWrap/>
        <w:overflowPunct/>
        <w:topLinePunct w:val="0"/>
        <w:autoSpaceDE w:val="0"/>
        <w:autoSpaceDN w:val="0"/>
        <w:bidi w:val="0"/>
        <w:adjustRightInd w:val="0"/>
        <w:snapToGrid w:val="0"/>
        <w:spacing w:before="78" w:line="500" w:lineRule="atLeast"/>
        <w:jc w:val="both"/>
        <w:textAlignment w:val="baseline"/>
        <w:rPr>
          <w:rFonts w:hint="default" w:ascii="宋体" w:hAnsi="宋体" w:eastAsia="宋体" w:cs="宋体"/>
          <w:color w:val="auto"/>
          <w:spacing w:val="9"/>
          <w:sz w:val="24"/>
          <w:szCs w:val="24"/>
          <w:highlight w:val="none"/>
          <w:lang w:val="en-US" w:eastAsia="zh-CN"/>
        </w:rPr>
      </w:pPr>
      <w:r>
        <w:rPr>
          <w:rFonts w:hint="eastAsia" w:ascii="宋体" w:hAnsi="宋体" w:eastAsia="宋体" w:cs="宋体"/>
          <w:color w:val="auto"/>
          <w:spacing w:val="9"/>
          <w:sz w:val="24"/>
          <w:szCs w:val="24"/>
          <w:highlight w:val="none"/>
          <w:lang w:val="en-US" w:eastAsia="zh-CN"/>
        </w:rPr>
        <w:t>2.</w:t>
      </w:r>
      <w:r>
        <w:rPr>
          <w:rFonts w:hint="default" w:ascii="宋体" w:hAnsi="宋体" w:eastAsia="宋体" w:cs="宋体"/>
          <w:color w:val="auto"/>
          <w:spacing w:val="9"/>
          <w:sz w:val="24"/>
          <w:szCs w:val="24"/>
          <w:highlight w:val="none"/>
          <w:lang w:val="en-US" w:eastAsia="zh-CN"/>
        </w:rPr>
        <w:t>工程施工的计划工期:730日历天。计划开工日期:2026年07月01日，计划竣工日期:2028年06月30日</w:t>
      </w:r>
    </w:p>
    <w:p w14:paraId="6A284384">
      <w:pPr>
        <w:keepNext w:val="0"/>
        <w:keepLines w:val="0"/>
        <w:pageBreakBefore w:val="0"/>
        <w:widowControl w:val="0"/>
        <w:kinsoku w:val="0"/>
        <w:wordWrap/>
        <w:overflowPunct/>
        <w:topLinePunct w:val="0"/>
        <w:autoSpaceDE w:val="0"/>
        <w:autoSpaceDN w:val="0"/>
        <w:bidi w:val="0"/>
        <w:adjustRightInd w:val="0"/>
        <w:snapToGrid w:val="0"/>
        <w:spacing w:before="78" w:line="500" w:lineRule="atLeast"/>
        <w:jc w:val="both"/>
        <w:textAlignment w:val="baseline"/>
        <w:rPr>
          <w:rFonts w:hint="default" w:ascii="宋体" w:hAnsi="宋体" w:eastAsia="宋体" w:cs="宋体"/>
          <w:color w:val="auto"/>
          <w:spacing w:val="9"/>
          <w:sz w:val="24"/>
          <w:szCs w:val="24"/>
          <w:highlight w:val="none"/>
          <w:lang w:val="en-US" w:eastAsia="zh-CN"/>
        </w:rPr>
      </w:pPr>
      <w:r>
        <w:rPr>
          <w:rFonts w:hint="eastAsia" w:ascii="宋体" w:hAnsi="宋体" w:eastAsia="宋体" w:cs="宋体"/>
          <w:color w:val="auto"/>
          <w:spacing w:val="9"/>
          <w:sz w:val="24"/>
          <w:szCs w:val="24"/>
          <w:highlight w:val="none"/>
          <w:lang w:val="en-US" w:eastAsia="zh-CN"/>
        </w:rPr>
        <w:t>3.建筑安装工程费：约4789.49万元，本项目监理服务费：约60万元。</w:t>
      </w:r>
    </w:p>
    <w:p w14:paraId="50355119">
      <w:pPr>
        <w:keepNext w:val="0"/>
        <w:keepLines w:val="0"/>
        <w:pageBreakBefore w:val="0"/>
        <w:widowControl w:val="0"/>
        <w:kinsoku w:val="0"/>
        <w:wordWrap/>
        <w:overflowPunct/>
        <w:topLinePunct w:val="0"/>
        <w:autoSpaceDE w:val="0"/>
        <w:autoSpaceDN w:val="0"/>
        <w:bidi w:val="0"/>
        <w:adjustRightInd w:val="0"/>
        <w:snapToGrid w:val="0"/>
        <w:spacing w:before="78" w:line="500" w:lineRule="atLeast"/>
        <w:jc w:val="both"/>
        <w:textAlignment w:val="baseline"/>
        <w:rPr>
          <w:rFonts w:hint="default" w:ascii="宋体" w:hAnsi="宋体" w:eastAsia="宋体" w:cs="宋体"/>
          <w:color w:val="auto"/>
          <w:spacing w:val="9"/>
          <w:sz w:val="24"/>
          <w:szCs w:val="24"/>
          <w:highlight w:val="none"/>
          <w:lang w:val="en-US" w:eastAsia="zh-CN"/>
        </w:rPr>
      </w:pPr>
      <w:r>
        <w:rPr>
          <w:rFonts w:hint="eastAsia" w:ascii="宋体" w:hAnsi="宋体" w:eastAsia="宋体" w:cs="宋体"/>
          <w:color w:val="auto"/>
          <w:spacing w:val="9"/>
          <w:sz w:val="24"/>
          <w:szCs w:val="24"/>
          <w:highlight w:val="none"/>
          <w:lang w:val="en-US" w:eastAsia="zh-CN"/>
        </w:rPr>
        <w:t>4.监理服务期限：从签订监理合同之日起算,至所有工程保修期结束且办妥竣工验收止,包括本工程的施工准备期、施工期、工程收尾期等全过程监理服务。</w:t>
      </w:r>
    </w:p>
    <w:p w14:paraId="0BF72140">
      <w:pPr>
        <w:keepNext w:val="0"/>
        <w:keepLines w:val="0"/>
        <w:pageBreakBefore w:val="0"/>
        <w:widowControl w:val="0"/>
        <w:kinsoku w:val="0"/>
        <w:wordWrap/>
        <w:overflowPunct/>
        <w:topLinePunct w:val="0"/>
        <w:autoSpaceDE w:val="0"/>
        <w:autoSpaceDN w:val="0"/>
        <w:bidi w:val="0"/>
        <w:adjustRightInd w:val="0"/>
        <w:snapToGrid w:val="0"/>
        <w:spacing w:before="78" w:line="500" w:lineRule="atLeast"/>
        <w:jc w:val="both"/>
        <w:textAlignment w:val="baseline"/>
        <w:rPr>
          <w:rFonts w:hint="default" w:ascii="宋体" w:hAnsi="宋体" w:eastAsia="宋体" w:cs="宋体"/>
          <w:color w:val="auto"/>
          <w:spacing w:val="9"/>
          <w:sz w:val="24"/>
          <w:szCs w:val="24"/>
          <w:highlight w:val="none"/>
          <w:lang w:val="en-US" w:eastAsia="zh-CN"/>
        </w:rPr>
      </w:pPr>
      <w:r>
        <w:rPr>
          <w:rFonts w:hint="eastAsia" w:ascii="宋体" w:hAnsi="宋体" w:eastAsia="宋体" w:cs="宋体"/>
          <w:color w:val="auto"/>
          <w:spacing w:val="9"/>
          <w:sz w:val="24"/>
          <w:szCs w:val="24"/>
          <w:highlight w:val="none"/>
          <w:lang w:val="en-US" w:eastAsia="zh-CN"/>
        </w:rPr>
        <w:t>5.</w:t>
      </w:r>
      <w:r>
        <w:rPr>
          <w:rFonts w:hint="default" w:ascii="宋体" w:hAnsi="宋体" w:eastAsia="宋体" w:cs="宋体"/>
          <w:color w:val="auto"/>
          <w:spacing w:val="9"/>
          <w:sz w:val="24"/>
          <w:szCs w:val="24"/>
          <w:highlight w:val="none"/>
          <w:lang w:val="en-US" w:eastAsia="zh-CN"/>
        </w:rPr>
        <w:t>监理范围：施工图设计范围内的全部工程量及相关配套工程项目施工期和</w:t>
      </w:r>
      <w:r>
        <w:rPr>
          <w:rFonts w:hint="eastAsia" w:ascii="宋体" w:hAnsi="宋体" w:eastAsia="宋体" w:cs="宋体"/>
          <w:color w:val="auto"/>
          <w:spacing w:val="9"/>
          <w:sz w:val="24"/>
          <w:szCs w:val="24"/>
          <w:highlight w:val="none"/>
          <w:lang w:val="en-US" w:eastAsia="zh-CN"/>
        </w:rPr>
        <w:t>保修期</w:t>
      </w:r>
      <w:r>
        <w:rPr>
          <w:rFonts w:hint="default" w:ascii="宋体" w:hAnsi="宋体" w:eastAsia="宋体" w:cs="宋体"/>
          <w:color w:val="auto"/>
          <w:spacing w:val="9"/>
          <w:sz w:val="24"/>
          <w:szCs w:val="24"/>
          <w:highlight w:val="none"/>
          <w:lang w:val="en-US" w:eastAsia="zh-CN"/>
        </w:rPr>
        <w:t>内的所有监理工作。</w:t>
      </w:r>
    </w:p>
    <w:p w14:paraId="510BDCEA">
      <w:pPr>
        <w:keepNext w:val="0"/>
        <w:keepLines w:val="0"/>
        <w:pageBreakBefore w:val="0"/>
        <w:widowControl w:val="0"/>
        <w:kinsoku w:val="0"/>
        <w:wordWrap/>
        <w:overflowPunct/>
        <w:topLinePunct w:val="0"/>
        <w:autoSpaceDE w:val="0"/>
        <w:autoSpaceDN w:val="0"/>
        <w:bidi w:val="0"/>
        <w:adjustRightInd w:val="0"/>
        <w:snapToGrid w:val="0"/>
        <w:spacing w:before="78" w:line="500" w:lineRule="atLeast"/>
        <w:jc w:val="both"/>
        <w:textAlignment w:val="baseline"/>
        <w:rPr>
          <w:rFonts w:hint="default" w:ascii="宋体" w:hAnsi="宋体" w:eastAsia="宋体" w:cs="宋体"/>
          <w:color w:val="auto"/>
          <w:spacing w:val="9"/>
          <w:sz w:val="24"/>
          <w:szCs w:val="24"/>
          <w:highlight w:val="none"/>
          <w:lang w:val="en-US" w:eastAsia="zh-CN"/>
        </w:rPr>
      </w:pPr>
      <w:r>
        <w:rPr>
          <w:rFonts w:hint="eastAsia" w:ascii="宋体" w:hAnsi="宋体" w:eastAsia="宋体" w:cs="宋体"/>
          <w:color w:val="auto"/>
          <w:spacing w:val="9"/>
          <w:sz w:val="24"/>
          <w:szCs w:val="24"/>
          <w:highlight w:val="none"/>
          <w:lang w:val="en-US" w:eastAsia="zh-CN"/>
        </w:rPr>
        <w:t>6.</w:t>
      </w:r>
      <w:r>
        <w:rPr>
          <w:rFonts w:hint="default" w:ascii="宋体" w:hAnsi="宋体" w:eastAsia="宋体" w:cs="宋体"/>
          <w:color w:val="auto"/>
          <w:spacing w:val="9"/>
          <w:sz w:val="24"/>
          <w:szCs w:val="24"/>
          <w:highlight w:val="none"/>
          <w:lang w:val="en-US" w:eastAsia="zh-CN"/>
        </w:rPr>
        <w:t>监理服务内容和要求</w:t>
      </w:r>
    </w:p>
    <w:p w14:paraId="35B1469B">
      <w:pPr>
        <w:keepNext w:val="0"/>
        <w:keepLines w:val="0"/>
        <w:pageBreakBefore w:val="0"/>
        <w:widowControl w:val="0"/>
        <w:kinsoku w:val="0"/>
        <w:wordWrap/>
        <w:overflowPunct/>
        <w:topLinePunct w:val="0"/>
        <w:autoSpaceDE w:val="0"/>
        <w:autoSpaceDN w:val="0"/>
        <w:bidi w:val="0"/>
        <w:adjustRightInd w:val="0"/>
        <w:snapToGrid w:val="0"/>
        <w:spacing w:before="78" w:line="500" w:lineRule="atLeast"/>
        <w:jc w:val="both"/>
        <w:textAlignment w:val="baseline"/>
        <w:rPr>
          <w:rFonts w:hint="default" w:ascii="宋体" w:hAnsi="宋体" w:eastAsia="宋体" w:cs="宋体"/>
          <w:color w:val="auto"/>
          <w:spacing w:val="9"/>
          <w:sz w:val="24"/>
          <w:szCs w:val="24"/>
          <w:highlight w:val="none"/>
          <w:lang w:val="en-US" w:eastAsia="zh-CN"/>
        </w:rPr>
      </w:pPr>
      <w:r>
        <w:rPr>
          <w:rFonts w:hint="eastAsia" w:ascii="宋体" w:hAnsi="宋体" w:eastAsia="宋体" w:cs="宋体"/>
          <w:color w:val="auto"/>
          <w:spacing w:val="9"/>
          <w:sz w:val="24"/>
          <w:szCs w:val="24"/>
          <w:highlight w:val="none"/>
          <w:lang w:val="en-US" w:eastAsia="zh-CN"/>
        </w:rPr>
        <w:t>6</w:t>
      </w:r>
      <w:r>
        <w:rPr>
          <w:rFonts w:hint="default" w:ascii="宋体" w:hAnsi="宋体" w:eastAsia="宋体" w:cs="宋体"/>
          <w:color w:val="auto"/>
          <w:spacing w:val="9"/>
          <w:sz w:val="24"/>
          <w:szCs w:val="24"/>
          <w:highlight w:val="none"/>
          <w:lang w:val="en-US" w:eastAsia="zh-CN"/>
        </w:rPr>
        <w:t>.1</w:t>
      </w:r>
      <w:r>
        <w:rPr>
          <w:rFonts w:hint="eastAsia" w:ascii="宋体" w:hAnsi="宋体" w:eastAsia="宋体" w:cs="宋体"/>
          <w:color w:val="auto"/>
          <w:spacing w:val="9"/>
          <w:sz w:val="24"/>
          <w:szCs w:val="24"/>
          <w:highlight w:val="none"/>
          <w:lang w:val="en-US" w:eastAsia="zh-CN"/>
        </w:rPr>
        <w:t xml:space="preserve"> </w:t>
      </w:r>
      <w:r>
        <w:rPr>
          <w:rFonts w:hint="default" w:ascii="宋体" w:hAnsi="宋体" w:eastAsia="宋体" w:cs="宋体"/>
          <w:color w:val="auto"/>
          <w:spacing w:val="9"/>
          <w:sz w:val="24"/>
          <w:szCs w:val="24"/>
          <w:highlight w:val="none"/>
          <w:lang w:val="en-US" w:eastAsia="zh-CN"/>
        </w:rPr>
        <w:t>监理服务内容:</w:t>
      </w:r>
    </w:p>
    <w:p w14:paraId="73F79307">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default" w:ascii="宋体" w:hAnsi="宋体" w:eastAsia="宋体" w:cs="宋体"/>
          <w:color w:val="auto"/>
          <w:spacing w:val="9"/>
          <w:sz w:val="24"/>
          <w:szCs w:val="24"/>
          <w:highlight w:val="none"/>
          <w:lang w:val="en-US" w:eastAsia="zh-CN"/>
        </w:rPr>
      </w:pPr>
      <w:r>
        <w:rPr>
          <w:rFonts w:ascii="FangSong_GB2312-Identity-H" w:hAnsi="FangSong_GB2312-Identity-H" w:eastAsia="FangSong_GB2312-Identity-H" w:cs="FangSong_GB2312-Identity-H"/>
          <w:snapToGrid w:val="0"/>
          <w:color w:val="000000"/>
          <w:kern w:val="0"/>
          <w:sz w:val="24"/>
          <w:szCs w:val="24"/>
          <w:lang w:val="en-US" w:eastAsia="zh-CN" w:bidi="ar"/>
        </w:rPr>
        <w:t>根据法律法规、工程建设标准、勘察设计文件及合</w:t>
      </w:r>
      <w:r>
        <w:rPr>
          <w:rFonts w:hint="default" w:ascii="FangSong_GB2312-Identity-H" w:hAnsi="FangSong_GB2312-Identity-H" w:eastAsia="FangSong_GB2312-Identity-H" w:cs="FangSong_GB2312-Identity-H"/>
          <w:snapToGrid w:val="0"/>
          <w:color w:val="000000"/>
          <w:kern w:val="0"/>
          <w:sz w:val="24"/>
          <w:szCs w:val="24"/>
          <w:lang w:val="en-US" w:eastAsia="zh-CN" w:bidi="ar"/>
        </w:rPr>
        <w:t>同，</w:t>
      </w:r>
      <w:r>
        <w:rPr>
          <w:rFonts w:hint="eastAsia" w:ascii="FangSong_GB2312-Identity-H" w:hAnsi="FangSong_GB2312-Identity-H" w:eastAsia="FangSong_GB2312-Identity-H" w:cs="FangSong_GB2312-Identity-H"/>
          <w:snapToGrid w:val="0"/>
          <w:color w:val="000000"/>
          <w:kern w:val="0"/>
          <w:sz w:val="24"/>
          <w:szCs w:val="24"/>
          <w:lang w:val="en-US" w:eastAsia="zh-CN" w:bidi="ar"/>
        </w:rPr>
        <w:t>监理单位应在施工现场派</w:t>
      </w:r>
      <w:r>
        <w:rPr>
          <w:rFonts w:hint="default" w:ascii="宋体" w:hAnsi="宋体" w:eastAsia="宋体" w:cs="宋体"/>
          <w:color w:val="auto"/>
          <w:spacing w:val="9"/>
          <w:sz w:val="24"/>
          <w:szCs w:val="24"/>
          <w:highlight w:val="none"/>
          <w:lang w:val="en-US" w:eastAsia="zh-CN"/>
        </w:rPr>
        <w:t>驻项目监理</w:t>
      </w:r>
      <w:r>
        <w:rPr>
          <w:rFonts w:hint="eastAsia" w:ascii="宋体" w:hAnsi="宋体" w:eastAsia="宋体" w:cs="宋体"/>
          <w:color w:val="auto"/>
          <w:spacing w:val="9"/>
          <w:sz w:val="24"/>
          <w:szCs w:val="24"/>
          <w:highlight w:val="none"/>
          <w:lang w:val="en-US" w:eastAsia="zh-CN"/>
        </w:rPr>
        <w:t>机构</w:t>
      </w:r>
      <w:r>
        <w:rPr>
          <w:rFonts w:hint="default" w:ascii="宋体" w:hAnsi="宋体" w:eastAsia="宋体" w:cs="宋体"/>
          <w:color w:val="auto"/>
          <w:spacing w:val="9"/>
          <w:sz w:val="24"/>
          <w:szCs w:val="24"/>
          <w:highlight w:val="none"/>
          <w:lang w:val="en-US" w:eastAsia="zh-CN"/>
        </w:rPr>
        <w:t>，</w:t>
      </w:r>
      <w:r>
        <w:rPr>
          <w:rFonts w:hint="eastAsia" w:ascii="宋体" w:hAnsi="宋体"/>
          <w:kern w:val="0"/>
          <w:sz w:val="24"/>
        </w:rPr>
        <w:t>配备必要的检测设备，</w:t>
      </w:r>
      <w:r>
        <w:rPr>
          <w:rFonts w:hint="eastAsia" w:ascii="宋体" w:hAnsi="宋体" w:eastAsia="宋体" w:cs="宋体"/>
          <w:color w:val="auto"/>
          <w:spacing w:val="9"/>
          <w:sz w:val="24"/>
          <w:szCs w:val="24"/>
          <w:highlight w:val="none"/>
          <w:lang w:val="en-US" w:eastAsia="zh-CN"/>
        </w:rPr>
        <w:t>对</w:t>
      </w:r>
      <w:r>
        <w:rPr>
          <w:rFonts w:hint="default" w:ascii="FangSong_GB2312-Identity-H" w:hAnsi="FangSong_GB2312-Identity-H" w:eastAsia="FangSong_GB2312-Identity-H" w:cs="FangSong_GB2312-Identity-H"/>
          <w:snapToGrid w:val="0"/>
          <w:color w:val="000000"/>
          <w:kern w:val="0"/>
          <w:sz w:val="24"/>
          <w:szCs w:val="24"/>
          <w:lang w:val="en-US" w:eastAsia="zh-CN" w:bidi="ar"/>
        </w:rPr>
        <w:t>建设工程质量、进度、造价进行控制，对合同、信息进行管理，</w:t>
      </w:r>
      <w:r>
        <w:rPr>
          <w:rFonts w:hint="default" w:ascii="宋体" w:hAnsi="宋体" w:eastAsia="宋体" w:cs="宋体"/>
          <w:color w:val="auto"/>
          <w:spacing w:val="9"/>
          <w:sz w:val="24"/>
          <w:szCs w:val="24"/>
          <w:highlight w:val="none"/>
          <w:lang w:val="en-US" w:eastAsia="zh-CN"/>
        </w:rPr>
        <w:t>提供施工准备、工程施工、</w:t>
      </w:r>
      <w:r>
        <w:rPr>
          <w:rFonts w:hint="eastAsia" w:ascii="宋体" w:hAnsi="宋体" w:eastAsia="宋体" w:cs="宋体"/>
          <w:color w:val="auto"/>
          <w:spacing w:val="9"/>
          <w:sz w:val="24"/>
          <w:szCs w:val="24"/>
          <w:highlight w:val="none"/>
          <w:lang w:val="en-US" w:eastAsia="zh-CN"/>
        </w:rPr>
        <w:t>竣</w:t>
      </w:r>
      <w:r>
        <w:rPr>
          <w:rFonts w:hint="default" w:ascii="宋体" w:hAnsi="宋体" w:eastAsia="宋体" w:cs="宋体"/>
          <w:color w:val="auto"/>
          <w:spacing w:val="9"/>
          <w:sz w:val="24"/>
          <w:szCs w:val="24"/>
          <w:highlight w:val="none"/>
          <w:lang w:val="en-US" w:eastAsia="zh-CN"/>
        </w:rPr>
        <w:t>工验收与</w:t>
      </w:r>
      <w:r>
        <w:rPr>
          <w:rFonts w:hint="eastAsia" w:ascii="宋体" w:hAnsi="宋体" w:eastAsia="宋体" w:cs="宋体"/>
          <w:color w:val="auto"/>
          <w:spacing w:val="9"/>
          <w:sz w:val="24"/>
          <w:szCs w:val="24"/>
          <w:highlight w:val="none"/>
          <w:lang w:val="en-US" w:eastAsia="zh-CN"/>
        </w:rPr>
        <w:t>保修</w:t>
      </w:r>
      <w:r>
        <w:rPr>
          <w:rFonts w:hint="default" w:ascii="宋体" w:hAnsi="宋体" w:eastAsia="宋体" w:cs="宋体"/>
          <w:color w:val="auto"/>
          <w:spacing w:val="9"/>
          <w:sz w:val="24"/>
          <w:szCs w:val="24"/>
          <w:highlight w:val="none"/>
          <w:lang w:val="en-US" w:eastAsia="zh-CN"/>
        </w:rPr>
        <w:t>期等各阶段的全过程监理服务</w:t>
      </w:r>
      <w:r>
        <w:rPr>
          <w:rFonts w:hint="eastAsia" w:ascii="宋体" w:hAnsi="宋体" w:eastAsia="宋体" w:cs="宋体"/>
          <w:color w:val="auto"/>
          <w:spacing w:val="9"/>
          <w:sz w:val="24"/>
          <w:szCs w:val="24"/>
          <w:highlight w:val="none"/>
          <w:lang w:val="en-US" w:eastAsia="zh-CN"/>
        </w:rPr>
        <w:t>，</w:t>
      </w:r>
      <w:r>
        <w:rPr>
          <w:rFonts w:hint="default" w:ascii="宋体" w:hAnsi="宋体" w:eastAsia="宋体" w:cs="宋体"/>
          <w:color w:val="auto"/>
          <w:spacing w:val="9"/>
          <w:sz w:val="24"/>
          <w:szCs w:val="24"/>
          <w:highlight w:val="none"/>
          <w:lang w:val="en-US" w:eastAsia="zh-CN"/>
        </w:rPr>
        <w:t>对工程建设相关方的关系进行协调，并履行建设工程安全生产管理法定职责的服务活动。</w:t>
      </w:r>
    </w:p>
    <w:p w14:paraId="5A160FFA">
      <w:pPr>
        <w:keepNext w:val="0"/>
        <w:keepLines w:val="0"/>
        <w:pageBreakBefore w:val="0"/>
        <w:widowControl w:val="0"/>
        <w:kinsoku w:val="0"/>
        <w:wordWrap/>
        <w:overflowPunct/>
        <w:topLinePunct w:val="0"/>
        <w:autoSpaceDE w:val="0"/>
        <w:autoSpaceDN w:val="0"/>
        <w:bidi w:val="0"/>
        <w:adjustRightInd w:val="0"/>
        <w:snapToGrid w:val="0"/>
        <w:spacing w:before="78" w:line="500" w:lineRule="atLeast"/>
        <w:jc w:val="both"/>
        <w:textAlignment w:val="baseline"/>
        <w:rPr>
          <w:rFonts w:hint="eastAsia" w:ascii="宋体" w:hAnsi="宋体" w:eastAsia="宋体" w:cs="宋体"/>
          <w:color w:val="auto"/>
          <w:spacing w:val="9"/>
          <w:sz w:val="24"/>
          <w:szCs w:val="24"/>
          <w:highlight w:val="none"/>
          <w:lang w:val="en-US" w:eastAsia="zh-CN"/>
        </w:rPr>
      </w:pPr>
      <w:r>
        <w:rPr>
          <w:rFonts w:hint="eastAsia" w:ascii="宋体" w:hAnsi="宋体" w:eastAsia="宋体" w:cs="宋体"/>
          <w:color w:val="auto"/>
          <w:spacing w:val="9"/>
          <w:sz w:val="24"/>
          <w:szCs w:val="24"/>
          <w:highlight w:val="none"/>
          <w:lang w:val="en-US" w:eastAsia="zh-CN"/>
        </w:rPr>
        <w:t>6</w:t>
      </w:r>
      <w:r>
        <w:rPr>
          <w:rFonts w:hint="default" w:ascii="宋体" w:hAnsi="宋体" w:eastAsia="宋体" w:cs="宋体"/>
          <w:color w:val="auto"/>
          <w:spacing w:val="9"/>
          <w:sz w:val="24"/>
          <w:szCs w:val="24"/>
          <w:highlight w:val="none"/>
          <w:lang w:val="en-US" w:eastAsia="zh-CN"/>
        </w:rPr>
        <w:t>.</w:t>
      </w:r>
      <w:r>
        <w:rPr>
          <w:rFonts w:hint="eastAsia" w:ascii="宋体" w:hAnsi="宋体" w:eastAsia="宋体" w:cs="宋体"/>
          <w:color w:val="auto"/>
          <w:spacing w:val="9"/>
          <w:sz w:val="24"/>
          <w:szCs w:val="24"/>
          <w:highlight w:val="none"/>
          <w:lang w:val="en-US" w:eastAsia="zh-CN"/>
        </w:rPr>
        <w:t xml:space="preserve">2 </w:t>
      </w:r>
      <w:r>
        <w:rPr>
          <w:rFonts w:hint="default" w:ascii="宋体" w:hAnsi="宋体" w:eastAsia="宋体" w:cs="宋体"/>
          <w:color w:val="auto"/>
          <w:spacing w:val="9"/>
          <w:sz w:val="24"/>
          <w:szCs w:val="24"/>
          <w:highlight w:val="none"/>
          <w:lang w:val="en-US" w:eastAsia="zh-CN"/>
        </w:rPr>
        <w:t>监理</w:t>
      </w:r>
      <w:r>
        <w:rPr>
          <w:rFonts w:hint="eastAsia" w:ascii="宋体" w:hAnsi="宋体" w:eastAsia="宋体" w:cs="宋体"/>
          <w:color w:val="auto"/>
          <w:spacing w:val="9"/>
          <w:sz w:val="24"/>
          <w:szCs w:val="24"/>
          <w:highlight w:val="none"/>
          <w:lang w:val="en-US" w:eastAsia="zh-CN"/>
        </w:rPr>
        <w:t>工作内容</w:t>
      </w:r>
      <w:r>
        <w:rPr>
          <w:rFonts w:hint="default" w:ascii="宋体" w:hAnsi="宋体" w:eastAsia="宋体" w:cs="宋体"/>
          <w:color w:val="auto"/>
          <w:spacing w:val="9"/>
          <w:sz w:val="24"/>
          <w:szCs w:val="24"/>
          <w:highlight w:val="none"/>
          <w:lang w:val="en-US" w:eastAsia="zh-CN"/>
        </w:rPr>
        <w:t>包括但不限于以下内容:</w:t>
      </w:r>
    </w:p>
    <w:p w14:paraId="51D17B79">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eastAsia"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（1）收到工程设计文件后编制监理规划，并在第一次工地会议7天前报委托人。根据有关规定和监理工作需要，编制监理实施细则；</w:t>
      </w:r>
    </w:p>
    <w:p w14:paraId="2B7EBCF1">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eastAsia"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（2）熟悉工程设计文件，并参加由委托人主持的图纸会审和设计交底会议；</w:t>
      </w:r>
    </w:p>
    <w:p w14:paraId="3F70678A">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eastAsia"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（3）参加由委托人主持的第一次工地会议；主持监理例会并根据工程需要主持或参加专题会议；</w:t>
      </w:r>
    </w:p>
    <w:p w14:paraId="1D56A77C">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eastAsia"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（4）审查施工承包人提交的施工组织设计，重点审查其中的质量安全技术措施、专项施工方案与工程建设强制性标准的符合性；</w:t>
      </w:r>
    </w:p>
    <w:p w14:paraId="60229F5E">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eastAsia"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（5）检查施工承包人工程质量、安全生产管理制度及组织机构和人员资格；</w:t>
      </w:r>
    </w:p>
    <w:p w14:paraId="4DD64791">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eastAsia"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（6）检查施工承包人专职安全生产管理人员的配备情况；</w:t>
      </w:r>
    </w:p>
    <w:p w14:paraId="118B74C6">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eastAsia"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（7）审查施工承包人提交的施工进度计划，核查承包人对施工进度计划的调整；</w:t>
      </w:r>
    </w:p>
    <w:p w14:paraId="456F4CB8">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eastAsia"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（8）检查施工承包人的试验室；</w:t>
      </w:r>
    </w:p>
    <w:p w14:paraId="340DFB59">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eastAsia"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（9）审核施工分包人资质条件；</w:t>
      </w:r>
    </w:p>
    <w:p w14:paraId="5433C022">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eastAsia"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（10）查验施工承包人的施工测量放线成果；</w:t>
      </w:r>
    </w:p>
    <w:p w14:paraId="07891805">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eastAsia"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（11）审查工程开工条件，对条件具备的签发开工令；</w:t>
      </w:r>
    </w:p>
    <w:p w14:paraId="7B47AB5F">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eastAsia"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（12）审查施工承包人报送的工程材料、构配件、设备质量证明文件的有效性和符合性，并按规定对用于工程的材料采取平行检验或见证取样方式进行抽检；</w:t>
      </w:r>
    </w:p>
    <w:p w14:paraId="5D96B853">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eastAsia"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（13）审核施工承包人提交的工程款支付申请，签发或出具工程款支付证书，并报委托人审核、批准；</w:t>
      </w:r>
    </w:p>
    <w:p w14:paraId="3ACCB226">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eastAsia"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（14）在巡视、旁站和检验过程中，发现工程质量、施工安全存在事故隐患的，要求施工承包人整改并报委托人；</w:t>
      </w:r>
    </w:p>
    <w:p w14:paraId="115AA89E">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eastAsia"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（15）经委托人同意，签发工程暂停令和复工令；</w:t>
      </w:r>
    </w:p>
    <w:p w14:paraId="1D081AF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eastAsia"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（16）审查施工承包人提交的采用新材料、新工艺、新技术、新设备的论证材料及相关验收标准；</w:t>
      </w:r>
    </w:p>
    <w:p w14:paraId="0ED99C46">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eastAsia"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（17）验收隐蔽工程、分部分项工程；</w:t>
      </w:r>
    </w:p>
    <w:p w14:paraId="7D760E2C">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eastAsia"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（18）审查施工承包人提交的工程变更申请，协调处理施工进度调整、费用索赔、合同争议等事项；</w:t>
      </w:r>
    </w:p>
    <w:p w14:paraId="18CE5746">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eastAsia"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（19）审查施工承包人提交的竣工验收申请，编写工程质量评估报告；</w:t>
      </w:r>
    </w:p>
    <w:p w14:paraId="082D7587">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eastAsia"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（20）参加工程竣工验收，签署竣工验收意见；</w:t>
      </w:r>
    </w:p>
    <w:p w14:paraId="25CFF40C">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eastAsia"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（21）审查施工承包人提交的竣工结算申请并报委托人；</w:t>
      </w:r>
    </w:p>
    <w:p w14:paraId="7CC0CB1B">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eastAsia"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（22）编制、整理工程监理归档文件并报委托人。</w:t>
      </w:r>
    </w:p>
    <w:p w14:paraId="54928593">
      <w:pPr>
        <w:keepNext w:val="0"/>
        <w:keepLines w:val="0"/>
        <w:pageBreakBefore w:val="0"/>
        <w:widowControl w:val="0"/>
        <w:kinsoku w:val="0"/>
        <w:wordWrap/>
        <w:overflowPunct/>
        <w:topLinePunct w:val="0"/>
        <w:autoSpaceDE w:val="0"/>
        <w:autoSpaceDN w:val="0"/>
        <w:bidi w:val="0"/>
        <w:adjustRightInd w:val="0"/>
        <w:snapToGrid w:val="0"/>
        <w:spacing w:before="78" w:line="500" w:lineRule="atLeast"/>
        <w:jc w:val="both"/>
        <w:textAlignment w:val="baseline"/>
        <w:rPr>
          <w:rFonts w:hint="eastAsia" w:ascii="宋体" w:hAnsi="宋体" w:eastAsia="宋体" w:cs="宋体"/>
          <w:color w:val="auto"/>
          <w:spacing w:val="9"/>
          <w:sz w:val="24"/>
          <w:szCs w:val="24"/>
          <w:highlight w:val="none"/>
          <w:lang w:val="en-US" w:eastAsia="zh-CN"/>
        </w:rPr>
      </w:pPr>
      <w:r>
        <w:rPr>
          <w:rFonts w:hint="eastAsia" w:ascii="宋体" w:hAnsi="宋体" w:eastAsia="宋体" w:cs="宋体"/>
          <w:color w:val="auto"/>
          <w:spacing w:val="9"/>
          <w:sz w:val="24"/>
          <w:szCs w:val="24"/>
          <w:highlight w:val="none"/>
          <w:lang w:val="en-US" w:eastAsia="zh-CN"/>
        </w:rPr>
        <w:t>6.3 监理依据包括：</w:t>
      </w:r>
    </w:p>
    <w:p w14:paraId="40BEE9E5">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eastAsia"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（1）适用的法律、行政法规及部门规章；</w:t>
      </w:r>
    </w:p>
    <w:p w14:paraId="2121FA04">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eastAsia"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（2）与工程有关的标准；</w:t>
      </w:r>
    </w:p>
    <w:p w14:paraId="511C1F0F">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eastAsia"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（3）工程设计及有关文件；</w:t>
      </w:r>
    </w:p>
    <w:p w14:paraId="382BAFD1">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eastAsia" w:ascii="宋体" w:hAnsi="宋体"/>
          <w:sz w:val="24"/>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（4）本合同及委托人与第三方签订的与实施工程有关的其他合同。</w:t>
      </w:r>
    </w:p>
    <w:p w14:paraId="2F7E1D0B">
      <w:pPr>
        <w:keepNext w:val="0"/>
        <w:keepLines w:val="0"/>
        <w:pageBreakBefore w:val="0"/>
        <w:widowControl w:val="0"/>
        <w:kinsoku w:val="0"/>
        <w:wordWrap/>
        <w:overflowPunct/>
        <w:topLinePunct w:val="0"/>
        <w:autoSpaceDE w:val="0"/>
        <w:autoSpaceDN w:val="0"/>
        <w:bidi w:val="0"/>
        <w:adjustRightInd w:val="0"/>
        <w:snapToGrid w:val="0"/>
        <w:spacing w:before="78" w:line="500" w:lineRule="atLeast"/>
        <w:jc w:val="both"/>
        <w:textAlignment w:val="baseline"/>
        <w:rPr>
          <w:rFonts w:hint="default" w:ascii="宋体" w:hAnsi="宋体" w:eastAsia="宋体" w:cs="宋体"/>
          <w:color w:val="auto"/>
          <w:spacing w:val="9"/>
          <w:sz w:val="24"/>
          <w:szCs w:val="24"/>
          <w:highlight w:val="none"/>
          <w:lang w:val="en-US" w:eastAsia="zh-CN"/>
        </w:rPr>
      </w:pPr>
      <w:r>
        <w:rPr>
          <w:rFonts w:hint="eastAsia" w:ascii="宋体" w:hAnsi="宋体" w:eastAsia="宋体" w:cs="宋体"/>
          <w:color w:val="auto"/>
          <w:spacing w:val="9"/>
          <w:sz w:val="24"/>
          <w:szCs w:val="24"/>
          <w:highlight w:val="none"/>
          <w:lang w:val="en-US" w:eastAsia="zh-CN"/>
        </w:rPr>
        <w:t xml:space="preserve">6.4 </w:t>
      </w:r>
      <w:r>
        <w:rPr>
          <w:rFonts w:hint="default" w:ascii="宋体" w:hAnsi="宋体" w:eastAsia="宋体" w:cs="宋体"/>
          <w:color w:val="auto"/>
          <w:spacing w:val="9"/>
          <w:sz w:val="24"/>
          <w:szCs w:val="24"/>
          <w:highlight w:val="none"/>
          <w:lang w:val="en-US" w:eastAsia="zh-CN"/>
        </w:rPr>
        <w:t>人员配置要求:</w:t>
      </w:r>
    </w:p>
    <w:p w14:paraId="1B628072">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default"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（1）</w:t>
      </w:r>
      <w:r>
        <w:rPr>
          <w:rFonts w:hint="default" w:ascii="FangSong_GB2312-Identity-H" w:hAnsi="FangSong_GB2312-Identity-H" w:eastAsia="FangSong_GB2312-Identity-H" w:cs="FangSong_GB2312-Identity-H"/>
          <w:snapToGrid w:val="0"/>
          <w:color w:val="000000"/>
          <w:kern w:val="0"/>
          <w:sz w:val="24"/>
          <w:szCs w:val="24"/>
          <w:lang w:val="en-US" w:eastAsia="zh-CN" w:bidi="ar"/>
        </w:rPr>
        <w:t>总监理工程师1名：</w:t>
      </w:r>
      <w:r>
        <w:rPr>
          <w:rFonts w:hint="eastAsia" w:ascii="FangSong_GB2312-Identity-H" w:hAnsi="FangSong_GB2312-Identity-H" w:eastAsia="FangSong_GB2312-Identity-H" w:cs="FangSong_GB2312-Identity-H"/>
          <w:snapToGrid w:val="0"/>
          <w:color w:val="000000"/>
          <w:kern w:val="0"/>
          <w:sz w:val="24"/>
          <w:szCs w:val="24"/>
          <w:lang w:val="en-US" w:eastAsia="zh-CN" w:bidi="ar"/>
        </w:rPr>
        <w:t>具有</w:t>
      </w:r>
      <w:r>
        <w:rPr>
          <w:rFonts w:hint="default" w:ascii="FangSong_GB2312-Identity-H" w:hAnsi="FangSong_GB2312-Identity-H" w:eastAsia="FangSong_GB2312-Identity-H" w:cs="FangSong_GB2312-Identity-H"/>
          <w:snapToGrid w:val="0"/>
          <w:color w:val="000000"/>
          <w:kern w:val="0"/>
          <w:sz w:val="24"/>
          <w:szCs w:val="24"/>
          <w:lang w:val="en-US" w:eastAsia="zh-CN" w:bidi="ar"/>
        </w:rPr>
        <w:t>建筑工程专业注册监理工程师</w:t>
      </w:r>
      <w:r>
        <w:rPr>
          <w:rFonts w:hint="eastAsia" w:ascii="FangSong_GB2312-Identity-H" w:hAnsi="FangSong_GB2312-Identity-H" w:eastAsia="FangSong_GB2312-Identity-H" w:cs="FangSong_GB2312-Identity-H"/>
          <w:snapToGrid w:val="0"/>
          <w:color w:val="000000"/>
          <w:kern w:val="0"/>
          <w:sz w:val="24"/>
          <w:szCs w:val="24"/>
          <w:lang w:val="en-US" w:eastAsia="zh-CN" w:bidi="ar"/>
        </w:rPr>
        <w:t>资质</w:t>
      </w:r>
      <w:r>
        <w:rPr>
          <w:rFonts w:hint="default" w:ascii="FangSong_GB2312-Identity-H" w:hAnsi="FangSong_GB2312-Identity-H" w:eastAsia="FangSong_GB2312-Identity-H" w:cs="FangSong_GB2312-Identity-H"/>
          <w:snapToGrid w:val="0"/>
          <w:color w:val="000000"/>
          <w:kern w:val="0"/>
          <w:sz w:val="24"/>
          <w:szCs w:val="24"/>
          <w:lang w:val="en-US" w:eastAsia="zh-CN" w:bidi="ar"/>
        </w:rPr>
        <w:t>；</w:t>
      </w:r>
    </w:p>
    <w:p w14:paraId="17E1C4B1">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default"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（2）</w:t>
      </w:r>
      <w:r>
        <w:rPr>
          <w:rFonts w:hint="default" w:ascii="FangSong_GB2312-Identity-H" w:hAnsi="FangSong_GB2312-Identity-H" w:eastAsia="FangSong_GB2312-Identity-H" w:cs="FangSong_GB2312-Identity-H"/>
          <w:snapToGrid w:val="0"/>
          <w:color w:val="000000"/>
          <w:kern w:val="0"/>
          <w:sz w:val="24"/>
          <w:szCs w:val="24"/>
          <w:lang w:val="en-US" w:eastAsia="zh-CN" w:bidi="ar"/>
        </w:rPr>
        <w:t>专业监理人员</w:t>
      </w:r>
      <w:r>
        <w:rPr>
          <w:rFonts w:hint="eastAsia" w:ascii="FangSong_GB2312-Identity-H" w:hAnsi="FangSong_GB2312-Identity-H" w:eastAsia="FangSong_GB2312-Identity-H" w:cs="FangSong_GB2312-Identity-H"/>
          <w:snapToGrid w:val="0"/>
          <w:color w:val="000000"/>
          <w:kern w:val="0"/>
          <w:sz w:val="24"/>
          <w:szCs w:val="24"/>
          <w:lang w:val="en-US" w:eastAsia="zh-CN" w:bidi="ar"/>
        </w:rPr>
        <w:t>2</w:t>
      </w:r>
      <w:r>
        <w:rPr>
          <w:rFonts w:hint="default" w:ascii="FangSong_GB2312-Identity-H" w:hAnsi="FangSong_GB2312-Identity-H" w:eastAsia="FangSong_GB2312-Identity-H" w:cs="FangSong_GB2312-Identity-H"/>
          <w:snapToGrid w:val="0"/>
          <w:color w:val="000000"/>
          <w:kern w:val="0"/>
          <w:sz w:val="24"/>
          <w:szCs w:val="24"/>
          <w:lang w:val="en-US" w:eastAsia="zh-CN" w:bidi="ar"/>
        </w:rPr>
        <w:t>名：具有建筑工程</w:t>
      </w:r>
      <w:r>
        <w:rPr>
          <w:rFonts w:hint="eastAsia" w:ascii="FangSong_GB2312-Identity-H" w:hAnsi="FangSong_GB2312-Identity-H" w:eastAsia="FangSong_GB2312-Identity-H" w:cs="FangSong_GB2312-Identity-H"/>
          <w:snapToGrid w:val="0"/>
          <w:color w:val="000000"/>
          <w:kern w:val="0"/>
          <w:sz w:val="24"/>
          <w:szCs w:val="24"/>
          <w:lang w:val="en-US" w:eastAsia="zh-CN" w:bidi="ar"/>
        </w:rPr>
        <w:t>专业的</w:t>
      </w:r>
      <w:r>
        <w:rPr>
          <w:rFonts w:hint="default" w:ascii="FangSong_GB2312-Identity-H" w:hAnsi="FangSong_GB2312-Identity-H" w:eastAsia="FangSong_GB2312-Identity-H" w:cs="FangSong_GB2312-Identity-H"/>
          <w:snapToGrid w:val="0"/>
          <w:color w:val="000000"/>
          <w:kern w:val="0"/>
          <w:sz w:val="24"/>
          <w:szCs w:val="24"/>
          <w:lang w:val="en-US" w:eastAsia="zh-CN" w:bidi="ar"/>
        </w:rPr>
        <w:t>专业</w:t>
      </w:r>
      <w:r>
        <w:rPr>
          <w:rFonts w:hint="eastAsia" w:ascii="FangSong_GB2312-Identity-H" w:hAnsi="FangSong_GB2312-Identity-H" w:eastAsia="FangSong_GB2312-Identity-H" w:cs="FangSong_GB2312-Identity-H"/>
          <w:snapToGrid w:val="0"/>
          <w:color w:val="000000"/>
          <w:kern w:val="0"/>
          <w:sz w:val="24"/>
          <w:szCs w:val="24"/>
          <w:lang w:val="en-US" w:eastAsia="zh-CN" w:bidi="ar"/>
        </w:rPr>
        <w:t>监理工程师；</w:t>
      </w:r>
    </w:p>
    <w:p w14:paraId="1C838D10">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default" w:ascii="FangSong_GB2312-Identity-H" w:hAnsi="FangSong_GB2312-Identity-H" w:eastAsia="FangSong_GB2312-Identity-H" w:cs="FangSong_GB2312-Identity-H"/>
          <w:snapToGrid w:val="0"/>
          <w:color w:val="000000"/>
          <w:kern w:val="0"/>
          <w:sz w:val="24"/>
          <w:szCs w:val="24"/>
          <w:lang w:val="en-US" w:eastAsia="zh-CN" w:bidi="ar"/>
        </w:rPr>
      </w:pPr>
      <w:r>
        <w:rPr>
          <w:rFonts w:hint="eastAsia" w:ascii="FangSong_GB2312-Identity-H" w:hAnsi="FangSong_GB2312-Identity-H" w:eastAsia="FangSong_GB2312-Identity-H" w:cs="FangSong_GB2312-Identity-H"/>
          <w:snapToGrid w:val="0"/>
          <w:color w:val="000000"/>
          <w:kern w:val="0"/>
          <w:sz w:val="24"/>
          <w:szCs w:val="24"/>
          <w:lang w:val="en-US" w:eastAsia="zh-CN" w:bidi="ar"/>
        </w:rPr>
        <w:t>（3）</w:t>
      </w:r>
      <w:r>
        <w:rPr>
          <w:rFonts w:hint="default" w:ascii="FangSong_GB2312-Identity-H" w:hAnsi="FangSong_GB2312-Identity-H" w:eastAsia="FangSong_GB2312-Identity-H" w:cs="FangSong_GB2312-Identity-H"/>
          <w:snapToGrid w:val="0"/>
          <w:color w:val="000000"/>
          <w:kern w:val="0"/>
          <w:sz w:val="24"/>
          <w:szCs w:val="24"/>
          <w:lang w:val="en-US" w:eastAsia="zh-CN" w:bidi="ar"/>
        </w:rPr>
        <w:t>监理员</w:t>
      </w:r>
      <w:r>
        <w:rPr>
          <w:rFonts w:hint="eastAsia" w:ascii="FangSong_GB2312-Identity-H" w:hAnsi="FangSong_GB2312-Identity-H" w:eastAsia="FangSong_GB2312-Identity-H" w:cs="FangSong_GB2312-Identity-H"/>
          <w:snapToGrid w:val="0"/>
          <w:color w:val="000000"/>
          <w:kern w:val="0"/>
          <w:sz w:val="24"/>
          <w:szCs w:val="24"/>
          <w:lang w:val="en-US" w:eastAsia="zh-CN" w:bidi="ar"/>
        </w:rPr>
        <w:t>2</w:t>
      </w:r>
      <w:r>
        <w:rPr>
          <w:rFonts w:hint="default" w:ascii="FangSong_GB2312-Identity-H" w:hAnsi="FangSong_GB2312-Identity-H" w:eastAsia="FangSong_GB2312-Identity-H" w:cs="FangSong_GB2312-Identity-H"/>
          <w:snapToGrid w:val="0"/>
          <w:color w:val="000000"/>
          <w:kern w:val="0"/>
          <w:sz w:val="24"/>
          <w:szCs w:val="24"/>
          <w:lang w:val="en-US" w:eastAsia="zh-CN" w:bidi="ar"/>
        </w:rPr>
        <w:t>名，</w:t>
      </w:r>
      <w:r>
        <w:rPr>
          <w:rFonts w:hint="eastAsia" w:ascii="FangSong_GB2312-Identity-H" w:hAnsi="FangSong_GB2312-Identity-H" w:eastAsia="FangSong_GB2312-Identity-H" w:cs="FangSong_GB2312-Identity-H"/>
          <w:snapToGrid w:val="0"/>
          <w:color w:val="000000"/>
          <w:kern w:val="0"/>
          <w:sz w:val="24"/>
          <w:szCs w:val="24"/>
          <w:lang w:val="en-US" w:eastAsia="zh-CN" w:bidi="ar"/>
        </w:rPr>
        <w:t>具有</w:t>
      </w:r>
      <w:r>
        <w:rPr>
          <w:rFonts w:hint="default" w:ascii="FangSong_GB2312-Identity-H" w:hAnsi="FangSong_GB2312-Identity-H" w:eastAsia="FangSong_GB2312-Identity-H" w:cs="FangSong_GB2312-Identity-H"/>
          <w:snapToGrid w:val="0"/>
          <w:color w:val="000000"/>
          <w:kern w:val="0"/>
          <w:sz w:val="24"/>
          <w:szCs w:val="24"/>
          <w:lang w:val="en-US" w:eastAsia="zh-CN" w:bidi="ar"/>
        </w:rPr>
        <w:t>省级及以上监理</w:t>
      </w:r>
      <w:r>
        <w:rPr>
          <w:rFonts w:hint="eastAsia" w:ascii="FangSong_GB2312-Identity-H" w:hAnsi="FangSong_GB2312-Identity-H" w:eastAsia="FangSong_GB2312-Identity-H" w:cs="FangSong_GB2312-Identity-H"/>
          <w:snapToGrid w:val="0"/>
          <w:color w:val="000000"/>
          <w:kern w:val="0"/>
          <w:sz w:val="24"/>
          <w:szCs w:val="24"/>
          <w:lang w:val="en-US" w:eastAsia="zh-CN" w:bidi="ar"/>
        </w:rPr>
        <w:t>员资质</w:t>
      </w:r>
      <w:r>
        <w:rPr>
          <w:rFonts w:hint="default" w:ascii="FangSong_GB2312-Identity-H" w:hAnsi="FangSong_GB2312-Identity-H" w:eastAsia="FangSong_GB2312-Identity-H" w:cs="FangSong_GB2312-Identity-H"/>
          <w:snapToGrid w:val="0"/>
          <w:color w:val="000000"/>
          <w:kern w:val="0"/>
          <w:sz w:val="24"/>
          <w:szCs w:val="24"/>
          <w:lang w:val="en-US" w:eastAsia="zh-CN" w:bidi="ar"/>
        </w:rPr>
        <w:t>。</w:t>
      </w:r>
    </w:p>
    <w:p w14:paraId="382DFFA1">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516" w:firstLineChars="200"/>
        <w:jc w:val="both"/>
        <w:textAlignment w:val="baseline"/>
        <w:rPr>
          <w:rFonts w:hint="default" w:ascii="宋体" w:hAnsi="宋体" w:eastAsia="宋体" w:cs="宋体"/>
          <w:color w:val="auto"/>
          <w:spacing w:val="9"/>
          <w:sz w:val="24"/>
          <w:szCs w:val="24"/>
          <w:highlight w:val="none"/>
          <w:lang w:val="en-US" w:eastAsia="zh-CN"/>
        </w:rPr>
      </w:pPr>
      <w:r>
        <w:rPr>
          <w:rFonts w:hint="default" w:ascii="宋体" w:hAnsi="宋体" w:eastAsia="宋体" w:cs="宋体"/>
          <w:color w:val="auto"/>
          <w:spacing w:val="9"/>
          <w:sz w:val="24"/>
          <w:szCs w:val="24"/>
          <w:highlight w:val="none"/>
          <w:lang w:val="en-US" w:eastAsia="zh-CN"/>
        </w:rPr>
        <w:t>以上人员</w:t>
      </w:r>
      <w:r>
        <w:rPr>
          <w:rFonts w:hint="eastAsia" w:ascii="宋体" w:hAnsi="宋体" w:eastAsia="宋体" w:cs="宋体"/>
          <w:color w:val="auto"/>
          <w:spacing w:val="9"/>
          <w:sz w:val="24"/>
          <w:szCs w:val="24"/>
          <w:highlight w:val="none"/>
          <w:lang w:val="en-US" w:eastAsia="zh-CN"/>
        </w:rPr>
        <w:t>需</w:t>
      </w:r>
      <w:r>
        <w:rPr>
          <w:rFonts w:hint="default" w:ascii="宋体" w:hAnsi="宋体" w:eastAsia="宋体" w:cs="宋体"/>
          <w:color w:val="auto"/>
          <w:spacing w:val="9"/>
          <w:sz w:val="24"/>
          <w:szCs w:val="24"/>
          <w:highlight w:val="none"/>
          <w:lang w:val="en-US" w:eastAsia="zh-CN"/>
        </w:rPr>
        <w:t>提供相关证书及开标截止时间前6个月内任意1个月</w:t>
      </w:r>
      <w:r>
        <w:rPr>
          <w:rFonts w:hint="eastAsia" w:ascii="宋体" w:hAnsi="宋体" w:eastAsia="宋体" w:cs="宋体"/>
          <w:color w:val="auto"/>
          <w:spacing w:val="9"/>
          <w:sz w:val="24"/>
          <w:szCs w:val="24"/>
          <w:highlight w:val="none"/>
          <w:lang w:val="en-US" w:eastAsia="zh-CN"/>
        </w:rPr>
        <w:t>供应商</w:t>
      </w:r>
      <w:r>
        <w:rPr>
          <w:rFonts w:hint="default" w:ascii="宋体" w:hAnsi="宋体" w:eastAsia="宋体" w:cs="宋体"/>
          <w:color w:val="auto"/>
          <w:spacing w:val="9"/>
          <w:sz w:val="24"/>
          <w:szCs w:val="24"/>
          <w:highlight w:val="none"/>
          <w:lang w:val="en-US" w:eastAsia="zh-CN"/>
        </w:rPr>
        <w:t>为其缴纳的社保的证明材料加盖公章。</w:t>
      </w:r>
    </w:p>
    <w:p w14:paraId="4CDEBD5C">
      <w:pPr>
        <w:keepNext w:val="0"/>
        <w:keepLines w:val="0"/>
        <w:pageBreakBefore w:val="0"/>
        <w:widowControl w:val="0"/>
        <w:kinsoku w:val="0"/>
        <w:wordWrap/>
        <w:overflowPunct/>
        <w:topLinePunct w:val="0"/>
        <w:autoSpaceDE w:val="0"/>
        <w:autoSpaceDN w:val="0"/>
        <w:bidi w:val="0"/>
        <w:adjustRightInd w:val="0"/>
        <w:snapToGrid w:val="0"/>
        <w:spacing w:before="78" w:line="500" w:lineRule="atLeast"/>
        <w:jc w:val="both"/>
        <w:textAlignment w:val="baseline"/>
        <w:rPr>
          <w:rFonts w:hint="eastAsia" w:ascii="宋体" w:hAnsi="宋体" w:eastAsia="宋体" w:cs="宋体"/>
          <w:color w:val="auto"/>
          <w:spacing w:val="9"/>
          <w:sz w:val="24"/>
          <w:szCs w:val="24"/>
          <w:highlight w:val="none"/>
          <w:lang w:val="en-US" w:eastAsia="zh-CN"/>
        </w:rPr>
      </w:pPr>
      <w:r>
        <w:rPr>
          <w:rFonts w:hint="eastAsia" w:ascii="宋体" w:hAnsi="宋体" w:eastAsia="宋体" w:cs="宋体"/>
          <w:color w:val="auto"/>
          <w:spacing w:val="9"/>
          <w:sz w:val="24"/>
          <w:szCs w:val="24"/>
          <w:highlight w:val="none"/>
          <w:lang w:val="en-US" w:eastAsia="zh-CN"/>
        </w:rPr>
        <w:t>6</w:t>
      </w:r>
      <w:r>
        <w:rPr>
          <w:rFonts w:hint="default" w:ascii="宋体" w:hAnsi="宋体" w:eastAsia="宋体" w:cs="宋体"/>
          <w:color w:val="auto"/>
          <w:spacing w:val="9"/>
          <w:sz w:val="24"/>
          <w:szCs w:val="24"/>
          <w:highlight w:val="none"/>
          <w:lang w:val="en-US" w:eastAsia="zh-CN"/>
        </w:rPr>
        <w:t>.</w:t>
      </w:r>
      <w:r>
        <w:rPr>
          <w:rFonts w:hint="eastAsia" w:ascii="宋体" w:hAnsi="宋体" w:eastAsia="宋体" w:cs="宋体"/>
          <w:color w:val="auto"/>
          <w:spacing w:val="9"/>
          <w:sz w:val="24"/>
          <w:szCs w:val="24"/>
          <w:highlight w:val="none"/>
          <w:lang w:val="en-US" w:eastAsia="zh-CN"/>
        </w:rPr>
        <w:t>5 履行职责</w:t>
      </w:r>
    </w:p>
    <w:p w14:paraId="70DEA962">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516" w:firstLineChars="200"/>
        <w:jc w:val="both"/>
        <w:textAlignment w:val="baseline"/>
        <w:rPr>
          <w:rFonts w:hint="default" w:ascii="宋体" w:hAnsi="宋体" w:eastAsia="宋体" w:cs="宋体"/>
          <w:color w:val="auto"/>
          <w:spacing w:val="9"/>
          <w:sz w:val="24"/>
          <w:szCs w:val="24"/>
          <w:highlight w:val="none"/>
          <w:lang w:val="en-US" w:eastAsia="zh-CN"/>
        </w:rPr>
      </w:pPr>
      <w:r>
        <w:rPr>
          <w:rFonts w:hint="default" w:ascii="宋体" w:hAnsi="宋体" w:eastAsia="宋体" w:cs="宋体"/>
          <w:color w:val="auto"/>
          <w:spacing w:val="9"/>
          <w:sz w:val="24"/>
          <w:szCs w:val="24"/>
          <w:highlight w:val="none"/>
          <w:lang w:val="en-US" w:eastAsia="zh-CN"/>
        </w:rPr>
        <w:t>监理单位</w:t>
      </w:r>
      <w:r>
        <w:rPr>
          <w:rFonts w:hint="eastAsia" w:ascii="宋体" w:hAnsi="宋体"/>
          <w:kern w:val="0"/>
          <w:sz w:val="24"/>
        </w:rPr>
        <w:t>应遵循职业道德准则和行为规范，严格按照法律法规、工程建设有关标准及本合同履行职责。</w:t>
      </w:r>
      <w:r>
        <w:rPr>
          <w:rFonts w:hint="default" w:ascii="宋体" w:hAnsi="宋体" w:eastAsia="宋体" w:cs="宋体"/>
          <w:color w:val="auto"/>
          <w:spacing w:val="9"/>
          <w:sz w:val="24"/>
          <w:szCs w:val="24"/>
          <w:highlight w:val="none"/>
          <w:lang w:val="en-US" w:eastAsia="zh-CN"/>
        </w:rPr>
        <w:t>总监理工程师每月不得少于</w:t>
      </w:r>
      <w:r>
        <w:rPr>
          <w:rFonts w:hint="eastAsia" w:ascii="宋体" w:hAnsi="宋体" w:eastAsia="宋体" w:cs="宋体"/>
          <w:color w:val="auto"/>
          <w:spacing w:val="9"/>
          <w:sz w:val="24"/>
          <w:szCs w:val="24"/>
          <w:highlight w:val="none"/>
          <w:lang w:val="en-US" w:eastAsia="zh-CN"/>
        </w:rPr>
        <w:t>8</w:t>
      </w:r>
      <w:r>
        <w:rPr>
          <w:rFonts w:hint="default" w:ascii="宋体" w:hAnsi="宋体" w:eastAsia="宋体" w:cs="宋体"/>
          <w:color w:val="auto"/>
          <w:spacing w:val="9"/>
          <w:sz w:val="24"/>
          <w:szCs w:val="24"/>
          <w:highlight w:val="none"/>
          <w:lang w:val="en-US" w:eastAsia="zh-CN"/>
        </w:rPr>
        <w:t>天时间在施工现场</w:t>
      </w:r>
      <w:r>
        <w:rPr>
          <w:rFonts w:hint="eastAsia" w:ascii="宋体" w:hAnsi="宋体" w:eastAsia="宋体" w:cs="宋体"/>
          <w:color w:val="auto"/>
          <w:spacing w:val="9"/>
          <w:sz w:val="24"/>
          <w:szCs w:val="24"/>
          <w:highlight w:val="none"/>
          <w:lang w:val="en-US" w:eastAsia="zh-CN"/>
        </w:rPr>
        <w:t>，</w:t>
      </w:r>
      <w:r>
        <w:rPr>
          <w:rFonts w:hint="default" w:ascii="宋体" w:hAnsi="宋体" w:eastAsia="宋体" w:cs="宋体"/>
          <w:color w:val="auto"/>
          <w:spacing w:val="9"/>
          <w:sz w:val="24"/>
          <w:szCs w:val="24"/>
          <w:highlight w:val="none"/>
          <w:lang w:val="en-US" w:eastAsia="zh-CN"/>
        </w:rPr>
        <w:t>其他监理人员每月不得少于22天时间在施工现场。重要的工程部位和隐蔽工程必须实施旁站监理。当监理工程师及其他监理人员月出勤人数和天数未达到上述规定时，按每人500元/天进行罚款。因人员未到岗到位累计罚款达到</w:t>
      </w:r>
      <w:r>
        <w:rPr>
          <w:rFonts w:hint="eastAsia" w:ascii="宋体" w:hAnsi="宋体" w:eastAsia="宋体" w:cs="宋体"/>
          <w:color w:val="auto"/>
          <w:spacing w:val="9"/>
          <w:sz w:val="24"/>
          <w:szCs w:val="24"/>
          <w:highlight w:val="none"/>
          <w:lang w:val="en-US" w:eastAsia="zh-CN"/>
        </w:rPr>
        <w:t>1</w:t>
      </w:r>
      <w:r>
        <w:rPr>
          <w:rFonts w:hint="default" w:ascii="宋体" w:hAnsi="宋体" w:eastAsia="宋体" w:cs="宋体"/>
          <w:color w:val="auto"/>
          <w:spacing w:val="9"/>
          <w:sz w:val="24"/>
          <w:szCs w:val="24"/>
          <w:highlight w:val="none"/>
          <w:lang w:val="en-US" w:eastAsia="zh-CN"/>
        </w:rPr>
        <w:t>0万元，招标人有权终止合同并没收其履约保证金。项目监理服务期内，监理单位不得随意更换投标文件承诺的派驻本工程的监理人员，如若调整，必须得到招标人的同意</w:t>
      </w:r>
      <w:r>
        <w:rPr>
          <w:rFonts w:hint="eastAsia" w:ascii="宋体" w:hAnsi="宋体" w:eastAsia="宋体" w:cs="宋体"/>
          <w:color w:val="auto"/>
          <w:spacing w:val="9"/>
          <w:sz w:val="24"/>
          <w:szCs w:val="24"/>
          <w:highlight w:val="none"/>
          <w:lang w:val="en-US" w:eastAsia="zh-CN"/>
        </w:rPr>
        <w:t>。</w:t>
      </w:r>
    </w:p>
    <w:p w14:paraId="494CB1AF">
      <w:pPr>
        <w:keepNext w:val="0"/>
        <w:keepLines w:val="0"/>
        <w:pageBreakBefore w:val="0"/>
        <w:widowControl w:val="0"/>
        <w:kinsoku w:val="0"/>
        <w:wordWrap/>
        <w:overflowPunct/>
        <w:topLinePunct w:val="0"/>
        <w:autoSpaceDE w:val="0"/>
        <w:autoSpaceDN w:val="0"/>
        <w:bidi w:val="0"/>
        <w:adjustRightInd w:val="0"/>
        <w:snapToGrid w:val="0"/>
        <w:spacing w:before="78" w:line="500" w:lineRule="atLeast"/>
        <w:jc w:val="both"/>
        <w:textAlignment w:val="baseline"/>
        <w:rPr>
          <w:rFonts w:hint="default" w:ascii="宋体" w:hAnsi="宋体" w:eastAsia="宋体" w:cs="宋体"/>
          <w:color w:val="auto"/>
          <w:spacing w:val="9"/>
          <w:sz w:val="24"/>
          <w:szCs w:val="24"/>
          <w:highlight w:val="none"/>
          <w:lang w:val="en-US" w:eastAsia="zh-CN"/>
        </w:rPr>
      </w:pPr>
      <w:r>
        <w:rPr>
          <w:rFonts w:hint="eastAsia" w:ascii="宋体" w:hAnsi="宋体" w:eastAsia="宋体" w:cs="宋体"/>
          <w:color w:val="auto"/>
          <w:spacing w:val="9"/>
          <w:sz w:val="24"/>
          <w:szCs w:val="24"/>
          <w:highlight w:val="none"/>
          <w:lang w:val="en-US" w:eastAsia="zh-CN"/>
        </w:rPr>
        <w:t xml:space="preserve">6.6 </w:t>
      </w:r>
      <w:r>
        <w:rPr>
          <w:rFonts w:hint="default" w:ascii="宋体" w:hAnsi="宋体" w:eastAsia="宋体" w:cs="宋体"/>
          <w:color w:val="auto"/>
          <w:spacing w:val="9"/>
          <w:sz w:val="24"/>
          <w:szCs w:val="24"/>
          <w:highlight w:val="none"/>
          <w:lang w:val="en-US" w:eastAsia="zh-CN"/>
        </w:rPr>
        <w:t>监理服务工作成果</w:t>
      </w:r>
      <w:r>
        <w:rPr>
          <w:rFonts w:hint="eastAsia" w:ascii="宋体" w:hAnsi="宋体" w:eastAsia="宋体" w:cs="宋体"/>
          <w:color w:val="auto"/>
          <w:spacing w:val="9"/>
          <w:sz w:val="24"/>
          <w:szCs w:val="24"/>
          <w:highlight w:val="none"/>
          <w:lang w:val="en-US" w:eastAsia="zh-CN"/>
        </w:rPr>
        <w:t>及要求：</w:t>
      </w:r>
    </w:p>
    <w:p w14:paraId="307610AE">
      <w:pPr>
        <w:keepNext w:val="0"/>
        <w:keepLines w:val="0"/>
        <w:pageBreakBefore w:val="0"/>
        <w:widowControl w:val="0"/>
        <w:kinsoku w:val="0"/>
        <w:wordWrap/>
        <w:overflowPunct/>
        <w:topLinePunct w:val="0"/>
        <w:autoSpaceDE w:val="0"/>
        <w:autoSpaceDN w:val="0"/>
        <w:bidi w:val="0"/>
        <w:adjustRightInd w:val="0"/>
        <w:snapToGrid w:val="0"/>
        <w:spacing w:before="78" w:line="500" w:lineRule="atLeast"/>
        <w:jc w:val="both"/>
        <w:textAlignment w:val="baseline"/>
        <w:rPr>
          <w:rFonts w:hint="default" w:ascii="宋体" w:hAnsi="宋体" w:eastAsia="宋体" w:cs="宋体"/>
          <w:color w:val="auto"/>
          <w:spacing w:val="9"/>
          <w:sz w:val="24"/>
          <w:szCs w:val="24"/>
          <w:highlight w:val="none"/>
          <w:lang w:val="en-US" w:eastAsia="zh-CN"/>
        </w:rPr>
      </w:pPr>
      <w:r>
        <w:rPr>
          <w:rFonts w:hint="eastAsia" w:ascii="宋体" w:hAnsi="宋体" w:eastAsia="宋体" w:cs="宋体"/>
          <w:color w:val="auto"/>
          <w:spacing w:val="9"/>
          <w:sz w:val="24"/>
          <w:szCs w:val="24"/>
          <w:highlight w:val="none"/>
          <w:lang w:val="en-US" w:eastAsia="zh-CN"/>
        </w:rPr>
        <w:t>6.6.1 提交报告</w:t>
      </w:r>
    </w:p>
    <w:p w14:paraId="77F6D05E">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default" w:ascii="宋体" w:hAnsi="宋体" w:eastAsia="宋体" w:cs="宋体"/>
          <w:color w:val="auto"/>
          <w:spacing w:val="9"/>
          <w:sz w:val="24"/>
          <w:szCs w:val="24"/>
          <w:highlight w:val="none"/>
          <w:lang w:val="en-US" w:eastAsia="zh-CN"/>
        </w:rPr>
      </w:pPr>
      <w:r>
        <w:rPr>
          <w:rFonts w:hint="eastAsia" w:ascii="宋体" w:hAnsi="宋体"/>
          <w:sz w:val="24"/>
        </w:rPr>
        <w:t>（1）</w:t>
      </w:r>
      <w:r>
        <w:rPr>
          <w:rFonts w:hint="default" w:ascii="宋体" w:hAnsi="宋体" w:eastAsia="宋体" w:cs="宋体"/>
          <w:color w:val="auto"/>
          <w:spacing w:val="9"/>
          <w:sz w:val="24"/>
          <w:szCs w:val="24"/>
          <w:highlight w:val="none"/>
          <w:lang w:val="en-US" w:eastAsia="zh-CN"/>
        </w:rPr>
        <w:t>做好项目建设监理日记、月报、阶段性总结的记录与整理工作。</w:t>
      </w:r>
    </w:p>
    <w:p w14:paraId="58D4B3F4">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default" w:ascii="宋体" w:hAnsi="宋体" w:eastAsia="宋体" w:cs="宋体"/>
          <w:color w:val="auto"/>
          <w:spacing w:val="9"/>
          <w:sz w:val="24"/>
          <w:szCs w:val="24"/>
          <w:highlight w:val="none"/>
          <w:lang w:val="en-US" w:eastAsia="zh-CN"/>
        </w:rPr>
      </w:pPr>
      <w:r>
        <w:rPr>
          <w:rFonts w:hint="eastAsia" w:ascii="宋体" w:hAnsi="宋体"/>
          <w:sz w:val="24"/>
        </w:rPr>
        <w:t>（</w:t>
      </w:r>
      <w:r>
        <w:rPr>
          <w:rFonts w:hint="eastAsia" w:ascii="宋体" w:hAnsi="宋体" w:eastAsia="宋体"/>
          <w:sz w:val="24"/>
          <w:lang w:val="en-US" w:eastAsia="zh-CN"/>
        </w:rPr>
        <w:t>2</w:t>
      </w:r>
      <w:r>
        <w:rPr>
          <w:rFonts w:hint="eastAsia" w:ascii="宋体" w:hAnsi="宋体"/>
          <w:sz w:val="24"/>
        </w:rPr>
        <w:t>）</w:t>
      </w:r>
      <w:r>
        <w:rPr>
          <w:rFonts w:hint="default" w:ascii="宋体" w:hAnsi="宋体" w:eastAsia="宋体" w:cs="宋体"/>
          <w:color w:val="auto"/>
          <w:spacing w:val="9"/>
          <w:sz w:val="24"/>
          <w:szCs w:val="24"/>
          <w:highlight w:val="none"/>
          <w:lang w:val="en-US" w:eastAsia="zh-CN"/>
        </w:rPr>
        <w:t>妥善保管项目设计、实施及验收过程中生成的各种资料文档。</w:t>
      </w:r>
    </w:p>
    <w:p w14:paraId="08B5774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default" w:ascii="宋体" w:hAnsi="宋体" w:eastAsia="宋体" w:cs="宋体"/>
          <w:color w:val="auto"/>
          <w:spacing w:val="9"/>
          <w:sz w:val="24"/>
          <w:szCs w:val="24"/>
          <w:highlight w:val="none"/>
          <w:lang w:val="en-US" w:eastAsia="zh-CN"/>
        </w:rPr>
      </w:pPr>
      <w:r>
        <w:rPr>
          <w:rFonts w:hint="eastAsia" w:ascii="宋体" w:hAnsi="宋体"/>
          <w:sz w:val="24"/>
        </w:rPr>
        <w:t>（</w:t>
      </w:r>
      <w:r>
        <w:rPr>
          <w:rFonts w:hint="eastAsia" w:ascii="宋体" w:hAnsi="宋体" w:eastAsia="宋体"/>
          <w:sz w:val="24"/>
          <w:lang w:val="en-US" w:eastAsia="zh-CN"/>
        </w:rPr>
        <w:t>3</w:t>
      </w:r>
      <w:r>
        <w:rPr>
          <w:rFonts w:hint="eastAsia" w:ascii="宋体" w:hAnsi="宋体"/>
          <w:sz w:val="24"/>
        </w:rPr>
        <w:t>）</w:t>
      </w:r>
      <w:r>
        <w:rPr>
          <w:rFonts w:hint="default" w:ascii="宋体" w:hAnsi="宋体" w:eastAsia="宋体" w:cs="宋体"/>
          <w:color w:val="auto"/>
          <w:spacing w:val="9"/>
          <w:sz w:val="24"/>
          <w:szCs w:val="24"/>
          <w:highlight w:val="none"/>
          <w:lang w:val="en-US" w:eastAsia="zh-CN"/>
        </w:rPr>
        <w:t>项目竣工验收后15个工作日内，监理人应向采购人提交一套完整的、符合城建档案管理要求的监理归档资料，包括但不限于监理规划、监理实施细则、监理</w:t>
      </w:r>
      <w:bookmarkStart w:id="1" w:name="_GoBack"/>
      <w:bookmarkEnd w:id="1"/>
      <w:r>
        <w:rPr>
          <w:rFonts w:hint="default" w:ascii="宋体" w:hAnsi="宋体" w:eastAsia="宋体" w:cs="宋体"/>
          <w:color w:val="auto"/>
          <w:spacing w:val="9"/>
          <w:sz w:val="24"/>
          <w:szCs w:val="24"/>
          <w:highlight w:val="none"/>
          <w:lang w:val="en-US" w:eastAsia="zh-CN"/>
        </w:rPr>
        <w:t>月报、会议纪要、质量评估报告、监理工作总结等。提交资料应为纸质版三套及电子版一套。</w:t>
      </w:r>
    </w:p>
    <w:p w14:paraId="3E4E4559">
      <w:pPr>
        <w:keepNext w:val="0"/>
        <w:keepLines w:val="0"/>
        <w:pageBreakBefore w:val="0"/>
        <w:widowControl w:val="0"/>
        <w:kinsoku w:val="0"/>
        <w:wordWrap/>
        <w:overflowPunct/>
        <w:topLinePunct w:val="0"/>
        <w:autoSpaceDE w:val="0"/>
        <w:autoSpaceDN w:val="0"/>
        <w:bidi w:val="0"/>
        <w:adjustRightInd w:val="0"/>
        <w:snapToGrid w:val="0"/>
        <w:spacing w:before="78" w:line="500" w:lineRule="atLeast"/>
        <w:jc w:val="both"/>
        <w:textAlignment w:val="baseline"/>
        <w:rPr>
          <w:rFonts w:hint="default" w:ascii="宋体" w:hAnsi="宋体" w:eastAsia="宋体" w:cs="宋体"/>
          <w:color w:val="auto"/>
          <w:spacing w:val="9"/>
          <w:sz w:val="24"/>
          <w:szCs w:val="24"/>
          <w:highlight w:val="none"/>
          <w:lang w:val="en-US" w:eastAsia="zh-CN"/>
        </w:rPr>
      </w:pPr>
      <w:r>
        <w:rPr>
          <w:rFonts w:hint="eastAsia" w:ascii="宋体" w:hAnsi="宋体" w:eastAsia="宋体" w:cs="宋体"/>
          <w:color w:val="auto"/>
          <w:spacing w:val="9"/>
          <w:sz w:val="24"/>
          <w:szCs w:val="24"/>
          <w:highlight w:val="none"/>
          <w:lang w:val="en-US" w:eastAsia="zh-CN"/>
        </w:rPr>
        <w:t xml:space="preserve">6.6.2 </w:t>
      </w:r>
      <w:r>
        <w:rPr>
          <w:rFonts w:hint="default" w:ascii="宋体" w:hAnsi="宋体" w:eastAsia="宋体" w:cs="宋体"/>
          <w:color w:val="auto"/>
          <w:spacing w:val="9"/>
          <w:sz w:val="24"/>
          <w:szCs w:val="24"/>
          <w:highlight w:val="none"/>
          <w:lang w:val="en-US" w:eastAsia="zh-CN"/>
        </w:rPr>
        <w:t>监理服务工作成果要求</w:t>
      </w:r>
    </w:p>
    <w:p w14:paraId="5ADCF30B">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default" w:ascii="宋体" w:hAnsi="宋体" w:eastAsia="宋体" w:cs="宋体"/>
          <w:color w:val="auto"/>
          <w:spacing w:val="9"/>
          <w:sz w:val="24"/>
          <w:szCs w:val="24"/>
          <w:highlight w:val="none"/>
          <w:lang w:val="en-US" w:eastAsia="zh-CN"/>
        </w:rPr>
      </w:pPr>
      <w:r>
        <w:rPr>
          <w:rFonts w:hint="eastAsia" w:ascii="宋体" w:hAnsi="宋体"/>
          <w:sz w:val="24"/>
        </w:rPr>
        <w:t>（1）</w:t>
      </w:r>
      <w:r>
        <w:rPr>
          <w:rFonts w:hint="default" w:ascii="宋体" w:hAnsi="宋体" w:eastAsia="宋体" w:cs="宋体"/>
          <w:color w:val="auto"/>
          <w:spacing w:val="9"/>
          <w:sz w:val="24"/>
          <w:szCs w:val="24"/>
          <w:highlight w:val="none"/>
          <w:lang w:val="en-US" w:eastAsia="zh-CN"/>
        </w:rPr>
        <w:t>监理</w:t>
      </w:r>
      <w:r>
        <w:rPr>
          <w:rFonts w:hint="eastAsia" w:ascii="宋体" w:hAnsi="宋体" w:eastAsia="宋体" w:cs="宋体"/>
          <w:color w:val="auto"/>
          <w:spacing w:val="9"/>
          <w:sz w:val="24"/>
          <w:szCs w:val="24"/>
          <w:highlight w:val="none"/>
          <w:lang w:val="en-US" w:eastAsia="zh-CN"/>
        </w:rPr>
        <w:t>单位</w:t>
      </w:r>
      <w:r>
        <w:rPr>
          <w:rFonts w:hint="default" w:ascii="宋体" w:hAnsi="宋体" w:eastAsia="宋体" w:cs="宋体"/>
          <w:color w:val="auto"/>
          <w:spacing w:val="9"/>
          <w:sz w:val="24"/>
          <w:szCs w:val="24"/>
          <w:highlight w:val="none"/>
          <w:lang w:val="en-US" w:eastAsia="zh-CN"/>
        </w:rPr>
        <w:t>应有监理工作成果管理制度和成果清单，并对监理工作成果的内容制定明确的达标标准。</w:t>
      </w:r>
    </w:p>
    <w:p w14:paraId="604B8425">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default" w:ascii="宋体" w:hAnsi="宋体" w:eastAsia="宋体" w:cs="宋体"/>
          <w:color w:val="auto"/>
          <w:spacing w:val="9"/>
          <w:sz w:val="24"/>
          <w:szCs w:val="24"/>
          <w:highlight w:val="none"/>
          <w:lang w:val="en-US" w:eastAsia="zh-CN"/>
        </w:rPr>
      </w:pPr>
      <w:r>
        <w:rPr>
          <w:rFonts w:hint="eastAsia" w:ascii="宋体" w:hAnsi="宋体"/>
          <w:sz w:val="24"/>
        </w:rPr>
        <w:t>（</w:t>
      </w:r>
      <w:r>
        <w:rPr>
          <w:rFonts w:hint="eastAsia" w:ascii="宋体" w:hAnsi="宋体" w:eastAsia="宋体"/>
          <w:sz w:val="24"/>
          <w:lang w:val="en-US" w:eastAsia="zh-CN"/>
        </w:rPr>
        <w:t>2</w:t>
      </w:r>
      <w:r>
        <w:rPr>
          <w:rFonts w:hint="eastAsia" w:ascii="宋体" w:hAnsi="宋体"/>
          <w:sz w:val="24"/>
        </w:rPr>
        <w:t>）</w:t>
      </w:r>
      <w:r>
        <w:rPr>
          <w:rFonts w:hint="default" w:ascii="宋体" w:hAnsi="宋体" w:eastAsia="宋体" w:cs="宋体"/>
          <w:color w:val="auto"/>
          <w:spacing w:val="9"/>
          <w:sz w:val="24"/>
          <w:szCs w:val="24"/>
          <w:highlight w:val="none"/>
          <w:lang w:val="en-US" w:eastAsia="zh-CN"/>
        </w:rPr>
        <w:t>监理方应有明确的签字制度，确保监理工作成果的真实性。</w:t>
      </w:r>
    </w:p>
    <w:p w14:paraId="2A76D5BB">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firstLine="480" w:firstLineChars="200"/>
        <w:jc w:val="both"/>
        <w:textAlignment w:val="baseline"/>
        <w:rPr>
          <w:rFonts w:hint="default" w:ascii="宋体" w:hAnsi="宋体" w:eastAsia="宋体" w:cs="宋体"/>
          <w:color w:val="auto"/>
          <w:spacing w:val="9"/>
          <w:sz w:val="24"/>
          <w:szCs w:val="24"/>
          <w:highlight w:val="none"/>
          <w:lang w:val="en-US" w:eastAsia="zh-CN"/>
        </w:rPr>
      </w:pPr>
      <w:r>
        <w:rPr>
          <w:rFonts w:hint="eastAsia" w:ascii="宋体" w:hAnsi="宋体"/>
          <w:sz w:val="24"/>
        </w:rPr>
        <w:t>（</w:t>
      </w:r>
      <w:r>
        <w:rPr>
          <w:rFonts w:hint="eastAsia" w:ascii="宋体" w:hAnsi="宋体" w:eastAsia="宋体"/>
          <w:sz w:val="24"/>
          <w:lang w:val="en-US" w:eastAsia="zh-CN"/>
        </w:rPr>
        <w:t>3</w:t>
      </w:r>
      <w:r>
        <w:rPr>
          <w:rFonts w:hint="eastAsia" w:ascii="宋体" w:hAnsi="宋体"/>
          <w:sz w:val="24"/>
        </w:rPr>
        <w:t>）</w:t>
      </w:r>
      <w:r>
        <w:rPr>
          <w:rFonts w:hint="default" w:ascii="宋体" w:hAnsi="宋体" w:eastAsia="宋体" w:cs="宋体"/>
          <w:color w:val="auto"/>
          <w:spacing w:val="9"/>
          <w:sz w:val="24"/>
          <w:szCs w:val="24"/>
          <w:highlight w:val="none"/>
          <w:lang w:val="en-US" w:eastAsia="zh-CN"/>
        </w:rPr>
        <w:t>监理方应有监理工作成果的责任保管制度，应符合文档管理的基本原则要求。</w:t>
      </w:r>
    </w:p>
    <w:p w14:paraId="3E5618FD">
      <w:pPr>
        <w:keepNext w:val="0"/>
        <w:keepLines w:val="0"/>
        <w:pageBreakBefore w:val="0"/>
        <w:widowControl w:val="0"/>
        <w:kinsoku w:val="0"/>
        <w:wordWrap/>
        <w:overflowPunct/>
        <w:topLinePunct w:val="0"/>
        <w:autoSpaceDE w:val="0"/>
        <w:autoSpaceDN w:val="0"/>
        <w:bidi w:val="0"/>
        <w:adjustRightInd w:val="0"/>
        <w:snapToGrid w:val="0"/>
        <w:spacing w:before="78" w:line="500" w:lineRule="atLeast"/>
        <w:jc w:val="both"/>
        <w:textAlignment w:val="baseline"/>
        <w:rPr>
          <w:rFonts w:ascii="宋体" w:hAnsi="宋体" w:eastAsia="宋体" w:cs="宋体"/>
          <w:color w:val="auto"/>
          <w:spacing w:val="-6"/>
          <w:sz w:val="24"/>
          <w:szCs w:val="24"/>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14:paraId="7632817E">
      <w:pPr>
        <w:keepNext w:val="0"/>
        <w:keepLines w:val="0"/>
        <w:pageBreakBefore w:val="0"/>
        <w:widowControl w:val="0"/>
        <w:kinsoku w:val="0"/>
        <w:wordWrap/>
        <w:overflowPunct/>
        <w:topLinePunct w:val="0"/>
        <w:autoSpaceDE w:val="0"/>
        <w:autoSpaceDN w:val="0"/>
        <w:bidi w:val="0"/>
        <w:adjustRightInd w:val="0"/>
        <w:snapToGrid w:val="0"/>
        <w:spacing w:before="78" w:line="500" w:lineRule="atLeast"/>
        <w:jc w:val="both"/>
        <w:textAlignment w:val="baseline"/>
        <w:rPr>
          <w:rFonts w:hint="default" w:ascii="宋体" w:hAnsi="宋体" w:eastAsia="宋体" w:cs="宋体"/>
          <w:color w:val="auto"/>
          <w:spacing w:val="9"/>
          <w:sz w:val="24"/>
          <w:szCs w:val="24"/>
          <w:highlight w:val="none"/>
          <w:lang w:val="en-US" w:eastAsia="zh-CN"/>
        </w:rPr>
      </w:pPr>
      <w:r>
        <w:rPr>
          <w:rFonts w:hint="default" w:ascii="宋体" w:hAnsi="宋体" w:eastAsia="宋体" w:cs="宋体"/>
          <w:color w:val="auto"/>
          <w:spacing w:val="9"/>
          <w:sz w:val="24"/>
          <w:szCs w:val="24"/>
          <w:highlight w:val="none"/>
          <w:lang w:val="en-US" w:eastAsia="zh-CN"/>
        </w:rPr>
        <w:t>1</w:t>
      </w:r>
      <w:r>
        <w:rPr>
          <w:rFonts w:hint="eastAsia" w:ascii="宋体" w:hAnsi="宋体" w:eastAsia="宋体" w:cs="宋体"/>
          <w:color w:val="auto"/>
          <w:spacing w:val="9"/>
          <w:sz w:val="24"/>
          <w:szCs w:val="24"/>
          <w:highlight w:val="none"/>
          <w:lang w:val="en-US" w:eastAsia="zh-CN"/>
        </w:rPr>
        <w:t>.服务地点：</w:t>
      </w:r>
      <w:r>
        <w:rPr>
          <w:rFonts w:hint="default" w:ascii="宋体" w:hAnsi="宋体" w:eastAsia="宋体" w:cs="宋体"/>
          <w:color w:val="auto"/>
          <w:spacing w:val="9"/>
          <w:sz w:val="24"/>
          <w:szCs w:val="24"/>
          <w:highlight w:val="none"/>
          <w:lang w:val="en-US" w:eastAsia="zh-CN"/>
        </w:rPr>
        <w:t>江西省吉安市万安县万安中学。</w:t>
      </w:r>
    </w:p>
    <w:p w14:paraId="73FDDF43">
      <w:pPr>
        <w:keepNext w:val="0"/>
        <w:keepLines w:val="0"/>
        <w:pageBreakBefore w:val="0"/>
        <w:widowControl w:val="0"/>
        <w:kinsoku w:val="0"/>
        <w:wordWrap/>
        <w:overflowPunct/>
        <w:topLinePunct w:val="0"/>
        <w:autoSpaceDE w:val="0"/>
        <w:autoSpaceDN w:val="0"/>
        <w:bidi w:val="0"/>
        <w:adjustRightInd w:val="0"/>
        <w:snapToGrid w:val="0"/>
        <w:spacing w:before="78" w:line="500" w:lineRule="atLeast"/>
        <w:jc w:val="both"/>
        <w:textAlignment w:val="baseline"/>
        <w:rPr>
          <w:rFonts w:hint="default" w:ascii="宋体" w:hAnsi="宋体" w:eastAsia="宋体" w:cs="宋体"/>
          <w:color w:val="auto"/>
          <w:spacing w:val="9"/>
          <w:sz w:val="24"/>
          <w:szCs w:val="24"/>
          <w:highlight w:val="none"/>
          <w:lang w:val="en-US" w:eastAsia="zh-CN"/>
        </w:rPr>
      </w:pPr>
      <w:r>
        <w:rPr>
          <w:rFonts w:hint="eastAsia" w:ascii="宋体" w:hAnsi="宋体" w:eastAsia="宋体" w:cs="宋体"/>
          <w:color w:val="auto"/>
          <w:spacing w:val="9"/>
          <w:sz w:val="24"/>
          <w:szCs w:val="24"/>
          <w:highlight w:val="none"/>
          <w:lang w:val="en-US" w:eastAsia="zh-CN"/>
        </w:rPr>
        <w:t>2.服务</w:t>
      </w:r>
      <w:r>
        <w:rPr>
          <w:rFonts w:hint="default" w:ascii="宋体" w:hAnsi="宋体" w:eastAsia="宋体" w:cs="宋体"/>
          <w:color w:val="auto"/>
          <w:spacing w:val="9"/>
          <w:sz w:val="24"/>
          <w:szCs w:val="24"/>
          <w:highlight w:val="none"/>
          <w:lang w:val="en-US" w:eastAsia="zh-CN"/>
        </w:rPr>
        <w:t>期限:从签订监理合同之日起算,至所有工程保修期结束且办妥竣工验收止,包括本工程的施工准备期、施工期、工程收尾期等全过程监理服务。（工程施工的计划工期:730日历天。计划开工日期:2026年07月01日，计划竣工日期:2028年06月30日）</w:t>
      </w:r>
    </w:p>
    <w:p w14:paraId="7B1EF8B6">
      <w:pPr>
        <w:keepNext w:val="0"/>
        <w:keepLines w:val="0"/>
        <w:pageBreakBefore w:val="0"/>
        <w:widowControl w:val="0"/>
        <w:kinsoku w:val="0"/>
        <w:wordWrap/>
        <w:overflowPunct/>
        <w:topLinePunct w:val="0"/>
        <w:autoSpaceDE w:val="0"/>
        <w:autoSpaceDN w:val="0"/>
        <w:bidi w:val="0"/>
        <w:adjustRightInd w:val="0"/>
        <w:snapToGrid w:val="0"/>
        <w:spacing w:before="78" w:line="500" w:lineRule="atLeast"/>
        <w:jc w:val="both"/>
        <w:textAlignment w:val="baseline"/>
        <w:rPr>
          <w:rFonts w:hint="default" w:ascii="宋体" w:hAnsi="宋体" w:eastAsia="宋体" w:cs="宋体"/>
          <w:color w:val="auto"/>
          <w:spacing w:val="9"/>
          <w:sz w:val="24"/>
          <w:szCs w:val="24"/>
          <w:highlight w:val="none"/>
          <w:lang w:val="en-US" w:eastAsia="zh-CN"/>
        </w:rPr>
      </w:pPr>
      <w:r>
        <w:rPr>
          <w:rFonts w:hint="eastAsia" w:ascii="宋体" w:hAnsi="宋体" w:eastAsia="宋体" w:cs="宋体"/>
          <w:color w:val="auto"/>
          <w:spacing w:val="9"/>
          <w:sz w:val="24"/>
          <w:szCs w:val="24"/>
          <w:highlight w:val="none"/>
          <w:lang w:val="en-US" w:eastAsia="zh-CN"/>
        </w:rPr>
        <w:t>3.</w:t>
      </w:r>
      <w:r>
        <w:rPr>
          <w:rFonts w:hint="default" w:ascii="宋体" w:hAnsi="宋体" w:eastAsia="宋体" w:cs="宋体"/>
          <w:b/>
          <w:bCs/>
          <w:color w:val="auto"/>
          <w:spacing w:val="9"/>
          <w:sz w:val="24"/>
          <w:szCs w:val="24"/>
          <w:highlight w:val="none"/>
          <w:lang w:val="en-US" w:eastAsia="zh-CN"/>
        </w:rPr>
        <w:t>监理服务费</w:t>
      </w:r>
      <w:r>
        <w:rPr>
          <w:rFonts w:hint="eastAsia" w:ascii="宋体" w:hAnsi="宋体" w:eastAsia="宋体" w:cs="宋体"/>
          <w:b/>
          <w:bCs/>
          <w:color w:val="auto"/>
          <w:spacing w:val="9"/>
          <w:sz w:val="24"/>
          <w:szCs w:val="24"/>
          <w:highlight w:val="none"/>
          <w:lang w:val="en-US" w:eastAsia="zh-CN"/>
        </w:rPr>
        <w:t>为</w:t>
      </w:r>
      <w:r>
        <w:rPr>
          <w:rFonts w:hint="default" w:ascii="宋体" w:hAnsi="宋体" w:eastAsia="宋体" w:cs="宋体"/>
          <w:b/>
          <w:bCs/>
          <w:color w:val="auto"/>
          <w:spacing w:val="9"/>
          <w:sz w:val="24"/>
          <w:szCs w:val="24"/>
          <w:highlight w:val="none"/>
          <w:lang w:val="en-US" w:eastAsia="zh-CN"/>
        </w:rPr>
        <w:t>监理</w:t>
      </w:r>
      <w:r>
        <w:rPr>
          <w:rFonts w:hint="eastAsia" w:ascii="宋体" w:hAnsi="宋体" w:eastAsia="宋体" w:cs="宋体"/>
          <w:b/>
          <w:bCs/>
          <w:color w:val="auto"/>
          <w:spacing w:val="9"/>
          <w:sz w:val="24"/>
          <w:szCs w:val="24"/>
          <w:highlight w:val="none"/>
          <w:lang w:val="en-US" w:eastAsia="zh-CN"/>
        </w:rPr>
        <w:t>中标</w:t>
      </w:r>
      <w:r>
        <w:rPr>
          <w:rFonts w:hint="default" w:ascii="宋体" w:hAnsi="宋体" w:eastAsia="宋体" w:cs="宋体"/>
          <w:b/>
          <w:bCs/>
          <w:color w:val="auto"/>
          <w:spacing w:val="9"/>
          <w:sz w:val="24"/>
          <w:szCs w:val="24"/>
          <w:highlight w:val="none"/>
          <w:lang w:val="en-US" w:eastAsia="zh-CN"/>
        </w:rPr>
        <w:t>价</w:t>
      </w:r>
      <w:r>
        <w:rPr>
          <w:rFonts w:hint="eastAsia" w:ascii="宋体" w:hAnsi="宋体" w:eastAsia="宋体" w:cs="宋体"/>
          <w:b/>
          <w:bCs/>
          <w:color w:val="auto"/>
          <w:spacing w:val="9"/>
          <w:sz w:val="24"/>
          <w:szCs w:val="24"/>
          <w:highlight w:val="none"/>
          <w:lang w:val="en-US" w:eastAsia="zh-CN"/>
        </w:rPr>
        <w:t>*业主评分百分比。</w:t>
      </w:r>
    </w:p>
    <w:p w14:paraId="38C90893">
      <w:pPr>
        <w:keepNext w:val="0"/>
        <w:keepLines w:val="0"/>
        <w:pageBreakBefore w:val="0"/>
        <w:widowControl w:val="0"/>
        <w:kinsoku w:val="0"/>
        <w:wordWrap/>
        <w:overflowPunct/>
        <w:topLinePunct w:val="0"/>
        <w:autoSpaceDE w:val="0"/>
        <w:autoSpaceDN w:val="0"/>
        <w:bidi w:val="0"/>
        <w:adjustRightInd w:val="0"/>
        <w:snapToGrid w:val="0"/>
        <w:spacing w:before="78" w:line="500" w:lineRule="atLeast"/>
        <w:jc w:val="both"/>
        <w:textAlignment w:val="baseline"/>
        <w:rPr>
          <w:rFonts w:hint="default" w:ascii="宋体" w:hAnsi="宋体" w:eastAsia="宋体" w:cs="宋体"/>
          <w:color w:val="auto"/>
          <w:spacing w:val="9"/>
          <w:sz w:val="24"/>
          <w:szCs w:val="24"/>
          <w:highlight w:val="none"/>
          <w:lang w:val="en-US" w:eastAsia="zh-CN"/>
        </w:rPr>
      </w:pPr>
      <w:r>
        <w:rPr>
          <w:rFonts w:hint="default" w:ascii="宋体" w:hAnsi="宋体" w:eastAsia="宋体" w:cs="宋体"/>
          <w:color w:val="auto"/>
          <w:spacing w:val="9"/>
          <w:sz w:val="24"/>
          <w:szCs w:val="24"/>
          <w:highlight w:val="none"/>
          <w:lang w:val="en-US" w:eastAsia="zh-CN"/>
        </w:rPr>
        <w:t>付款方式:按工程形象进度支付，施工单位每季</w:t>
      </w:r>
      <w:r>
        <w:rPr>
          <w:rFonts w:hint="eastAsia" w:ascii="宋体" w:hAnsi="宋体" w:eastAsia="宋体" w:cs="宋体"/>
          <w:color w:val="auto"/>
          <w:spacing w:val="9"/>
          <w:sz w:val="24"/>
          <w:szCs w:val="24"/>
          <w:highlight w:val="none"/>
          <w:lang w:val="en-US" w:eastAsia="zh-CN"/>
        </w:rPr>
        <w:t>度</w:t>
      </w:r>
      <w:r>
        <w:rPr>
          <w:rFonts w:hint="default" w:ascii="宋体" w:hAnsi="宋体" w:eastAsia="宋体" w:cs="宋体"/>
          <w:color w:val="auto"/>
          <w:spacing w:val="9"/>
          <w:sz w:val="24"/>
          <w:szCs w:val="24"/>
          <w:highlight w:val="none"/>
          <w:lang w:val="en-US" w:eastAsia="zh-CN"/>
        </w:rPr>
        <w:t>完成并达到质量要求的工程量为基数</w:t>
      </w:r>
      <w:r>
        <w:rPr>
          <w:rFonts w:hint="eastAsia" w:ascii="宋体" w:hAnsi="宋体" w:eastAsia="宋体" w:cs="宋体"/>
          <w:color w:val="auto"/>
          <w:spacing w:val="9"/>
          <w:sz w:val="24"/>
          <w:szCs w:val="24"/>
          <w:highlight w:val="none"/>
          <w:lang w:val="en-US" w:eastAsia="zh-CN"/>
        </w:rPr>
        <w:t>，采购</w:t>
      </w:r>
      <w:r>
        <w:rPr>
          <w:rFonts w:hint="default" w:ascii="宋体" w:hAnsi="宋体" w:eastAsia="宋体" w:cs="宋体"/>
          <w:color w:val="auto"/>
          <w:spacing w:val="9"/>
          <w:sz w:val="24"/>
          <w:szCs w:val="24"/>
          <w:highlight w:val="none"/>
          <w:lang w:val="en-US" w:eastAsia="zh-CN"/>
        </w:rPr>
        <w:t>人支付</w:t>
      </w:r>
      <w:r>
        <w:rPr>
          <w:rFonts w:hint="eastAsia" w:ascii="宋体" w:hAnsi="宋体" w:eastAsia="宋体" w:cs="宋体"/>
          <w:color w:val="auto"/>
          <w:spacing w:val="9"/>
          <w:sz w:val="24"/>
          <w:szCs w:val="24"/>
          <w:highlight w:val="none"/>
          <w:lang w:val="en-US" w:eastAsia="zh-CN"/>
        </w:rPr>
        <w:t>该</w:t>
      </w:r>
      <w:r>
        <w:rPr>
          <w:rFonts w:hint="default" w:ascii="宋体" w:hAnsi="宋体" w:eastAsia="宋体" w:cs="宋体"/>
          <w:color w:val="auto"/>
          <w:spacing w:val="9"/>
          <w:sz w:val="24"/>
          <w:szCs w:val="24"/>
          <w:highlight w:val="none"/>
          <w:lang w:val="en-US" w:eastAsia="zh-CN"/>
        </w:rPr>
        <w:t>季度完成工程量总值*(监理</w:t>
      </w:r>
      <w:r>
        <w:rPr>
          <w:rFonts w:hint="eastAsia" w:ascii="宋体" w:hAnsi="宋体" w:eastAsia="宋体" w:cs="宋体"/>
          <w:color w:val="auto"/>
          <w:spacing w:val="9"/>
          <w:sz w:val="24"/>
          <w:szCs w:val="24"/>
          <w:highlight w:val="none"/>
          <w:lang w:val="en-US" w:eastAsia="zh-CN"/>
        </w:rPr>
        <w:t>中标</w:t>
      </w:r>
      <w:r>
        <w:rPr>
          <w:rFonts w:hint="default" w:ascii="宋体" w:hAnsi="宋体" w:eastAsia="宋体" w:cs="宋体"/>
          <w:color w:val="auto"/>
          <w:spacing w:val="9"/>
          <w:sz w:val="24"/>
          <w:szCs w:val="24"/>
          <w:highlight w:val="none"/>
          <w:lang w:val="en-US" w:eastAsia="zh-CN"/>
        </w:rPr>
        <w:t>价/工程合同价)*</w:t>
      </w:r>
      <w:r>
        <w:rPr>
          <w:rFonts w:hint="eastAsia" w:ascii="宋体" w:hAnsi="宋体" w:eastAsia="宋体" w:cs="宋体"/>
          <w:color w:val="auto"/>
          <w:spacing w:val="9"/>
          <w:sz w:val="24"/>
          <w:szCs w:val="24"/>
          <w:highlight w:val="none"/>
          <w:lang w:val="en-US" w:eastAsia="zh-CN"/>
        </w:rPr>
        <w:t>8</w:t>
      </w:r>
      <w:r>
        <w:rPr>
          <w:rFonts w:hint="default" w:ascii="宋体" w:hAnsi="宋体" w:eastAsia="宋体" w:cs="宋体"/>
          <w:color w:val="auto"/>
          <w:spacing w:val="9"/>
          <w:sz w:val="24"/>
          <w:szCs w:val="24"/>
          <w:highlight w:val="none"/>
          <w:lang w:val="en-US" w:eastAsia="zh-CN"/>
        </w:rPr>
        <w:t>0%的监理</w:t>
      </w:r>
      <w:r>
        <w:rPr>
          <w:rFonts w:hint="eastAsia" w:ascii="宋体" w:hAnsi="宋体" w:eastAsia="宋体" w:cs="宋体"/>
          <w:color w:val="auto"/>
          <w:spacing w:val="9"/>
          <w:sz w:val="24"/>
          <w:szCs w:val="24"/>
          <w:highlight w:val="none"/>
          <w:lang w:val="en-US" w:eastAsia="zh-CN"/>
        </w:rPr>
        <w:t>中标价</w:t>
      </w:r>
      <w:r>
        <w:rPr>
          <w:rFonts w:hint="default" w:ascii="宋体" w:hAnsi="宋体" w:eastAsia="宋体" w:cs="宋体"/>
          <w:color w:val="auto"/>
          <w:spacing w:val="9"/>
          <w:sz w:val="24"/>
          <w:szCs w:val="24"/>
          <w:highlight w:val="none"/>
          <w:lang w:val="en-US" w:eastAsia="zh-CN"/>
        </w:rPr>
        <w:t>，工程竣工验收合格后30日内付清所有监理</w:t>
      </w:r>
      <w:r>
        <w:rPr>
          <w:rFonts w:hint="eastAsia" w:ascii="宋体" w:hAnsi="宋体" w:eastAsia="宋体" w:cs="宋体"/>
          <w:color w:val="auto"/>
          <w:spacing w:val="9"/>
          <w:sz w:val="24"/>
          <w:szCs w:val="24"/>
          <w:highlight w:val="none"/>
          <w:lang w:val="en-US" w:eastAsia="zh-CN"/>
        </w:rPr>
        <w:t>服务</w:t>
      </w:r>
      <w:r>
        <w:rPr>
          <w:rFonts w:hint="default" w:ascii="宋体" w:hAnsi="宋体" w:eastAsia="宋体" w:cs="宋体"/>
          <w:color w:val="auto"/>
          <w:spacing w:val="9"/>
          <w:sz w:val="24"/>
          <w:szCs w:val="24"/>
          <w:highlight w:val="none"/>
          <w:lang w:val="en-US" w:eastAsia="zh-CN"/>
        </w:rPr>
        <w:t>费</w:t>
      </w:r>
      <w:r>
        <w:rPr>
          <w:rFonts w:hint="eastAsia" w:ascii="宋体" w:hAnsi="宋体" w:eastAsia="宋体" w:cs="宋体"/>
          <w:color w:val="auto"/>
          <w:spacing w:val="9"/>
          <w:sz w:val="24"/>
          <w:szCs w:val="24"/>
          <w:highlight w:val="none"/>
          <w:lang w:val="en-US" w:eastAsia="zh-CN"/>
        </w:rPr>
        <w:t>（</w:t>
      </w:r>
      <w:r>
        <w:rPr>
          <w:rFonts w:hint="default" w:ascii="宋体" w:hAnsi="宋体" w:eastAsia="宋体" w:cs="宋体"/>
          <w:color w:val="auto"/>
          <w:spacing w:val="9"/>
          <w:sz w:val="24"/>
          <w:szCs w:val="24"/>
          <w:highlight w:val="none"/>
          <w:lang w:val="en-US" w:eastAsia="zh-CN"/>
        </w:rPr>
        <w:t>监理</w:t>
      </w:r>
      <w:r>
        <w:rPr>
          <w:rFonts w:hint="eastAsia" w:ascii="宋体" w:hAnsi="宋体" w:eastAsia="宋体" w:cs="宋体"/>
          <w:color w:val="auto"/>
          <w:spacing w:val="9"/>
          <w:sz w:val="24"/>
          <w:szCs w:val="24"/>
          <w:highlight w:val="none"/>
          <w:lang w:val="en-US" w:eastAsia="zh-CN"/>
        </w:rPr>
        <w:t>中标</w:t>
      </w:r>
      <w:r>
        <w:rPr>
          <w:rFonts w:hint="default" w:ascii="宋体" w:hAnsi="宋体" w:eastAsia="宋体" w:cs="宋体"/>
          <w:color w:val="auto"/>
          <w:spacing w:val="9"/>
          <w:sz w:val="24"/>
          <w:szCs w:val="24"/>
          <w:highlight w:val="none"/>
          <w:lang w:val="en-US" w:eastAsia="zh-CN"/>
        </w:rPr>
        <w:t>价</w:t>
      </w:r>
      <w:r>
        <w:rPr>
          <w:rFonts w:hint="eastAsia" w:ascii="宋体" w:hAnsi="宋体" w:eastAsia="宋体" w:cs="宋体"/>
          <w:b/>
          <w:bCs/>
          <w:color w:val="auto"/>
          <w:spacing w:val="9"/>
          <w:sz w:val="24"/>
          <w:szCs w:val="24"/>
          <w:highlight w:val="none"/>
          <w:lang w:val="en-US" w:eastAsia="zh-CN"/>
        </w:rPr>
        <w:t>*业主评分百分比）</w:t>
      </w:r>
      <w:r>
        <w:rPr>
          <w:rFonts w:hint="default" w:ascii="宋体" w:hAnsi="宋体" w:eastAsia="宋体" w:cs="宋体"/>
          <w:color w:val="auto"/>
          <w:spacing w:val="9"/>
          <w:sz w:val="24"/>
          <w:szCs w:val="24"/>
          <w:highlight w:val="none"/>
          <w:lang w:val="en-US" w:eastAsia="zh-CN"/>
        </w:rPr>
        <w:t>。</w:t>
      </w:r>
    </w:p>
    <w:p w14:paraId="54EAA797">
      <w:pPr>
        <w:keepNext w:val="0"/>
        <w:keepLines w:val="0"/>
        <w:pageBreakBefore w:val="0"/>
        <w:widowControl w:val="0"/>
        <w:kinsoku w:val="0"/>
        <w:wordWrap/>
        <w:overflowPunct/>
        <w:topLinePunct w:val="0"/>
        <w:autoSpaceDE w:val="0"/>
        <w:autoSpaceDN w:val="0"/>
        <w:bidi w:val="0"/>
        <w:adjustRightInd w:val="0"/>
        <w:snapToGrid w:val="0"/>
        <w:spacing w:before="78" w:line="500" w:lineRule="atLeast"/>
        <w:jc w:val="both"/>
        <w:textAlignment w:val="baseline"/>
        <w:rPr>
          <w:rFonts w:hint="default" w:ascii="宋体" w:hAnsi="宋体" w:eastAsia="宋体" w:cs="宋体"/>
          <w:color w:val="auto"/>
          <w:spacing w:val="9"/>
          <w:sz w:val="24"/>
          <w:szCs w:val="24"/>
          <w:highlight w:val="none"/>
          <w:lang w:val="en-US" w:eastAsia="zh-CN"/>
        </w:rPr>
      </w:pPr>
      <w:r>
        <w:rPr>
          <w:rFonts w:hint="default" w:ascii="宋体" w:hAnsi="宋体" w:eastAsia="宋体" w:cs="宋体"/>
          <w:color w:val="auto"/>
          <w:spacing w:val="9"/>
          <w:sz w:val="24"/>
          <w:szCs w:val="24"/>
          <w:highlight w:val="none"/>
          <w:lang w:val="en-US" w:eastAsia="zh-CN"/>
        </w:rPr>
        <w:t>4</w:t>
      </w:r>
      <w:r>
        <w:rPr>
          <w:rFonts w:hint="eastAsia" w:ascii="宋体" w:hAnsi="宋体" w:eastAsia="宋体" w:cs="宋体"/>
          <w:color w:val="auto"/>
          <w:spacing w:val="9"/>
          <w:sz w:val="24"/>
          <w:szCs w:val="24"/>
          <w:highlight w:val="none"/>
          <w:lang w:val="en-US" w:eastAsia="zh-CN"/>
        </w:rPr>
        <w:t>.</w:t>
      </w:r>
      <w:r>
        <w:rPr>
          <w:rFonts w:hint="default" w:ascii="宋体" w:hAnsi="宋体" w:eastAsia="宋体" w:cs="宋体"/>
          <w:color w:val="auto"/>
          <w:spacing w:val="9"/>
          <w:sz w:val="24"/>
          <w:szCs w:val="24"/>
          <w:highlight w:val="none"/>
          <w:lang w:val="en-US" w:eastAsia="zh-CN"/>
        </w:rPr>
        <w:t>验收方式：《建筑与市政工程施工质量控制通用规范》GB 55032-2022、《建筑工</w:t>
      </w:r>
    </w:p>
    <w:p w14:paraId="7920E0F8">
      <w:pPr>
        <w:keepNext w:val="0"/>
        <w:keepLines w:val="0"/>
        <w:pageBreakBefore w:val="0"/>
        <w:widowControl w:val="0"/>
        <w:kinsoku w:val="0"/>
        <w:wordWrap/>
        <w:overflowPunct/>
        <w:topLinePunct w:val="0"/>
        <w:autoSpaceDE w:val="0"/>
        <w:autoSpaceDN w:val="0"/>
        <w:bidi w:val="0"/>
        <w:adjustRightInd w:val="0"/>
        <w:snapToGrid w:val="0"/>
        <w:spacing w:before="78" w:line="500" w:lineRule="atLeast"/>
        <w:jc w:val="both"/>
        <w:textAlignment w:val="baseline"/>
        <w:rPr>
          <w:rFonts w:hint="default" w:ascii="宋体" w:hAnsi="宋体" w:eastAsia="宋体" w:cs="宋体"/>
          <w:color w:val="auto"/>
          <w:spacing w:val="9"/>
          <w:sz w:val="24"/>
          <w:szCs w:val="24"/>
          <w:highlight w:val="none"/>
          <w:lang w:val="en-US" w:eastAsia="zh-CN"/>
        </w:rPr>
      </w:pPr>
      <w:r>
        <w:rPr>
          <w:rFonts w:hint="default" w:ascii="宋体" w:hAnsi="宋体" w:eastAsia="宋体" w:cs="宋体"/>
          <w:color w:val="auto"/>
          <w:spacing w:val="9"/>
          <w:sz w:val="24"/>
          <w:szCs w:val="24"/>
          <w:highlight w:val="none"/>
          <w:lang w:val="en-US" w:eastAsia="zh-CN"/>
        </w:rPr>
        <w:t>程施工质量验收统一标准》GB 50300-2013、《建设工程监理规范》及相关部门通过最终验收合格为准。</w:t>
      </w:r>
    </w:p>
    <w:p w14:paraId="6DCE414F">
      <w:pPr>
        <w:keepNext w:val="0"/>
        <w:keepLines w:val="0"/>
        <w:pageBreakBefore w:val="0"/>
        <w:widowControl w:val="0"/>
        <w:kinsoku w:val="0"/>
        <w:wordWrap/>
        <w:overflowPunct/>
        <w:topLinePunct w:val="0"/>
        <w:autoSpaceDE w:val="0"/>
        <w:autoSpaceDN w:val="0"/>
        <w:bidi w:val="0"/>
        <w:adjustRightInd w:val="0"/>
        <w:snapToGrid w:val="0"/>
        <w:spacing w:before="78" w:line="500" w:lineRule="atLeast"/>
        <w:jc w:val="both"/>
        <w:textAlignment w:val="baseline"/>
        <w:rPr>
          <w:rFonts w:hint="default" w:ascii="宋体" w:hAnsi="宋体" w:eastAsia="宋体" w:cs="宋体"/>
          <w:color w:val="auto"/>
          <w:spacing w:val="9"/>
          <w:sz w:val="24"/>
          <w:szCs w:val="24"/>
          <w:highlight w:val="none"/>
          <w:lang w:val="en-US" w:eastAsia="zh-CN"/>
        </w:rPr>
      </w:pPr>
      <w:r>
        <w:rPr>
          <w:rFonts w:hint="default" w:ascii="宋体" w:hAnsi="宋体" w:eastAsia="宋体" w:cs="宋体"/>
          <w:color w:val="auto"/>
          <w:spacing w:val="9"/>
          <w:sz w:val="24"/>
          <w:szCs w:val="24"/>
          <w:highlight w:val="none"/>
          <w:lang w:val="en-US" w:eastAsia="zh-CN"/>
        </w:rPr>
        <w:t>5</w:t>
      </w:r>
      <w:r>
        <w:rPr>
          <w:rFonts w:hint="eastAsia" w:ascii="宋体" w:hAnsi="宋体" w:eastAsia="宋体" w:cs="宋体"/>
          <w:color w:val="auto"/>
          <w:spacing w:val="9"/>
          <w:sz w:val="24"/>
          <w:szCs w:val="24"/>
          <w:highlight w:val="none"/>
          <w:lang w:val="en-US" w:eastAsia="zh-CN"/>
        </w:rPr>
        <w:t>.</w:t>
      </w:r>
      <w:r>
        <w:rPr>
          <w:rFonts w:hint="default" w:ascii="宋体" w:hAnsi="宋体" w:eastAsia="宋体" w:cs="宋体"/>
          <w:color w:val="auto"/>
          <w:spacing w:val="9"/>
          <w:sz w:val="24"/>
          <w:szCs w:val="24"/>
          <w:highlight w:val="none"/>
          <w:lang w:val="en-US" w:eastAsia="zh-CN"/>
        </w:rPr>
        <w:t>交付验收标准：依次序对照适用标准为：</w:t>
      </w:r>
    </w:p>
    <w:p w14:paraId="7F084595">
      <w:pPr>
        <w:keepNext w:val="0"/>
        <w:keepLines w:val="0"/>
        <w:pageBreakBefore w:val="0"/>
        <w:widowControl w:val="0"/>
        <w:kinsoku w:val="0"/>
        <w:wordWrap/>
        <w:overflowPunct/>
        <w:topLinePunct w:val="0"/>
        <w:autoSpaceDE w:val="0"/>
        <w:autoSpaceDN w:val="0"/>
        <w:bidi w:val="0"/>
        <w:adjustRightInd w:val="0"/>
        <w:snapToGrid w:val="0"/>
        <w:spacing w:before="78" w:line="500" w:lineRule="atLeast"/>
        <w:jc w:val="both"/>
        <w:textAlignment w:val="baseline"/>
        <w:rPr>
          <w:rFonts w:hint="default" w:ascii="宋体" w:hAnsi="宋体" w:eastAsia="宋体" w:cs="宋体"/>
          <w:color w:val="auto"/>
          <w:spacing w:val="9"/>
          <w:sz w:val="24"/>
          <w:szCs w:val="24"/>
          <w:highlight w:val="none"/>
          <w:lang w:val="en-US" w:eastAsia="zh-CN"/>
        </w:rPr>
      </w:pPr>
      <w:r>
        <w:rPr>
          <w:rFonts w:hint="default" w:ascii="宋体" w:hAnsi="宋体" w:eastAsia="宋体" w:cs="宋体"/>
          <w:color w:val="auto"/>
          <w:spacing w:val="9"/>
          <w:sz w:val="24"/>
          <w:szCs w:val="24"/>
          <w:highlight w:val="none"/>
          <w:lang w:val="en-US" w:eastAsia="zh-CN"/>
        </w:rPr>
        <w:t>（1）符合中华人民共和国国家相关行业标准；</w:t>
      </w:r>
    </w:p>
    <w:p w14:paraId="3905AEBB">
      <w:pPr>
        <w:keepNext w:val="0"/>
        <w:keepLines w:val="0"/>
        <w:pageBreakBefore w:val="0"/>
        <w:widowControl w:val="0"/>
        <w:kinsoku w:val="0"/>
        <w:wordWrap/>
        <w:overflowPunct/>
        <w:topLinePunct w:val="0"/>
        <w:autoSpaceDE w:val="0"/>
        <w:autoSpaceDN w:val="0"/>
        <w:bidi w:val="0"/>
        <w:adjustRightInd w:val="0"/>
        <w:snapToGrid w:val="0"/>
        <w:spacing w:before="78" w:line="500" w:lineRule="atLeast"/>
        <w:jc w:val="both"/>
        <w:textAlignment w:val="baseline"/>
        <w:rPr>
          <w:rFonts w:hint="default" w:ascii="宋体" w:hAnsi="宋体" w:eastAsia="宋体" w:cs="宋体"/>
          <w:color w:val="auto"/>
          <w:spacing w:val="9"/>
          <w:sz w:val="24"/>
          <w:szCs w:val="24"/>
          <w:highlight w:val="none"/>
          <w:lang w:val="en-US" w:eastAsia="zh-CN"/>
        </w:rPr>
      </w:pPr>
      <w:r>
        <w:rPr>
          <w:rFonts w:hint="default" w:ascii="宋体" w:hAnsi="宋体" w:eastAsia="宋体" w:cs="宋体"/>
          <w:color w:val="auto"/>
          <w:spacing w:val="9"/>
          <w:sz w:val="24"/>
          <w:szCs w:val="24"/>
          <w:highlight w:val="none"/>
          <w:lang w:val="en-US" w:eastAsia="zh-CN"/>
        </w:rPr>
        <w:t>（2）符合竞争性磋商采购文件和响应承诺中采购人认可的各项要求。</w:t>
      </w:r>
    </w:p>
    <w:p w14:paraId="65FB5F1D">
      <w:pPr>
        <w:keepNext w:val="0"/>
        <w:keepLines w:val="0"/>
        <w:pageBreakBefore w:val="0"/>
        <w:widowControl w:val="0"/>
        <w:kinsoku w:val="0"/>
        <w:wordWrap/>
        <w:overflowPunct/>
        <w:topLinePunct w:val="0"/>
        <w:autoSpaceDE w:val="0"/>
        <w:autoSpaceDN w:val="0"/>
        <w:bidi w:val="0"/>
        <w:adjustRightInd w:val="0"/>
        <w:snapToGrid w:val="0"/>
        <w:spacing w:before="78" w:line="500" w:lineRule="atLeast"/>
        <w:jc w:val="both"/>
        <w:textAlignment w:val="baseline"/>
        <w:rPr>
          <w:rFonts w:hint="default" w:ascii="宋体" w:hAnsi="宋体" w:eastAsia="宋体" w:cs="宋体"/>
          <w:color w:val="auto"/>
          <w:spacing w:val="9"/>
          <w:sz w:val="24"/>
          <w:szCs w:val="24"/>
          <w:highlight w:val="none"/>
          <w:lang w:val="en-US" w:eastAsia="zh-CN"/>
        </w:rPr>
      </w:pPr>
      <w:r>
        <w:rPr>
          <w:rFonts w:hint="eastAsia" w:ascii="宋体" w:hAnsi="宋体" w:eastAsia="宋体" w:cs="宋体"/>
          <w:color w:val="auto"/>
          <w:spacing w:val="9"/>
          <w:sz w:val="24"/>
          <w:szCs w:val="24"/>
          <w:highlight w:val="none"/>
          <w:lang w:val="en-US" w:eastAsia="zh-CN"/>
        </w:rPr>
        <w:t>6.</w:t>
      </w:r>
      <w:r>
        <w:rPr>
          <w:rFonts w:hint="default" w:ascii="宋体" w:hAnsi="宋体" w:eastAsia="宋体" w:cs="宋体"/>
          <w:color w:val="auto"/>
          <w:spacing w:val="9"/>
          <w:sz w:val="24"/>
          <w:szCs w:val="24"/>
          <w:highlight w:val="none"/>
          <w:lang w:val="en-US" w:eastAsia="zh-CN"/>
        </w:rPr>
        <w:t>在合同期内及合同终止后，未征得采购人书面同意，不得泄露与该项目有关的资料。</w:t>
      </w:r>
    </w:p>
    <w:p w14:paraId="24F661D9">
      <w:pPr>
        <w:keepNext w:val="0"/>
        <w:keepLines w:val="0"/>
        <w:pageBreakBefore w:val="0"/>
        <w:widowControl w:val="0"/>
        <w:kinsoku w:val="0"/>
        <w:wordWrap/>
        <w:overflowPunct/>
        <w:topLinePunct w:val="0"/>
        <w:autoSpaceDE w:val="0"/>
        <w:autoSpaceDN w:val="0"/>
        <w:bidi w:val="0"/>
        <w:adjustRightInd w:val="0"/>
        <w:snapToGrid w:val="0"/>
        <w:spacing w:before="78" w:line="500" w:lineRule="atLeast"/>
        <w:jc w:val="both"/>
        <w:textAlignment w:val="baseline"/>
        <w:rPr>
          <w:rFonts w:hint="default" w:ascii="宋体" w:hAnsi="宋体" w:eastAsia="宋体" w:cs="宋体"/>
          <w:color w:val="auto"/>
          <w:spacing w:val="9"/>
          <w:sz w:val="24"/>
          <w:szCs w:val="24"/>
          <w:highlight w:val="none"/>
          <w:lang w:val="en-US" w:eastAsia="zh-CN"/>
        </w:rPr>
        <w:sectPr>
          <w:footerReference r:id="rId4" w:type="default"/>
          <w:pgSz w:w="11906" w:h="16839"/>
          <w:pgMar w:top="1066" w:right="1304" w:bottom="986" w:left="1307" w:header="0" w:footer="994" w:gutter="0"/>
          <w:pgNumType w:fmt="decimal"/>
          <w:cols w:space="720" w:num="1"/>
        </w:sectPr>
      </w:pPr>
      <w:r>
        <w:rPr>
          <w:rFonts w:hint="eastAsia" w:ascii="宋体" w:hAnsi="宋体" w:eastAsia="宋体" w:cs="宋体"/>
          <w:color w:val="auto"/>
          <w:spacing w:val="9"/>
          <w:sz w:val="24"/>
          <w:szCs w:val="24"/>
          <w:highlight w:val="none"/>
          <w:lang w:val="en-US" w:eastAsia="zh-CN"/>
        </w:rPr>
        <w:t>7.</w:t>
      </w:r>
      <w:r>
        <w:rPr>
          <w:rFonts w:hint="default" w:ascii="宋体" w:hAnsi="宋体" w:eastAsia="宋体" w:cs="宋体"/>
          <w:color w:val="auto"/>
          <w:spacing w:val="9"/>
          <w:sz w:val="24"/>
          <w:szCs w:val="24"/>
          <w:highlight w:val="none"/>
          <w:lang w:val="en-US" w:eastAsia="zh-CN"/>
        </w:rPr>
        <w:t>其他未尽事宜，请与采购人联系。</w:t>
      </w:r>
    </w:p>
    <w:p w14:paraId="22AD50C0">
      <w:pPr>
        <w:spacing w:before="341" w:line="224" w:lineRule="auto"/>
        <w:jc w:val="center"/>
        <w:rPr>
          <w:rFonts w:hint="default" w:ascii="Arial" w:hAnsi="Arial" w:eastAsia="Arial" w:cs="Arial"/>
          <w:snapToGrid w:val="0"/>
          <w:color w:val="000000"/>
          <w:spacing w:val="7"/>
          <w:sz w:val="44"/>
          <w:szCs w:val="44"/>
          <w:lang w:val="en-US" w:eastAsia="zh-CN" w:bidi="ar-SA"/>
        </w:rPr>
      </w:pPr>
      <w:r>
        <w:rPr>
          <w:rFonts w:hint="eastAsia" w:ascii="Arial" w:hAnsi="Arial" w:eastAsia="Arial" w:cs="Arial"/>
          <w:snapToGrid w:val="0"/>
          <w:color w:val="000000"/>
          <w:spacing w:val="7"/>
          <w:sz w:val="44"/>
          <w:szCs w:val="44"/>
          <w:lang w:val="en-US" w:eastAsia="zh-CN" w:bidi="ar-SA"/>
        </w:rPr>
        <w:t>附件一：江西省吉安市万安县万安中学新建学⽣宿舍楼项⽬监理服务工作量化考核表</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6"/>
        <w:gridCol w:w="1049"/>
        <w:gridCol w:w="1671"/>
        <w:gridCol w:w="666"/>
        <w:gridCol w:w="1634"/>
        <w:gridCol w:w="738"/>
        <w:gridCol w:w="1054"/>
        <w:gridCol w:w="1054"/>
      </w:tblGrid>
      <w:tr w14:paraId="10E2E1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9" w:type="dxa"/>
            <w:shd w:val="clear" w:color="auto" w:fill="auto"/>
            <w:vAlign w:val="center"/>
          </w:tcPr>
          <w:p w14:paraId="6EEE5B15">
            <w:pPr>
              <w:pStyle w:val="9"/>
              <w:widowControl w:val="0"/>
              <w:spacing w:before="143" w:line="220" w:lineRule="auto"/>
              <w:jc w:val="center"/>
              <w:rPr>
                <w:rFonts w:hint="default"/>
                <w:spacing w:val="8"/>
                <w:lang w:val="en-US" w:eastAsia="zh-CN"/>
              </w:rPr>
            </w:pPr>
            <w:r>
              <w:rPr>
                <w:spacing w:val="8"/>
              </w:rPr>
              <w:t>序号</w:t>
            </w:r>
          </w:p>
        </w:tc>
        <w:tc>
          <w:tcPr>
            <w:tcW w:w="1177" w:type="dxa"/>
            <w:shd w:val="clear" w:color="auto" w:fill="auto"/>
            <w:vAlign w:val="center"/>
          </w:tcPr>
          <w:p w14:paraId="687F9FFE">
            <w:pPr>
              <w:pStyle w:val="9"/>
              <w:widowControl w:val="0"/>
              <w:spacing w:before="143" w:line="220" w:lineRule="auto"/>
              <w:jc w:val="center"/>
              <w:rPr>
                <w:rFonts w:hint="default"/>
                <w:spacing w:val="8"/>
                <w:lang w:val="en-US" w:eastAsia="zh-CN"/>
              </w:rPr>
            </w:pPr>
            <w:r>
              <w:rPr>
                <w:spacing w:val="8"/>
              </w:rPr>
              <w:t>考核环节</w:t>
            </w:r>
          </w:p>
        </w:tc>
        <w:tc>
          <w:tcPr>
            <w:tcW w:w="1892" w:type="dxa"/>
            <w:shd w:val="clear" w:color="auto" w:fill="auto"/>
            <w:vAlign w:val="center"/>
          </w:tcPr>
          <w:p w14:paraId="72EE3EF8">
            <w:pPr>
              <w:pStyle w:val="9"/>
              <w:widowControl w:val="0"/>
              <w:spacing w:before="143" w:line="220" w:lineRule="auto"/>
              <w:jc w:val="center"/>
              <w:rPr>
                <w:rFonts w:hint="default"/>
                <w:spacing w:val="8"/>
                <w:lang w:val="en-US" w:eastAsia="zh-CN"/>
              </w:rPr>
            </w:pPr>
            <w:r>
              <w:rPr>
                <w:spacing w:val="8"/>
              </w:rPr>
              <w:t>具体内容</w:t>
            </w:r>
          </w:p>
        </w:tc>
        <w:tc>
          <w:tcPr>
            <w:tcW w:w="715" w:type="dxa"/>
            <w:shd w:val="clear" w:color="auto" w:fill="auto"/>
            <w:vAlign w:val="center"/>
          </w:tcPr>
          <w:p w14:paraId="25F3EF0E">
            <w:pPr>
              <w:pStyle w:val="9"/>
              <w:widowControl w:val="0"/>
              <w:spacing w:before="143" w:line="220" w:lineRule="auto"/>
              <w:jc w:val="center"/>
              <w:rPr>
                <w:rFonts w:hint="default"/>
                <w:spacing w:val="8"/>
                <w:lang w:val="en-US" w:eastAsia="zh-CN"/>
              </w:rPr>
            </w:pPr>
            <w:r>
              <w:rPr>
                <w:spacing w:val="8"/>
              </w:rPr>
              <w:t>满分</w:t>
            </w:r>
          </w:p>
        </w:tc>
        <w:tc>
          <w:tcPr>
            <w:tcW w:w="1847" w:type="dxa"/>
            <w:shd w:val="clear" w:color="auto" w:fill="auto"/>
            <w:vAlign w:val="center"/>
          </w:tcPr>
          <w:p w14:paraId="2BCA062E">
            <w:pPr>
              <w:pStyle w:val="9"/>
              <w:widowControl w:val="0"/>
              <w:spacing w:before="143" w:line="220" w:lineRule="auto"/>
              <w:jc w:val="both"/>
              <w:rPr>
                <w:rFonts w:hint="default"/>
                <w:spacing w:val="8"/>
                <w:lang w:val="en-US" w:eastAsia="zh-CN"/>
              </w:rPr>
            </w:pPr>
            <w:r>
              <w:rPr>
                <w:spacing w:val="8"/>
              </w:rPr>
              <w:t>评分原则</w:t>
            </w:r>
          </w:p>
        </w:tc>
        <w:tc>
          <w:tcPr>
            <w:tcW w:w="803" w:type="dxa"/>
            <w:shd w:val="clear" w:color="auto" w:fill="auto"/>
            <w:vAlign w:val="center"/>
          </w:tcPr>
          <w:p w14:paraId="0C243650">
            <w:pPr>
              <w:pStyle w:val="9"/>
              <w:widowControl w:val="0"/>
              <w:spacing w:before="143" w:line="220" w:lineRule="auto"/>
              <w:jc w:val="both"/>
              <w:rPr>
                <w:rFonts w:hint="default"/>
                <w:spacing w:val="8"/>
                <w:lang w:val="en-US" w:eastAsia="zh-CN"/>
              </w:rPr>
            </w:pPr>
            <w:r>
              <w:rPr>
                <w:spacing w:val="8"/>
              </w:rPr>
              <w:t>得 分</w:t>
            </w:r>
          </w:p>
        </w:tc>
        <w:tc>
          <w:tcPr>
            <w:tcW w:w="1189" w:type="dxa"/>
            <w:shd w:val="clear" w:color="auto" w:fill="auto"/>
            <w:vAlign w:val="center"/>
          </w:tcPr>
          <w:p w14:paraId="5C052FD1">
            <w:pPr>
              <w:pStyle w:val="9"/>
              <w:widowControl w:val="0"/>
              <w:spacing w:before="143" w:line="220" w:lineRule="auto"/>
              <w:jc w:val="both"/>
              <w:rPr>
                <w:rFonts w:hint="default"/>
                <w:spacing w:val="8"/>
                <w:lang w:val="en-US" w:eastAsia="zh-CN"/>
              </w:rPr>
            </w:pPr>
            <w:r>
              <w:rPr>
                <w:spacing w:val="8"/>
              </w:rPr>
              <w:t>学校评分 人员签字</w:t>
            </w:r>
          </w:p>
        </w:tc>
        <w:tc>
          <w:tcPr>
            <w:tcW w:w="1189" w:type="dxa"/>
            <w:shd w:val="clear" w:color="auto" w:fill="auto"/>
            <w:vAlign w:val="center"/>
          </w:tcPr>
          <w:p w14:paraId="45C20790">
            <w:pPr>
              <w:pStyle w:val="9"/>
              <w:widowControl w:val="0"/>
              <w:spacing w:before="143" w:line="220" w:lineRule="auto"/>
              <w:jc w:val="both"/>
              <w:rPr>
                <w:rFonts w:hint="default"/>
                <w:spacing w:val="8"/>
                <w:lang w:val="en-US" w:eastAsia="zh-CN"/>
              </w:rPr>
            </w:pPr>
            <w:r>
              <w:rPr>
                <w:spacing w:val="8"/>
              </w:rPr>
              <w:t>监理人员签字</w:t>
            </w:r>
          </w:p>
        </w:tc>
      </w:tr>
      <w:tr w14:paraId="37295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9" w:type="dxa"/>
            <w:vAlign w:val="center"/>
          </w:tcPr>
          <w:p w14:paraId="037B4840">
            <w:pPr>
              <w:pStyle w:val="2"/>
              <w:widowControl w:val="0"/>
              <w:jc w:val="center"/>
              <w:rPr>
                <w:rFonts w:hint="default" w:ascii="Arial" w:hAnsi="Arial" w:eastAsia="Arial" w:cs="Arial"/>
                <w:snapToGrid w:val="0"/>
                <w:color w:val="000000"/>
                <w:spacing w:val="7"/>
                <w:sz w:val="21"/>
                <w:szCs w:val="21"/>
                <w:lang w:val="en-US" w:eastAsia="zh-CN" w:bidi="ar-SA"/>
              </w:rPr>
            </w:pPr>
            <w:r>
              <w:rPr>
                <w:rFonts w:hint="eastAsia" w:ascii="Arial" w:hAnsi="Arial" w:eastAsia="Arial" w:cs="Arial"/>
                <w:snapToGrid w:val="0"/>
                <w:color w:val="000000"/>
                <w:spacing w:val="7"/>
                <w:sz w:val="21"/>
                <w:szCs w:val="21"/>
                <w:lang w:val="en-US" w:eastAsia="zh-CN" w:bidi="ar-SA"/>
              </w:rPr>
              <w:t>1</w:t>
            </w:r>
          </w:p>
        </w:tc>
        <w:tc>
          <w:tcPr>
            <w:tcW w:w="1177" w:type="dxa"/>
            <w:vMerge w:val="restart"/>
            <w:vAlign w:val="center"/>
          </w:tcPr>
          <w:p w14:paraId="1C65F0B6">
            <w:pPr>
              <w:pStyle w:val="9"/>
              <w:widowControl w:val="0"/>
              <w:spacing w:before="140" w:line="222" w:lineRule="auto"/>
              <w:jc w:val="center"/>
              <w:rPr>
                <w:rFonts w:hint="default"/>
                <w:vertAlign w:val="baseline"/>
                <w:lang w:val="en-US" w:eastAsia="zh-CN"/>
              </w:rPr>
            </w:pPr>
            <w:r>
              <w:rPr>
                <w:rFonts w:ascii="Arial" w:hAnsi="Arial" w:eastAsia="Arial" w:cs="Arial"/>
                <w:snapToGrid w:val="0"/>
                <w:color w:val="000000"/>
                <w:spacing w:val="20"/>
                <w:sz w:val="21"/>
                <w:szCs w:val="21"/>
                <w:lang w:val="en-US" w:eastAsia="en-US" w:bidi="ar-SA"/>
              </w:rPr>
              <w:t>质量控制</w:t>
            </w:r>
          </w:p>
        </w:tc>
        <w:tc>
          <w:tcPr>
            <w:tcW w:w="1892" w:type="dxa"/>
            <w:shd w:val="clear" w:color="auto" w:fill="auto"/>
            <w:vAlign w:val="center"/>
          </w:tcPr>
          <w:p w14:paraId="7C2ACF14">
            <w:pPr>
              <w:pStyle w:val="9"/>
              <w:widowControl w:val="0"/>
              <w:spacing w:before="143" w:line="220" w:lineRule="auto"/>
              <w:jc w:val="both"/>
              <w:rPr>
                <w:rFonts w:hint="default" w:ascii="Arial" w:hAnsi="Arial" w:eastAsia="Arial" w:cs="Arial"/>
                <w:snapToGrid w:val="0"/>
                <w:color w:val="000000"/>
                <w:sz w:val="21"/>
                <w:szCs w:val="21"/>
                <w:lang w:val="en-US" w:eastAsia="zh-CN" w:bidi="ar-SA"/>
              </w:rPr>
            </w:pPr>
            <w:r>
              <w:rPr>
                <w:spacing w:val="7"/>
              </w:rPr>
              <w:t>基础验收、检测</w:t>
            </w:r>
          </w:p>
        </w:tc>
        <w:tc>
          <w:tcPr>
            <w:tcW w:w="715" w:type="dxa"/>
            <w:vAlign w:val="center"/>
          </w:tcPr>
          <w:p w14:paraId="71BEAC0E">
            <w:pPr>
              <w:pStyle w:val="9"/>
              <w:widowControl w:val="0"/>
              <w:spacing w:before="143" w:line="241" w:lineRule="auto"/>
              <w:jc w:val="center"/>
              <w:rPr>
                <w:rFonts w:hint="default"/>
                <w:vertAlign w:val="baseline"/>
                <w:lang w:val="en-US" w:eastAsia="zh-CN"/>
              </w:rPr>
            </w:pPr>
            <w:r>
              <w:t>6</w:t>
            </w:r>
          </w:p>
        </w:tc>
        <w:tc>
          <w:tcPr>
            <w:tcW w:w="1847" w:type="dxa"/>
            <w:shd w:val="clear" w:color="auto" w:fill="auto"/>
            <w:vAlign w:val="center"/>
          </w:tcPr>
          <w:p w14:paraId="3DF8094A">
            <w:pPr>
              <w:pStyle w:val="9"/>
              <w:widowControl w:val="0"/>
              <w:spacing w:before="143" w:line="220" w:lineRule="auto"/>
              <w:jc w:val="both"/>
              <w:rPr>
                <w:rFonts w:hint="default"/>
                <w:spacing w:val="7"/>
                <w:lang w:val="en-US" w:eastAsia="zh-CN"/>
              </w:rPr>
            </w:pPr>
            <w:r>
              <w:rPr>
                <w:spacing w:val="7"/>
              </w:rPr>
              <w:t>每缺1次，扣3分</w:t>
            </w:r>
          </w:p>
        </w:tc>
        <w:tc>
          <w:tcPr>
            <w:tcW w:w="803" w:type="dxa"/>
          </w:tcPr>
          <w:p w14:paraId="78AE1DDD">
            <w:pPr>
              <w:pStyle w:val="2"/>
              <w:widowControl w:val="0"/>
              <w:jc w:val="center"/>
              <w:rPr>
                <w:rFonts w:hint="default"/>
                <w:vertAlign w:val="baseline"/>
                <w:lang w:val="en-US" w:eastAsia="zh-CN"/>
              </w:rPr>
            </w:pPr>
          </w:p>
        </w:tc>
        <w:tc>
          <w:tcPr>
            <w:tcW w:w="1189" w:type="dxa"/>
          </w:tcPr>
          <w:p w14:paraId="25665B7E">
            <w:pPr>
              <w:pStyle w:val="2"/>
              <w:widowControl w:val="0"/>
              <w:jc w:val="center"/>
              <w:rPr>
                <w:rFonts w:hint="default"/>
                <w:vertAlign w:val="baseline"/>
                <w:lang w:val="en-US" w:eastAsia="zh-CN"/>
              </w:rPr>
            </w:pPr>
          </w:p>
        </w:tc>
        <w:tc>
          <w:tcPr>
            <w:tcW w:w="1189" w:type="dxa"/>
          </w:tcPr>
          <w:p w14:paraId="79C4208F">
            <w:pPr>
              <w:pStyle w:val="2"/>
              <w:widowControl w:val="0"/>
              <w:jc w:val="center"/>
              <w:rPr>
                <w:rFonts w:hint="default"/>
                <w:vertAlign w:val="baseline"/>
                <w:lang w:val="en-US" w:eastAsia="zh-CN"/>
              </w:rPr>
            </w:pPr>
          </w:p>
        </w:tc>
      </w:tr>
      <w:tr w14:paraId="75DD5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9" w:type="dxa"/>
            <w:vAlign w:val="center"/>
          </w:tcPr>
          <w:p w14:paraId="7E31CF90">
            <w:pPr>
              <w:pStyle w:val="2"/>
              <w:widowControl w:val="0"/>
              <w:jc w:val="center"/>
              <w:rPr>
                <w:rFonts w:hint="default" w:ascii="Arial" w:hAnsi="Arial" w:eastAsia="Arial" w:cs="Arial"/>
                <w:snapToGrid w:val="0"/>
                <w:color w:val="000000"/>
                <w:spacing w:val="7"/>
                <w:sz w:val="21"/>
                <w:szCs w:val="21"/>
                <w:lang w:val="en-US" w:eastAsia="zh-CN" w:bidi="ar-SA"/>
              </w:rPr>
            </w:pPr>
            <w:r>
              <w:rPr>
                <w:rFonts w:hint="eastAsia" w:ascii="Arial" w:hAnsi="Arial" w:eastAsia="Arial" w:cs="Arial"/>
                <w:snapToGrid w:val="0"/>
                <w:color w:val="000000"/>
                <w:spacing w:val="7"/>
                <w:sz w:val="21"/>
                <w:szCs w:val="21"/>
                <w:lang w:val="en-US" w:eastAsia="zh-CN" w:bidi="ar-SA"/>
              </w:rPr>
              <w:t>2</w:t>
            </w:r>
          </w:p>
        </w:tc>
        <w:tc>
          <w:tcPr>
            <w:tcW w:w="1177" w:type="dxa"/>
            <w:vMerge w:val="continue"/>
            <w:vAlign w:val="center"/>
          </w:tcPr>
          <w:p w14:paraId="0932C2AF">
            <w:pPr>
              <w:pStyle w:val="2"/>
              <w:widowControl w:val="0"/>
              <w:jc w:val="center"/>
              <w:rPr>
                <w:rFonts w:hint="default"/>
                <w:vertAlign w:val="baseline"/>
                <w:lang w:val="en-US" w:eastAsia="zh-CN"/>
              </w:rPr>
            </w:pPr>
          </w:p>
        </w:tc>
        <w:tc>
          <w:tcPr>
            <w:tcW w:w="1892" w:type="dxa"/>
            <w:shd w:val="clear" w:color="auto" w:fill="auto"/>
            <w:vAlign w:val="center"/>
          </w:tcPr>
          <w:p w14:paraId="09348DD6">
            <w:pPr>
              <w:pStyle w:val="9"/>
              <w:widowControl w:val="0"/>
              <w:spacing w:before="143" w:line="220" w:lineRule="auto"/>
              <w:jc w:val="both"/>
              <w:rPr>
                <w:rFonts w:hint="default"/>
                <w:spacing w:val="7"/>
                <w:lang w:val="en-US" w:eastAsia="zh-CN"/>
              </w:rPr>
            </w:pPr>
            <w:r>
              <w:rPr>
                <w:spacing w:val="7"/>
              </w:rPr>
              <w:t>地梁、柱验筋、浇筑</w:t>
            </w:r>
          </w:p>
        </w:tc>
        <w:tc>
          <w:tcPr>
            <w:tcW w:w="715" w:type="dxa"/>
            <w:vAlign w:val="center"/>
          </w:tcPr>
          <w:p w14:paraId="32C0A8C9">
            <w:pPr>
              <w:pStyle w:val="9"/>
              <w:widowControl w:val="0"/>
              <w:spacing w:before="143" w:line="241" w:lineRule="auto"/>
              <w:jc w:val="center"/>
              <w:rPr>
                <w:rFonts w:hint="default"/>
                <w:vertAlign w:val="baseline"/>
                <w:lang w:val="en-US" w:eastAsia="zh-CN"/>
              </w:rPr>
            </w:pPr>
            <w:r>
              <w:t>3</w:t>
            </w:r>
          </w:p>
        </w:tc>
        <w:tc>
          <w:tcPr>
            <w:tcW w:w="1847" w:type="dxa"/>
            <w:shd w:val="clear" w:color="auto" w:fill="auto"/>
            <w:vAlign w:val="center"/>
          </w:tcPr>
          <w:p w14:paraId="386BAF3F">
            <w:pPr>
              <w:pStyle w:val="9"/>
              <w:widowControl w:val="0"/>
              <w:spacing w:before="143" w:line="220" w:lineRule="auto"/>
              <w:jc w:val="both"/>
              <w:rPr>
                <w:rFonts w:hint="default"/>
                <w:spacing w:val="7"/>
                <w:lang w:val="en-US" w:eastAsia="zh-CN"/>
              </w:rPr>
            </w:pPr>
            <w:r>
              <w:rPr>
                <w:spacing w:val="7"/>
              </w:rPr>
              <w:t>每缺1项，扣1分</w:t>
            </w:r>
          </w:p>
        </w:tc>
        <w:tc>
          <w:tcPr>
            <w:tcW w:w="803" w:type="dxa"/>
          </w:tcPr>
          <w:p w14:paraId="4E841571">
            <w:pPr>
              <w:pStyle w:val="2"/>
              <w:widowControl w:val="0"/>
              <w:jc w:val="center"/>
              <w:rPr>
                <w:rFonts w:hint="default"/>
                <w:vertAlign w:val="baseline"/>
                <w:lang w:val="en-US" w:eastAsia="zh-CN"/>
              </w:rPr>
            </w:pPr>
          </w:p>
        </w:tc>
        <w:tc>
          <w:tcPr>
            <w:tcW w:w="1189" w:type="dxa"/>
          </w:tcPr>
          <w:p w14:paraId="6A59AF94">
            <w:pPr>
              <w:pStyle w:val="2"/>
              <w:widowControl w:val="0"/>
              <w:jc w:val="center"/>
              <w:rPr>
                <w:rFonts w:hint="default"/>
                <w:vertAlign w:val="baseline"/>
                <w:lang w:val="en-US" w:eastAsia="zh-CN"/>
              </w:rPr>
            </w:pPr>
          </w:p>
        </w:tc>
        <w:tc>
          <w:tcPr>
            <w:tcW w:w="1189" w:type="dxa"/>
          </w:tcPr>
          <w:p w14:paraId="5901F6ED">
            <w:pPr>
              <w:pStyle w:val="2"/>
              <w:widowControl w:val="0"/>
              <w:jc w:val="center"/>
              <w:rPr>
                <w:rFonts w:hint="default"/>
                <w:vertAlign w:val="baseline"/>
                <w:lang w:val="en-US" w:eastAsia="zh-CN"/>
              </w:rPr>
            </w:pPr>
          </w:p>
        </w:tc>
      </w:tr>
      <w:tr w14:paraId="37678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9" w:type="dxa"/>
            <w:vAlign w:val="center"/>
          </w:tcPr>
          <w:p w14:paraId="0D7C2111">
            <w:pPr>
              <w:pStyle w:val="2"/>
              <w:widowControl w:val="0"/>
              <w:jc w:val="center"/>
              <w:rPr>
                <w:rFonts w:hint="default" w:ascii="Arial" w:hAnsi="Arial" w:eastAsia="Arial" w:cs="Arial"/>
                <w:snapToGrid w:val="0"/>
                <w:color w:val="000000"/>
                <w:spacing w:val="7"/>
                <w:sz w:val="21"/>
                <w:szCs w:val="21"/>
                <w:lang w:val="en-US" w:eastAsia="zh-CN" w:bidi="ar-SA"/>
              </w:rPr>
            </w:pPr>
            <w:r>
              <w:rPr>
                <w:rFonts w:hint="eastAsia" w:ascii="Arial" w:hAnsi="Arial" w:eastAsia="Arial" w:cs="Arial"/>
                <w:snapToGrid w:val="0"/>
                <w:color w:val="000000"/>
                <w:spacing w:val="7"/>
                <w:sz w:val="21"/>
                <w:szCs w:val="21"/>
                <w:lang w:val="en-US" w:eastAsia="zh-CN" w:bidi="ar-SA"/>
              </w:rPr>
              <w:t>3</w:t>
            </w:r>
          </w:p>
        </w:tc>
        <w:tc>
          <w:tcPr>
            <w:tcW w:w="1177" w:type="dxa"/>
            <w:vMerge w:val="continue"/>
            <w:vAlign w:val="center"/>
          </w:tcPr>
          <w:p w14:paraId="732C2BBA">
            <w:pPr>
              <w:pStyle w:val="2"/>
              <w:widowControl w:val="0"/>
              <w:jc w:val="center"/>
              <w:rPr>
                <w:rFonts w:hint="default"/>
                <w:vertAlign w:val="baseline"/>
                <w:lang w:val="en-US" w:eastAsia="zh-CN"/>
              </w:rPr>
            </w:pPr>
          </w:p>
        </w:tc>
        <w:tc>
          <w:tcPr>
            <w:tcW w:w="1892" w:type="dxa"/>
            <w:shd w:val="clear" w:color="auto" w:fill="auto"/>
            <w:vAlign w:val="center"/>
          </w:tcPr>
          <w:p w14:paraId="5F442054">
            <w:pPr>
              <w:pStyle w:val="9"/>
              <w:widowControl w:val="0"/>
              <w:spacing w:before="143" w:line="220" w:lineRule="auto"/>
              <w:jc w:val="both"/>
              <w:rPr>
                <w:rFonts w:hint="default"/>
                <w:spacing w:val="7"/>
                <w:lang w:val="en-US" w:eastAsia="zh-CN"/>
              </w:rPr>
            </w:pPr>
            <w:r>
              <w:rPr>
                <w:spacing w:val="7"/>
              </w:rPr>
              <w:t>墙体砌筑</w:t>
            </w:r>
          </w:p>
        </w:tc>
        <w:tc>
          <w:tcPr>
            <w:tcW w:w="715" w:type="dxa"/>
            <w:vAlign w:val="center"/>
          </w:tcPr>
          <w:p w14:paraId="32899F13">
            <w:pPr>
              <w:pStyle w:val="9"/>
              <w:widowControl w:val="0"/>
              <w:spacing w:before="143" w:line="241" w:lineRule="auto"/>
              <w:jc w:val="center"/>
              <w:rPr>
                <w:rFonts w:hint="default"/>
                <w:vertAlign w:val="baseline"/>
                <w:lang w:val="en-US" w:eastAsia="zh-CN"/>
              </w:rPr>
            </w:pPr>
            <w:r>
              <w:t>3</w:t>
            </w:r>
          </w:p>
        </w:tc>
        <w:tc>
          <w:tcPr>
            <w:tcW w:w="1847" w:type="dxa"/>
            <w:shd w:val="clear" w:color="auto" w:fill="auto"/>
            <w:vAlign w:val="center"/>
          </w:tcPr>
          <w:p w14:paraId="1A01F3B9">
            <w:pPr>
              <w:pStyle w:val="9"/>
              <w:widowControl w:val="0"/>
              <w:spacing w:before="143" w:line="220" w:lineRule="auto"/>
              <w:jc w:val="both"/>
              <w:rPr>
                <w:rFonts w:hint="default"/>
                <w:spacing w:val="7"/>
                <w:lang w:val="en-US" w:eastAsia="zh-CN"/>
              </w:rPr>
            </w:pPr>
            <w:r>
              <w:rPr>
                <w:spacing w:val="7"/>
              </w:rPr>
              <w:t>每缺1次，扣1分</w:t>
            </w:r>
          </w:p>
        </w:tc>
        <w:tc>
          <w:tcPr>
            <w:tcW w:w="803" w:type="dxa"/>
          </w:tcPr>
          <w:p w14:paraId="5C9A2164">
            <w:pPr>
              <w:pStyle w:val="2"/>
              <w:widowControl w:val="0"/>
              <w:jc w:val="center"/>
              <w:rPr>
                <w:rFonts w:hint="default"/>
                <w:vertAlign w:val="baseline"/>
                <w:lang w:val="en-US" w:eastAsia="zh-CN"/>
              </w:rPr>
            </w:pPr>
          </w:p>
        </w:tc>
        <w:tc>
          <w:tcPr>
            <w:tcW w:w="1189" w:type="dxa"/>
          </w:tcPr>
          <w:p w14:paraId="09D3704F">
            <w:pPr>
              <w:pStyle w:val="2"/>
              <w:widowControl w:val="0"/>
              <w:jc w:val="center"/>
              <w:rPr>
                <w:rFonts w:hint="default"/>
                <w:vertAlign w:val="baseline"/>
                <w:lang w:val="en-US" w:eastAsia="zh-CN"/>
              </w:rPr>
            </w:pPr>
          </w:p>
        </w:tc>
        <w:tc>
          <w:tcPr>
            <w:tcW w:w="1189" w:type="dxa"/>
          </w:tcPr>
          <w:p w14:paraId="21F8AFC0">
            <w:pPr>
              <w:pStyle w:val="2"/>
              <w:widowControl w:val="0"/>
              <w:jc w:val="center"/>
              <w:rPr>
                <w:rFonts w:hint="default"/>
                <w:vertAlign w:val="baseline"/>
                <w:lang w:val="en-US" w:eastAsia="zh-CN"/>
              </w:rPr>
            </w:pPr>
          </w:p>
        </w:tc>
      </w:tr>
      <w:tr w14:paraId="438FB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9" w:type="dxa"/>
            <w:vAlign w:val="center"/>
          </w:tcPr>
          <w:p w14:paraId="6401AD27">
            <w:pPr>
              <w:pStyle w:val="2"/>
              <w:widowControl w:val="0"/>
              <w:jc w:val="center"/>
              <w:rPr>
                <w:rFonts w:hint="default" w:ascii="Arial" w:hAnsi="Arial" w:eastAsia="Arial" w:cs="Arial"/>
                <w:snapToGrid w:val="0"/>
                <w:color w:val="000000"/>
                <w:spacing w:val="7"/>
                <w:sz w:val="21"/>
                <w:szCs w:val="21"/>
                <w:lang w:val="en-US" w:eastAsia="zh-CN" w:bidi="ar-SA"/>
              </w:rPr>
            </w:pPr>
            <w:r>
              <w:rPr>
                <w:rFonts w:hint="eastAsia" w:ascii="Arial" w:hAnsi="Arial" w:eastAsia="Arial" w:cs="Arial"/>
                <w:snapToGrid w:val="0"/>
                <w:color w:val="000000"/>
                <w:spacing w:val="7"/>
                <w:sz w:val="21"/>
                <w:szCs w:val="21"/>
                <w:lang w:val="en-US" w:eastAsia="zh-CN" w:bidi="ar-SA"/>
              </w:rPr>
              <w:t>4</w:t>
            </w:r>
          </w:p>
        </w:tc>
        <w:tc>
          <w:tcPr>
            <w:tcW w:w="1177" w:type="dxa"/>
            <w:vMerge w:val="continue"/>
            <w:vAlign w:val="center"/>
          </w:tcPr>
          <w:p w14:paraId="284CB63C">
            <w:pPr>
              <w:pStyle w:val="2"/>
              <w:widowControl w:val="0"/>
              <w:jc w:val="center"/>
              <w:rPr>
                <w:rFonts w:hint="default"/>
                <w:vertAlign w:val="baseline"/>
                <w:lang w:val="en-US" w:eastAsia="zh-CN"/>
              </w:rPr>
            </w:pPr>
          </w:p>
        </w:tc>
        <w:tc>
          <w:tcPr>
            <w:tcW w:w="1892" w:type="dxa"/>
            <w:shd w:val="clear" w:color="auto" w:fill="auto"/>
            <w:vAlign w:val="center"/>
          </w:tcPr>
          <w:p w14:paraId="0A5E9212">
            <w:pPr>
              <w:pStyle w:val="9"/>
              <w:widowControl w:val="0"/>
              <w:spacing w:before="143" w:line="220" w:lineRule="auto"/>
              <w:jc w:val="both"/>
              <w:rPr>
                <w:rFonts w:hint="default"/>
                <w:spacing w:val="7"/>
                <w:lang w:val="en-US" w:eastAsia="zh-CN"/>
              </w:rPr>
            </w:pPr>
            <w:r>
              <w:rPr>
                <w:spacing w:val="7"/>
              </w:rPr>
              <w:t>柱、梁、板布筋是否到场验收</w:t>
            </w:r>
          </w:p>
        </w:tc>
        <w:tc>
          <w:tcPr>
            <w:tcW w:w="715" w:type="dxa"/>
            <w:vAlign w:val="center"/>
          </w:tcPr>
          <w:p w14:paraId="264EEBDC">
            <w:pPr>
              <w:pStyle w:val="9"/>
              <w:widowControl w:val="0"/>
              <w:spacing w:before="143" w:line="241" w:lineRule="auto"/>
              <w:jc w:val="center"/>
              <w:rPr>
                <w:rFonts w:hint="default"/>
                <w:vertAlign w:val="baseline"/>
                <w:lang w:val="en-US" w:eastAsia="zh-CN"/>
              </w:rPr>
            </w:pPr>
            <w:r>
              <w:rPr>
                <w:spacing w:val="-12"/>
              </w:rPr>
              <w:t>15</w:t>
            </w:r>
          </w:p>
        </w:tc>
        <w:tc>
          <w:tcPr>
            <w:tcW w:w="1847" w:type="dxa"/>
            <w:shd w:val="clear" w:color="auto" w:fill="auto"/>
            <w:vAlign w:val="center"/>
          </w:tcPr>
          <w:p w14:paraId="2426ABC4">
            <w:pPr>
              <w:pStyle w:val="9"/>
              <w:widowControl w:val="0"/>
              <w:spacing w:before="143" w:line="220" w:lineRule="auto"/>
              <w:jc w:val="both"/>
              <w:rPr>
                <w:rFonts w:hint="default"/>
                <w:spacing w:val="7"/>
                <w:lang w:val="en-US" w:eastAsia="zh-CN"/>
              </w:rPr>
            </w:pPr>
            <w:r>
              <w:rPr>
                <w:spacing w:val="7"/>
              </w:rPr>
              <w:t>每缺1层，扣(15/层数)分</w:t>
            </w:r>
          </w:p>
        </w:tc>
        <w:tc>
          <w:tcPr>
            <w:tcW w:w="803" w:type="dxa"/>
          </w:tcPr>
          <w:p w14:paraId="08138264">
            <w:pPr>
              <w:pStyle w:val="2"/>
              <w:widowControl w:val="0"/>
              <w:jc w:val="center"/>
              <w:rPr>
                <w:rFonts w:hint="default"/>
                <w:vertAlign w:val="baseline"/>
                <w:lang w:val="en-US" w:eastAsia="zh-CN"/>
              </w:rPr>
            </w:pPr>
          </w:p>
        </w:tc>
        <w:tc>
          <w:tcPr>
            <w:tcW w:w="1189" w:type="dxa"/>
          </w:tcPr>
          <w:p w14:paraId="6E2FB1E2">
            <w:pPr>
              <w:pStyle w:val="2"/>
              <w:widowControl w:val="0"/>
              <w:jc w:val="center"/>
              <w:rPr>
                <w:rFonts w:hint="default"/>
                <w:vertAlign w:val="baseline"/>
                <w:lang w:val="en-US" w:eastAsia="zh-CN"/>
              </w:rPr>
            </w:pPr>
          </w:p>
        </w:tc>
        <w:tc>
          <w:tcPr>
            <w:tcW w:w="1189" w:type="dxa"/>
          </w:tcPr>
          <w:p w14:paraId="54C7ACF1">
            <w:pPr>
              <w:pStyle w:val="2"/>
              <w:widowControl w:val="0"/>
              <w:jc w:val="center"/>
              <w:rPr>
                <w:rFonts w:hint="default"/>
                <w:vertAlign w:val="baseline"/>
                <w:lang w:val="en-US" w:eastAsia="zh-CN"/>
              </w:rPr>
            </w:pPr>
          </w:p>
        </w:tc>
      </w:tr>
      <w:tr w14:paraId="394CB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9" w:type="dxa"/>
            <w:vAlign w:val="center"/>
          </w:tcPr>
          <w:p w14:paraId="3A7A4197">
            <w:pPr>
              <w:pStyle w:val="2"/>
              <w:widowControl w:val="0"/>
              <w:jc w:val="center"/>
              <w:rPr>
                <w:rFonts w:hint="default" w:ascii="Arial" w:hAnsi="Arial" w:eastAsia="Arial" w:cs="Arial"/>
                <w:snapToGrid w:val="0"/>
                <w:color w:val="000000"/>
                <w:spacing w:val="7"/>
                <w:sz w:val="21"/>
                <w:szCs w:val="21"/>
                <w:lang w:val="en-US" w:eastAsia="zh-CN" w:bidi="ar-SA"/>
              </w:rPr>
            </w:pPr>
            <w:r>
              <w:rPr>
                <w:rFonts w:hint="eastAsia" w:ascii="Arial" w:hAnsi="Arial" w:eastAsia="Arial" w:cs="Arial"/>
                <w:snapToGrid w:val="0"/>
                <w:color w:val="000000"/>
                <w:spacing w:val="7"/>
                <w:sz w:val="21"/>
                <w:szCs w:val="21"/>
                <w:lang w:val="en-US" w:eastAsia="zh-CN" w:bidi="ar-SA"/>
              </w:rPr>
              <w:t>5</w:t>
            </w:r>
          </w:p>
        </w:tc>
        <w:tc>
          <w:tcPr>
            <w:tcW w:w="1177" w:type="dxa"/>
            <w:vMerge w:val="continue"/>
            <w:vAlign w:val="center"/>
          </w:tcPr>
          <w:p w14:paraId="32FC25BF">
            <w:pPr>
              <w:pStyle w:val="2"/>
              <w:widowControl w:val="0"/>
              <w:jc w:val="center"/>
              <w:rPr>
                <w:rFonts w:hint="default"/>
                <w:vertAlign w:val="baseline"/>
                <w:lang w:val="en-US" w:eastAsia="zh-CN"/>
              </w:rPr>
            </w:pPr>
          </w:p>
        </w:tc>
        <w:tc>
          <w:tcPr>
            <w:tcW w:w="1892" w:type="dxa"/>
            <w:shd w:val="clear" w:color="auto" w:fill="auto"/>
            <w:vAlign w:val="center"/>
          </w:tcPr>
          <w:p w14:paraId="7D2FA578">
            <w:pPr>
              <w:pStyle w:val="9"/>
              <w:widowControl w:val="0"/>
              <w:spacing w:before="143" w:line="220" w:lineRule="auto"/>
              <w:jc w:val="both"/>
              <w:rPr>
                <w:rFonts w:hint="default"/>
                <w:spacing w:val="7"/>
                <w:lang w:val="en-US" w:eastAsia="zh-CN"/>
              </w:rPr>
            </w:pPr>
            <w:r>
              <w:rPr>
                <w:spacing w:val="7"/>
              </w:rPr>
              <w:t>柱、梁、板浇筑是否全程旁站</w:t>
            </w:r>
          </w:p>
        </w:tc>
        <w:tc>
          <w:tcPr>
            <w:tcW w:w="715" w:type="dxa"/>
            <w:vAlign w:val="center"/>
          </w:tcPr>
          <w:p w14:paraId="5DAC8228">
            <w:pPr>
              <w:pStyle w:val="9"/>
              <w:widowControl w:val="0"/>
              <w:spacing w:before="143" w:line="241" w:lineRule="auto"/>
              <w:jc w:val="center"/>
              <w:rPr>
                <w:rFonts w:hint="default"/>
                <w:vertAlign w:val="baseline"/>
                <w:lang w:val="en-US" w:eastAsia="zh-CN"/>
              </w:rPr>
            </w:pPr>
            <w:r>
              <w:rPr>
                <w:spacing w:val="-12"/>
              </w:rPr>
              <w:t>15</w:t>
            </w:r>
          </w:p>
        </w:tc>
        <w:tc>
          <w:tcPr>
            <w:tcW w:w="1847" w:type="dxa"/>
            <w:shd w:val="clear" w:color="auto" w:fill="auto"/>
            <w:vAlign w:val="center"/>
          </w:tcPr>
          <w:p w14:paraId="46526CC0">
            <w:pPr>
              <w:pStyle w:val="9"/>
              <w:widowControl w:val="0"/>
              <w:spacing w:before="143" w:line="220" w:lineRule="auto"/>
              <w:jc w:val="both"/>
              <w:rPr>
                <w:rFonts w:hint="default"/>
                <w:spacing w:val="7"/>
                <w:lang w:val="en-US" w:eastAsia="zh-CN"/>
              </w:rPr>
            </w:pPr>
            <w:r>
              <w:rPr>
                <w:spacing w:val="7"/>
              </w:rPr>
              <w:t>每迟到、早退、缺1层，扣(15/层 数)分</w:t>
            </w:r>
          </w:p>
        </w:tc>
        <w:tc>
          <w:tcPr>
            <w:tcW w:w="803" w:type="dxa"/>
          </w:tcPr>
          <w:p w14:paraId="2BB49DE6">
            <w:pPr>
              <w:pStyle w:val="2"/>
              <w:widowControl w:val="0"/>
              <w:jc w:val="center"/>
              <w:rPr>
                <w:rFonts w:hint="default"/>
                <w:vertAlign w:val="baseline"/>
                <w:lang w:val="en-US" w:eastAsia="zh-CN"/>
              </w:rPr>
            </w:pPr>
          </w:p>
        </w:tc>
        <w:tc>
          <w:tcPr>
            <w:tcW w:w="1189" w:type="dxa"/>
          </w:tcPr>
          <w:p w14:paraId="28BDAEC7">
            <w:pPr>
              <w:pStyle w:val="2"/>
              <w:widowControl w:val="0"/>
              <w:jc w:val="center"/>
              <w:rPr>
                <w:rFonts w:hint="default"/>
                <w:vertAlign w:val="baseline"/>
                <w:lang w:val="en-US" w:eastAsia="zh-CN"/>
              </w:rPr>
            </w:pPr>
          </w:p>
        </w:tc>
        <w:tc>
          <w:tcPr>
            <w:tcW w:w="1189" w:type="dxa"/>
          </w:tcPr>
          <w:p w14:paraId="23569288">
            <w:pPr>
              <w:pStyle w:val="2"/>
              <w:widowControl w:val="0"/>
              <w:jc w:val="center"/>
              <w:rPr>
                <w:rFonts w:hint="default"/>
                <w:vertAlign w:val="baseline"/>
                <w:lang w:val="en-US" w:eastAsia="zh-CN"/>
              </w:rPr>
            </w:pPr>
          </w:p>
        </w:tc>
      </w:tr>
      <w:tr w14:paraId="2DBE8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9" w:type="dxa"/>
            <w:vAlign w:val="center"/>
          </w:tcPr>
          <w:p w14:paraId="14A9DF0C">
            <w:pPr>
              <w:pStyle w:val="2"/>
              <w:widowControl w:val="0"/>
              <w:jc w:val="center"/>
              <w:rPr>
                <w:rFonts w:hint="default" w:ascii="Arial" w:hAnsi="Arial" w:eastAsia="Arial" w:cs="Arial"/>
                <w:snapToGrid w:val="0"/>
                <w:color w:val="000000"/>
                <w:spacing w:val="7"/>
                <w:sz w:val="21"/>
                <w:szCs w:val="21"/>
                <w:lang w:val="en-US" w:eastAsia="zh-CN" w:bidi="ar-SA"/>
              </w:rPr>
            </w:pPr>
            <w:r>
              <w:rPr>
                <w:rFonts w:hint="eastAsia" w:ascii="Arial" w:hAnsi="Arial" w:eastAsia="Arial" w:cs="Arial"/>
                <w:snapToGrid w:val="0"/>
                <w:color w:val="000000"/>
                <w:spacing w:val="7"/>
                <w:sz w:val="21"/>
                <w:szCs w:val="21"/>
                <w:lang w:val="en-US" w:eastAsia="zh-CN" w:bidi="ar-SA"/>
              </w:rPr>
              <w:t>6</w:t>
            </w:r>
          </w:p>
        </w:tc>
        <w:tc>
          <w:tcPr>
            <w:tcW w:w="1177" w:type="dxa"/>
            <w:vMerge w:val="continue"/>
            <w:vAlign w:val="center"/>
          </w:tcPr>
          <w:p w14:paraId="71D64A41">
            <w:pPr>
              <w:pStyle w:val="2"/>
              <w:widowControl w:val="0"/>
              <w:jc w:val="center"/>
              <w:rPr>
                <w:rFonts w:hint="default"/>
                <w:vertAlign w:val="baseline"/>
                <w:lang w:val="en-US" w:eastAsia="zh-CN"/>
              </w:rPr>
            </w:pPr>
          </w:p>
        </w:tc>
        <w:tc>
          <w:tcPr>
            <w:tcW w:w="1892" w:type="dxa"/>
            <w:shd w:val="clear" w:color="auto" w:fill="auto"/>
            <w:vAlign w:val="center"/>
          </w:tcPr>
          <w:p w14:paraId="57C245E0">
            <w:pPr>
              <w:pStyle w:val="9"/>
              <w:widowControl w:val="0"/>
              <w:spacing w:before="143" w:line="220" w:lineRule="auto"/>
              <w:jc w:val="both"/>
              <w:rPr>
                <w:rFonts w:hint="default"/>
                <w:spacing w:val="7"/>
                <w:lang w:val="en-US" w:eastAsia="zh-CN"/>
              </w:rPr>
            </w:pPr>
            <w:r>
              <w:rPr>
                <w:spacing w:val="7"/>
              </w:rPr>
              <w:t>设计要求防水工 序是否到场检查 处置情况</w:t>
            </w:r>
          </w:p>
        </w:tc>
        <w:tc>
          <w:tcPr>
            <w:tcW w:w="715" w:type="dxa"/>
            <w:vAlign w:val="center"/>
          </w:tcPr>
          <w:p w14:paraId="27AB0737">
            <w:pPr>
              <w:pStyle w:val="9"/>
              <w:widowControl w:val="0"/>
              <w:spacing w:before="143" w:line="241" w:lineRule="auto"/>
              <w:jc w:val="center"/>
              <w:rPr>
                <w:rFonts w:hint="default"/>
                <w:vertAlign w:val="baseline"/>
                <w:lang w:val="en-US" w:eastAsia="zh-CN"/>
              </w:rPr>
            </w:pPr>
            <w:r>
              <w:t>8</w:t>
            </w:r>
          </w:p>
        </w:tc>
        <w:tc>
          <w:tcPr>
            <w:tcW w:w="1847" w:type="dxa"/>
            <w:shd w:val="clear" w:color="auto" w:fill="auto"/>
            <w:vAlign w:val="center"/>
          </w:tcPr>
          <w:p w14:paraId="2E882BFE">
            <w:pPr>
              <w:pStyle w:val="9"/>
              <w:widowControl w:val="0"/>
              <w:spacing w:before="143" w:line="220" w:lineRule="auto"/>
              <w:jc w:val="both"/>
              <w:rPr>
                <w:rFonts w:hint="default"/>
                <w:spacing w:val="7"/>
                <w:lang w:val="en-US" w:eastAsia="zh-CN"/>
              </w:rPr>
            </w:pPr>
            <w:r>
              <w:rPr>
                <w:spacing w:val="7"/>
              </w:rPr>
              <w:t>每缺1次， 扣2分</w:t>
            </w:r>
          </w:p>
        </w:tc>
        <w:tc>
          <w:tcPr>
            <w:tcW w:w="803" w:type="dxa"/>
          </w:tcPr>
          <w:p w14:paraId="364B974E">
            <w:pPr>
              <w:pStyle w:val="2"/>
              <w:widowControl w:val="0"/>
              <w:jc w:val="center"/>
              <w:rPr>
                <w:rFonts w:hint="default"/>
                <w:vertAlign w:val="baseline"/>
                <w:lang w:val="en-US" w:eastAsia="zh-CN"/>
              </w:rPr>
            </w:pPr>
          </w:p>
        </w:tc>
        <w:tc>
          <w:tcPr>
            <w:tcW w:w="1189" w:type="dxa"/>
          </w:tcPr>
          <w:p w14:paraId="4F30C56C">
            <w:pPr>
              <w:pStyle w:val="2"/>
              <w:widowControl w:val="0"/>
              <w:jc w:val="center"/>
              <w:rPr>
                <w:rFonts w:hint="default"/>
                <w:vertAlign w:val="baseline"/>
                <w:lang w:val="en-US" w:eastAsia="zh-CN"/>
              </w:rPr>
            </w:pPr>
          </w:p>
        </w:tc>
        <w:tc>
          <w:tcPr>
            <w:tcW w:w="1189" w:type="dxa"/>
          </w:tcPr>
          <w:p w14:paraId="576FBA46">
            <w:pPr>
              <w:pStyle w:val="2"/>
              <w:widowControl w:val="0"/>
              <w:jc w:val="center"/>
              <w:rPr>
                <w:rFonts w:hint="default"/>
                <w:vertAlign w:val="baseline"/>
                <w:lang w:val="en-US" w:eastAsia="zh-CN"/>
              </w:rPr>
            </w:pPr>
          </w:p>
        </w:tc>
      </w:tr>
      <w:tr w14:paraId="5747E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9" w:type="dxa"/>
            <w:vAlign w:val="center"/>
          </w:tcPr>
          <w:p w14:paraId="2DC5BAFC">
            <w:pPr>
              <w:pStyle w:val="2"/>
              <w:widowControl w:val="0"/>
              <w:jc w:val="center"/>
              <w:rPr>
                <w:rFonts w:hint="default" w:ascii="Arial" w:hAnsi="Arial" w:eastAsia="Arial" w:cs="Arial"/>
                <w:snapToGrid w:val="0"/>
                <w:color w:val="000000"/>
                <w:spacing w:val="7"/>
                <w:sz w:val="21"/>
                <w:szCs w:val="21"/>
                <w:lang w:val="en-US" w:eastAsia="zh-CN" w:bidi="ar-SA"/>
              </w:rPr>
            </w:pPr>
            <w:r>
              <w:rPr>
                <w:rFonts w:hint="eastAsia" w:ascii="Arial" w:hAnsi="Arial" w:eastAsia="Arial" w:cs="Arial"/>
                <w:snapToGrid w:val="0"/>
                <w:color w:val="000000"/>
                <w:spacing w:val="7"/>
                <w:sz w:val="21"/>
                <w:szCs w:val="21"/>
                <w:lang w:val="en-US" w:eastAsia="zh-CN" w:bidi="ar-SA"/>
              </w:rPr>
              <w:t>7</w:t>
            </w:r>
          </w:p>
        </w:tc>
        <w:tc>
          <w:tcPr>
            <w:tcW w:w="1177" w:type="dxa"/>
            <w:vMerge w:val="continue"/>
            <w:vAlign w:val="center"/>
          </w:tcPr>
          <w:p w14:paraId="63559ACB">
            <w:pPr>
              <w:pStyle w:val="2"/>
              <w:widowControl w:val="0"/>
              <w:jc w:val="center"/>
              <w:rPr>
                <w:rFonts w:hint="default"/>
                <w:vertAlign w:val="baseline"/>
                <w:lang w:val="en-US" w:eastAsia="zh-CN"/>
              </w:rPr>
            </w:pPr>
          </w:p>
        </w:tc>
        <w:tc>
          <w:tcPr>
            <w:tcW w:w="1892" w:type="dxa"/>
            <w:shd w:val="clear" w:color="auto" w:fill="auto"/>
            <w:vAlign w:val="center"/>
          </w:tcPr>
          <w:p w14:paraId="49C2F340">
            <w:pPr>
              <w:pStyle w:val="9"/>
              <w:widowControl w:val="0"/>
              <w:spacing w:before="143" w:line="220" w:lineRule="auto"/>
              <w:jc w:val="both"/>
              <w:rPr>
                <w:rFonts w:hint="default"/>
                <w:spacing w:val="7"/>
                <w:lang w:val="en-US" w:eastAsia="zh-CN"/>
              </w:rPr>
            </w:pPr>
            <w:r>
              <w:rPr>
                <w:spacing w:val="7"/>
              </w:rPr>
              <w:t>主材、装修材料进场查验质量参数是否相符</w:t>
            </w:r>
          </w:p>
        </w:tc>
        <w:tc>
          <w:tcPr>
            <w:tcW w:w="715" w:type="dxa"/>
            <w:vAlign w:val="center"/>
          </w:tcPr>
          <w:p w14:paraId="146ECD52">
            <w:pPr>
              <w:pStyle w:val="9"/>
              <w:widowControl w:val="0"/>
              <w:spacing w:before="143" w:line="241" w:lineRule="auto"/>
              <w:jc w:val="center"/>
              <w:rPr>
                <w:rFonts w:hint="default"/>
                <w:vertAlign w:val="baseline"/>
                <w:lang w:val="en-US" w:eastAsia="zh-CN"/>
              </w:rPr>
            </w:pPr>
            <w:r>
              <w:rPr>
                <w:spacing w:val="-12"/>
              </w:rPr>
              <w:t>10</w:t>
            </w:r>
          </w:p>
        </w:tc>
        <w:tc>
          <w:tcPr>
            <w:tcW w:w="1847" w:type="dxa"/>
            <w:shd w:val="clear" w:color="auto" w:fill="auto"/>
            <w:vAlign w:val="center"/>
          </w:tcPr>
          <w:p w14:paraId="4C281F5A">
            <w:pPr>
              <w:pStyle w:val="9"/>
              <w:widowControl w:val="0"/>
              <w:spacing w:before="143" w:line="220" w:lineRule="auto"/>
              <w:jc w:val="both"/>
              <w:rPr>
                <w:rFonts w:hint="default"/>
                <w:spacing w:val="7"/>
                <w:lang w:val="en-US" w:eastAsia="zh-CN"/>
              </w:rPr>
            </w:pPr>
            <w:r>
              <w:rPr>
                <w:spacing w:val="7"/>
              </w:rPr>
              <w:t>每发现1种不合格材料，扣2分</w:t>
            </w:r>
          </w:p>
        </w:tc>
        <w:tc>
          <w:tcPr>
            <w:tcW w:w="803" w:type="dxa"/>
          </w:tcPr>
          <w:p w14:paraId="0D6379C9">
            <w:pPr>
              <w:pStyle w:val="2"/>
              <w:widowControl w:val="0"/>
              <w:jc w:val="center"/>
              <w:rPr>
                <w:rFonts w:hint="default"/>
                <w:vertAlign w:val="baseline"/>
                <w:lang w:val="en-US" w:eastAsia="zh-CN"/>
              </w:rPr>
            </w:pPr>
          </w:p>
        </w:tc>
        <w:tc>
          <w:tcPr>
            <w:tcW w:w="1189" w:type="dxa"/>
          </w:tcPr>
          <w:p w14:paraId="62A9E978">
            <w:pPr>
              <w:pStyle w:val="2"/>
              <w:widowControl w:val="0"/>
              <w:jc w:val="center"/>
              <w:rPr>
                <w:rFonts w:hint="default"/>
                <w:vertAlign w:val="baseline"/>
                <w:lang w:val="en-US" w:eastAsia="zh-CN"/>
              </w:rPr>
            </w:pPr>
          </w:p>
        </w:tc>
        <w:tc>
          <w:tcPr>
            <w:tcW w:w="1189" w:type="dxa"/>
          </w:tcPr>
          <w:p w14:paraId="1B032E49">
            <w:pPr>
              <w:pStyle w:val="2"/>
              <w:widowControl w:val="0"/>
              <w:jc w:val="center"/>
              <w:rPr>
                <w:rFonts w:hint="default"/>
                <w:vertAlign w:val="baseline"/>
                <w:lang w:val="en-US" w:eastAsia="zh-CN"/>
              </w:rPr>
            </w:pPr>
          </w:p>
        </w:tc>
      </w:tr>
      <w:tr w14:paraId="09B64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9" w:type="dxa"/>
            <w:vAlign w:val="center"/>
          </w:tcPr>
          <w:p w14:paraId="0634A402">
            <w:pPr>
              <w:pStyle w:val="2"/>
              <w:widowControl w:val="0"/>
              <w:jc w:val="center"/>
              <w:rPr>
                <w:rFonts w:hint="default" w:ascii="Arial" w:hAnsi="Arial" w:eastAsia="Arial" w:cs="Arial"/>
                <w:snapToGrid w:val="0"/>
                <w:color w:val="000000"/>
                <w:spacing w:val="7"/>
                <w:sz w:val="21"/>
                <w:szCs w:val="21"/>
                <w:lang w:val="en-US" w:eastAsia="zh-CN" w:bidi="ar-SA"/>
              </w:rPr>
            </w:pPr>
            <w:r>
              <w:rPr>
                <w:rFonts w:hint="eastAsia" w:ascii="Arial" w:hAnsi="Arial" w:eastAsia="Arial" w:cs="Arial"/>
                <w:snapToGrid w:val="0"/>
                <w:color w:val="000000"/>
                <w:spacing w:val="7"/>
                <w:sz w:val="21"/>
                <w:szCs w:val="21"/>
                <w:lang w:val="en-US" w:eastAsia="zh-CN" w:bidi="ar-SA"/>
              </w:rPr>
              <w:t>8</w:t>
            </w:r>
          </w:p>
        </w:tc>
        <w:tc>
          <w:tcPr>
            <w:tcW w:w="1177" w:type="dxa"/>
            <w:vMerge w:val="continue"/>
            <w:vAlign w:val="center"/>
          </w:tcPr>
          <w:p w14:paraId="4C5618C9">
            <w:pPr>
              <w:pStyle w:val="2"/>
              <w:widowControl w:val="0"/>
              <w:jc w:val="center"/>
              <w:rPr>
                <w:rFonts w:hint="default"/>
                <w:vertAlign w:val="baseline"/>
                <w:lang w:val="en-US" w:eastAsia="zh-CN"/>
              </w:rPr>
            </w:pPr>
          </w:p>
        </w:tc>
        <w:tc>
          <w:tcPr>
            <w:tcW w:w="1892" w:type="dxa"/>
            <w:shd w:val="clear" w:color="auto" w:fill="auto"/>
            <w:vAlign w:val="center"/>
          </w:tcPr>
          <w:p w14:paraId="1D4D00D4">
            <w:pPr>
              <w:pStyle w:val="9"/>
              <w:widowControl w:val="0"/>
              <w:spacing w:before="143" w:line="220" w:lineRule="auto"/>
              <w:jc w:val="both"/>
              <w:rPr>
                <w:rFonts w:hint="default"/>
                <w:spacing w:val="7"/>
                <w:lang w:val="en-US" w:eastAsia="zh-CN"/>
              </w:rPr>
            </w:pPr>
            <w:r>
              <w:rPr>
                <w:spacing w:val="7"/>
              </w:rPr>
              <w:t>装修过程是否到场对照施工图、工程量清单进行质量检查、工程量核查和验收整 改不到位(含发整改通知书)</w:t>
            </w:r>
          </w:p>
        </w:tc>
        <w:tc>
          <w:tcPr>
            <w:tcW w:w="715" w:type="dxa"/>
            <w:vAlign w:val="center"/>
          </w:tcPr>
          <w:p w14:paraId="50256D4F">
            <w:pPr>
              <w:pStyle w:val="9"/>
              <w:widowControl w:val="0"/>
              <w:spacing w:before="143" w:line="241" w:lineRule="auto"/>
              <w:jc w:val="center"/>
              <w:rPr>
                <w:rFonts w:hint="default"/>
                <w:vertAlign w:val="baseline"/>
                <w:lang w:val="en-US" w:eastAsia="zh-CN"/>
              </w:rPr>
            </w:pPr>
            <w:r>
              <w:rPr>
                <w:spacing w:val="-12"/>
              </w:rPr>
              <w:t>10</w:t>
            </w:r>
          </w:p>
        </w:tc>
        <w:tc>
          <w:tcPr>
            <w:tcW w:w="1847" w:type="dxa"/>
            <w:shd w:val="clear" w:color="auto" w:fill="auto"/>
            <w:vAlign w:val="center"/>
          </w:tcPr>
          <w:p w14:paraId="7900016D">
            <w:pPr>
              <w:pStyle w:val="9"/>
              <w:widowControl w:val="0"/>
              <w:spacing w:before="143" w:line="220" w:lineRule="auto"/>
              <w:jc w:val="both"/>
              <w:rPr>
                <w:rFonts w:hint="default"/>
                <w:spacing w:val="7"/>
                <w:lang w:val="en-US" w:eastAsia="zh-CN"/>
              </w:rPr>
            </w:pPr>
            <w:r>
              <w:rPr>
                <w:spacing w:val="7"/>
              </w:rPr>
              <w:t>每出现1处与设计、清单不相符和质量不合格，扣2分</w:t>
            </w:r>
          </w:p>
        </w:tc>
        <w:tc>
          <w:tcPr>
            <w:tcW w:w="803" w:type="dxa"/>
          </w:tcPr>
          <w:p w14:paraId="3C183693">
            <w:pPr>
              <w:pStyle w:val="2"/>
              <w:widowControl w:val="0"/>
              <w:jc w:val="center"/>
              <w:rPr>
                <w:rFonts w:hint="default"/>
                <w:vertAlign w:val="baseline"/>
                <w:lang w:val="en-US" w:eastAsia="zh-CN"/>
              </w:rPr>
            </w:pPr>
          </w:p>
        </w:tc>
        <w:tc>
          <w:tcPr>
            <w:tcW w:w="1189" w:type="dxa"/>
          </w:tcPr>
          <w:p w14:paraId="6DB5D7A6">
            <w:pPr>
              <w:pStyle w:val="2"/>
              <w:widowControl w:val="0"/>
              <w:jc w:val="center"/>
              <w:rPr>
                <w:rFonts w:hint="default"/>
                <w:vertAlign w:val="baseline"/>
                <w:lang w:val="en-US" w:eastAsia="zh-CN"/>
              </w:rPr>
            </w:pPr>
          </w:p>
        </w:tc>
        <w:tc>
          <w:tcPr>
            <w:tcW w:w="1189" w:type="dxa"/>
          </w:tcPr>
          <w:p w14:paraId="6E9347AF">
            <w:pPr>
              <w:pStyle w:val="2"/>
              <w:widowControl w:val="0"/>
              <w:jc w:val="center"/>
              <w:rPr>
                <w:rFonts w:hint="default"/>
                <w:vertAlign w:val="baseline"/>
                <w:lang w:val="en-US" w:eastAsia="zh-CN"/>
              </w:rPr>
            </w:pPr>
          </w:p>
        </w:tc>
      </w:tr>
      <w:tr w14:paraId="45AA2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9" w:type="dxa"/>
            <w:vAlign w:val="center"/>
          </w:tcPr>
          <w:p w14:paraId="21132DF3">
            <w:pPr>
              <w:pStyle w:val="2"/>
              <w:widowControl w:val="0"/>
              <w:jc w:val="center"/>
              <w:rPr>
                <w:rFonts w:hint="default" w:ascii="Arial" w:hAnsi="Arial" w:eastAsia="Arial" w:cs="Arial"/>
                <w:snapToGrid w:val="0"/>
                <w:color w:val="000000"/>
                <w:spacing w:val="7"/>
                <w:sz w:val="21"/>
                <w:szCs w:val="21"/>
                <w:lang w:val="en-US" w:eastAsia="zh-CN" w:bidi="ar-SA"/>
              </w:rPr>
            </w:pPr>
            <w:r>
              <w:rPr>
                <w:rFonts w:hint="eastAsia" w:ascii="Arial" w:hAnsi="Arial" w:eastAsia="Arial" w:cs="Arial"/>
                <w:snapToGrid w:val="0"/>
                <w:color w:val="000000"/>
                <w:spacing w:val="7"/>
                <w:sz w:val="21"/>
                <w:szCs w:val="21"/>
                <w:lang w:val="en-US" w:eastAsia="zh-CN" w:bidi="ar-SA"/>
              </w:rPr>
              <w:t>9</w:t>
            </w:r>
          </w:p>
        </w:tc>
        <w:tc>
          <w:tcPr>
            <w:tcW w:w="1177" w:type="dxa"/>
            <w:vAlign w:val="center"/>
          </w:tcPr>
          <w:p w14:paraId="1202CE0E">
            <w:pPr>
              <w:pStyle w:val="9"/>
              <w:widowControl w:val="0"/>
              <w:spacing w:before="140" w:line="222" w:lineRule="auto"/>
              <w:jc w:val="center"/>
              <w:rPr>
                <w:rFonts w:hint="default" w:ascii="Arial" w:hAnsi="Arial" w:eastAsia="Arial" w:cs="Arial"/>
                <w:snapToGrid w:val="0"/>
                <w:color w:val="000000"/>
                <w:spacing w:val="20"/>
                <w:sz w:val="21"/>
                <w:szCs w:val="21"/>
                <w:lang w:val="en-US" w:eastAsia="zh-CN" w:bidi="ar-SA"/>
              </w:rPr>
            </w:pPr>
            <w:r>
              <w:rPr>
                <w:rFonts w:ascii="Arial" w:hAnsi="Arial" w:eastAsia="Arial" w:cs="Arial"/>
                <w:snapToGrid w:val="0"/>
                <w:color w:val="000000"/>
                <w:spacing w:val="20"/>
                <w:sz w:val="21"/>
                <w:szCs w:val="21"/>
                <w:lang w:val="en-US" w:eastAsia="en-US" w:bidi="ar-SA"/>
              </w:rPr>
              <w:t>进度控制</w:t>
            </w:r>
          </w:p>
        </w:tc>
        <w:tc>
          <w:tcPr>
            <w:tcW w:w="1892" w:type="dxa"/>
            <w:vAlign w:val="center"/>
          </w:tcPr>
          <w:p w14:paraId="78B8B1F7">
            <w:pPr>
              <w:pStyle w:val="9"/>
              <w:widowControl w:val="0"/>
              <w:spacing w:before="143" w:line="220" w:lineRule="auto"/>
              <w:jc w:val="both"/>
              <w:rPr>
                <w:rFonts w:hint="default"/>
                <w:spacing w:val="7"/>
                <w:lang w:val="en-US" w:eastAsia="zh-CN"/>
              </w:rPr>
            </w:pPr>
            <w:r>
              <w:rPr>
                <w:spacing w:val="7"/>
                <w:lang w:val="en-US" w:eastAsia="en-US"/>
              </w:rPr>
              <w:t>是否按照施工合同 约定工期 完工，交付使用</w:t>
            </w:r>
          </w:p>
        </w:tc>
        <w:tc>
          <w:tcPr>
            <w:tcW w:w="715" w:type="dxa"/>
            <w:shd w:val="clear" w:color="auto" w:fill="auto"/>
            <w:vAlign w:val="center"/>
          </w:tcPr>
          <w:p w14:paraId="68BFF5EE">
            <w:pPr>
              <w:pStyle w:val="9"/>
              <w:widowControl w:val="0"/>
              <w:spacing w:before="143" w:line="241" w:lineRule="auto"/>
              <w:jc w:val="center"/>
              <w:rPr>
                <w:rFonts w:hint="default"/>
                <w:spacing w:val="-12"/>
                <w:lang w:val="en-US" w:eastAsia="zh-CN"/>
              </w:rPr>
            </w:pPr>
            <w:r>
              <w:rPr>
                <w:spacing w:val="-12"/>
              </w:rPr>
              <w:t>10</w:t>
            </w:r>
          </w:p>
        </w:tc>
        <w:tc>
          <w:tcPr>
            <w:tcW w:w="1847" w:type="dxa"/>
            <w:vAlign w:val="center"/>
          </w:tcPr>
          <w:p w14:paraId="521FA592">
            <w:pPr>
              <w:pStyle w:val="9"/>
              <w:widowControl w:val="0"/>
              <w:spacing w:before="143" w:line="220" w:lineRule="auto"/>
              <w:jc w:val="both"/>
              <w:rPr>
                <w:rFonts w:hint="default"/>
                <w:spacing w:val="7"/>
                <w:lang w:val="en-US" w:eastAsia="zh-CN"/>
              </w:rPr>
            </w:pPr>
            <w:r>
              <w:rPr>
                <w:spacing w:val="7"/>
              </w:rPr>
              <w:t>每推迟额定工期的15%扣1分； 不按事实出虚假证明延期的扣10分</w:t>
            </w:r>
          </w:p>
        </w:tc>
        <w:tc>
          <w:tcPr>
            <w:tcW w:w="803" w:type="dxa"/>
          </w:tcPr>
          <w:p w14:paraId="0B55476B">
            <w:pPr>
              <w:pStyle w:val="2"/>
              <w:widowControl w:val="0"/>
              <w:jc w:val="center"/>
              <w:rPr>
                <w:rFonts w:hint="default"/>
                <w:vertAlign w:val="baseline"/>
                <w:lang w:val="en-US" w:eastAsia="zh-CN"/>
              </w:rPr>
            </w:pPr>
          </w:p>
        </w:tc>
        <w:tc>
          <w:tcPr>
            <w:tcW w:w="1189" w:type="dxa"/>
          </w:tcPr>
          <w:p w14:paraId="580C0549">
            <w:pPr>
              <w:pStyle w:val="2"/>
              <w:widowControl w:val="0"/>
              <w:jc w:val="center"/>
              <w:rPr>
                <w:rFonts w:hint="default"/>
                <w:vertAlign w:val="baseline"/>
                <w:lang w:val="en-US" w:eastAsia="zh-CN"/>
              </w:rPr>
            </w:pPr>
          </w:p>
        </w:tc>
        <w:tc>
          <w:tcPr>
            <w:tcW w:w="1189" w:type="dxa"/>
          </w:tcPr>
          <w:p w14:paraId="07117578">
            <w:pPr>
              <w:pStyle w:val="2"/>
              <w:widowControl w:val="0"/>
              <w:jc w:val="center"/>
              <w:rPr>
                <w:rFonts w:hint="default"/>
                <w:vertAlign w:val="baseline"/>
                <w:lang w:val="en-US" w:eastAsia="zh-CN"/>
              </w:rPr>
            </w:pPr>
          </w:p>
        </w:tc>
      </w:tr>
      <w:tr w14:paraId="3FFDA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9" w:type="dxa"/>
            <w:vAlign w:val="center"/>
          </w:tcPr>
          <w:p w14:paraId="23AAA9B6">
            <w:pPr>
              <w:pStyle w:val="2"/>
              <w:widowControl w:val="0"/>
              <w:jc w:val="center"/>
              <w:rPr>
                <w:rFonts w:hint="default" w:ascii="Arial" w:hAnsi="Arial" w:eastAsia="Arial" w:cs="Arial"/>
                <w:snapToGrid w:val="0"/>
                <w:color w:val="000000"/>
                <w:spacing w:val="7"/>
                <w:sz w:val="21"/>
                <w:szCs w:val="21"/>
                <w:lang w:val="en-US" w:eastAsia="zh-CN" w:bidi="ar-SA"/>
              </w:rPr>
            </w:pPr>
            <w:r>
              <w:rPr>
                <w:rFonts w:hint="eastAsia" w:ascii="Arial" w:hAnsi="Arial" w:eastAsia="Arial" w:cs="Arial"/>
                <w:snapToGrid w:val="0"/>
                <w:color w:val="000000"/>
                <w:spacing w:val="7"/>
                <w:sz w:val="21"/>
                <w:szCs w:val="21"/>
                <w:lang w:val="en-US" w:eastAsia="zh-CN" w:bidi="ar-SA"/>
              </w:rPr>
              <w:t>10</w:t>
            </w:r>
          </w:p>
        </w:tc>
        <w:tc>
          <w:tcPr>
            <w:tcW w:w="1177" w:type="dxa"/>
            <w:vAlign w:val="center"/>
          </w:tcPr>
          <w:p w14:paraId="6CABD26A">
            <w:pPr>
              <w:pStyle w:val="9"/>
              <w:widowControl w:val="0"/>
              <w:spacing w:before="140" w:line="222" w:lineRule="auto"/>
              <w:jc w:val="center"/>
              <w:rPr>
                <w:rFonts w:hint="default" w:ascii="Arial" w:hAnsi="Arial" w:eastAsia="Arial" w:cs="Arial"/>
                <w:snapToGrid w:val="0"/>
                <w:color w:val="000000"/>
                <w:spacing w:val="20"/>
                <w:sz w:val="21"/>
                <w:szCs w:val="21"/>
                <w:lang w:val="en-US" w:eastAsia="zh-CN" w:bidi="ar-SA"/>
              </w:rPr>
            </w:pPr>
            <w:r>
              <w:rPr>
                <w:rFonts w:ascii="Arial" w:hAnsi="Arial" w:eastAsia="Arial" w:cs="Arial"/>
                <w:snapToGrid w:val="0"/>
                <w:color w:val="000000"/>
                <w:spacing w:val="20"/>
                <w:sz w:val="21"/>
                <w:szCs w:val="21"/>
                <w:lang w:val="en-US" w:eastAsia="en-US" w:bidi="ar-SA"/>
              </w:rPr>
              <w:t>安全控制</w:t>
            </w:r>
          </w:p>
        </w:tc>
        <w:tc>
          <w:tcPr>
            <w:tcW w:w="1892" w:type="dxa"/>
            <w:vAlign w:val="center"/>
          </w:tcPr>
          <w:p w14:paraId="22477F7B">
            <w:pPr>
              <w:pStyle w:val="9"/>
              <w:widowControl w:val="0"/>
              <w:spacing w:before="143" w:line="220" w:lineRule="auto"/>
              <w:jc w:val="both"/>
              <w:rPr>
                <w:rFonts w:hint="default"/>
                <w:spacing w:val="7"/>
                <w:lang w:val="en-US" w:eastAsia="zh-CN"/>
              </w:rPr>
            </w:pPr>
            <w:r>
              <w:rPr>
                <w:spacing w:val="7"/>
                <w:lang w:val="en-US" w:eastAsia="en-US"/>
              </w:rPr>
              <w:t>是否检查施工方 封闭防护措施等工作</w:t>
            </w:r>
          </w:p>
        </w:tc>
        <w:tc>
          <w:tcPr>
            <w:tcW w:w="715" w:type="dxa"/>
            <w:shd w:val="clear" w:color="auto" w:fill="auto"/>
            <w:vAlign w:val="center"/>
          </w:tcPr>
          <w:p w14:paraId="06F79168">
            <w:pPr>
              <w:pStyle w:val="9"/>
              <w:widowControl w:val="0"/>
              <w:spacing w:before="143" w:line="241" w:lineRule="auto"/>
              <w:jc w:val="center"/>
              <w:rPr>
                <w:rFonts w:hint="default"/>
                <w:spacing w:val="-12"/>
                <w:lang w:val="en-US" w:eastAsia="zh-CN"/>
              </w:rPr>
            </w:pPr>
            <w:r>
              <w:rPr>
                <w:spacing w:val="-12"/>
              </w:rPr>
              <w:t>10</w:t>
            </w:r>
          </w:p>
        </w:tc>
        <w:tc>
          <w:tcPr>
            <w:tcW w:w="1847" w:type="dxa"/>
            <w:vAlign w:val="center"/>
          </w:tcPr>
          <w:p w14:paraId="2B3F56FC">
            <w:pPr>
              <w:pStyle w:val="9"/>
              <w:widowControl w:val="0"/>
              <w:spacing w:before="143" w:line="220" w:lineRule="auto"/>
              <w:jc w:val="both"/>
              <w:rPr>
                <w:rFonts w:hint="default"/>
                <w:spacing w:val="7"/>
                <w:lang w:val="en-US" w:eastAsia="zh-CN"/>
              </w:rPr>
            </w:pPr>
            <w:r>
              <w:rPr>
                <w:spacing w:val="7"/>
              </w:rPr>
              <w:t>缺少一处扣2分</w:t>
            </w:r>
          </w:p>
        </w:tc>
        <w:tc>
          <w:tcPr>
            <w:tcW w:w="803" w:type="dxa"/>
          </w:tcPr>
          <w:p w14:paraId="58B071C5">
            <w:pPr>
              <w:pStyle w:val="2"/>
              <w:widowControl w:val="0"/>
              <w:jc w:val="center"/>
              <w:rPr>
                <w:rFonts w:hint="default"/>
                <w:vertAlign w:val="baseline"/>
                <w:lang w:val="en-US" w:eastAsia="zh-CN"/>
              </w:rPr>
            </w:pPr>
          </w:p>
        </w:tc>
        <w:tc>
          <w:tcPr>
            <w:tcW w:w="1189" w:type="dxa"/>
          </w:tcPr>
          <w:p w14:paraId="581656FD">
            <w:pPr>
              <w:pStyle w:val="2"/>
              <w:widowControl w:val="0"/>
              <w:jc w:val="center"/>
              <w:rPr>
                <w:rFonts w:hint="default"/>
                <w:vertAlign w:val="baseline"/>
                <w:lang w:val="en-US" w:eastAsia="zh-CN"/>
              </w:rPr>
            </w:pPr>
          </w:p>
        </w:tc>
        <w:tc>
          <w:tcPr>
            <w:tcW w:w="1189" w:type="dxa"/>
          </w:tcPr>
          <w:p w14:paraId="30585437">
            <w:pPr>
              <w:pStyle w:val="2"/>
              <w:widowControl w:val="0"/>
              <w:jc w:val="center"/>
              <w:rPr>
                <w:rFonts w:hint="default"/>
                <w:vertAlign w:val="baseline"/>
                <w:lang w:val="en-US" w:eastAsia="zh-CN"/>
              </w:rPr>
            </w:pPr>
          </w:p>
        </w:tc>
      </w:tr>
      <w:tr w14:paraId="57DFB8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9" w:type="dxa"/>
            <w:vAlign w:val="center"/>
          </w:tcPr>
          <w:p w14:paraId="7DC165B9">
            <w:pPr>
              <w:pStyle w:val="2"/>
              <w:widowControl w:val="0"/>
              <w:jc w:val="center"/>
              <w:rPr>
                <w:rFonts w:hint="default" w:ascii="Arial" w:hAnsi="Arial" w:eastAsia="Arial" w:cs="Arial"/>
                <w:snapToGrid w:val="0"/>
                <w:color w:val="000000"/>
                <w:spacing w:val="7"/>
                <w:sz w:val="21"/>
                <w:szCs w:val="21"/>
                <w:lang w:val="en-US" w:eastAsia="zh-CN" w:bidi="ar-SA"/>
              </w:rPr>
            </w:pPr>
            <w:r>
              <w:rPr>
                <w:rFonts w:hint="eastAsia" w:ascii="Arial" w:hAnsi="Arial" w:eastAsia="Arial" w:cs="Arial"/>
                <w:snapToGrid w:val="0"/>
                <w:color w:val="000000"/>
                <w:spacing w:val="7"/>
                <w:sz w:val="21"/>
                <w:szCs w:val="21"/>
                <w:lang w:val="en-US" w:eastAsia="zh-CN" w:bidi="ar-SA"/>
              </w:rPr>
              <w:t>11</w:t>
            </w:r>
          </w:p>
        </w:tc>
        <w:tc>
          <w:tcPr>
            <w:tcW w:w="1177" w:type="dxa"/>
            <w:vAlign w:val="center"/>
          </w:tcPr>
          <w:p w14:paraId="37A71C80">
            <w:pPr>
              <w:pStyle w:val="9"/>
              <w:widowControl w:val="0"/>
              <w:spacing w:before="140" w:line="225" w:lineRule="auto"/>
              <w:jc w:val="center"/>
              <w:rPr>
                <w:rFonts w:hint="default" w:ascii="Arial" w:hAnsi="Arial" w:eastAsia="Arial" w:cs="Arial"/>
                <w:snapToGrid w:val="0"/>
                <w:color w:val="000000"/>
                <w:spacing w:val="20"/>
                <w:sz w:val="21"/>
                <w:szCs w:val="21"/>
                <w:lang w:val="en-US" w:eastAsia="zh-CN" w:bidi="ar-SA"/>
              </w:rPr>
            </w:pPr>
            <w:r>
              <w:rPr>
                <w:rFonts w:ascii="Arial" w:hAnsi="Arial" w:eastAsia="Arial" w:cs="Arial"/>
                <w:snapToGrid w:val="0"/>
                <w:color w:val="000000"/>
                <w:spacing w:val="20"/>
                <w:sz w:val="21"/>
                <w:szCs w:val="21"/>
                <w:lang w:val="en-US" w:eastAsia="en-US" w:bidi="ar-SA"/>
              </w:rPr>
              <w:t>组织协调</w:t>
            </w:r>
          </w:p>
        </w:tc>
        <w:tc>
          <w:tcPr>
            <w:tcW w:w="1892" w:type="dxa"/>
            <w:vAlign w:val="center"/>
          </w:tcPr>
          <w:p w14:paraId="4AEFD247">
            <w:pPr>
              <w:pStyle w:val="9"/>
              <w:widowControl w:val="0"/>
              <w:spacing w:before="143" w:line="220" w:lineRule="auto"/>
              <w:jc w:val="both"/>
              <w:rPr>
                <w:rFonts w:hint="default"/>
                <w:spacing w:val="7"/>
                <w:lang w:val="en-US" w:eastAsia="zh-CN"/>
              </w:rPr>
            </w:pPr>
            <w:r>
              <w:rPr>
                <w:spacing w:val="7"/>
                <w:lang w:val="en-US" w:eastAsia="en-US"/>
              </w:rPr>
              <w:t>是否及时有效协调项目学校、施工方、监理单位 之间工作联系</w:t>
            </w:r>
          </w:p>
        </w:tc>
        <w:tc>
          <w:tcPr>
            <w:tcW w:w="715" w:type="dxa"/>
            <w:vAlign w:val="center"/>
          </w:tcPr>
          <w:p w14:paraId="2FCD9E87">
            <w:pPr>
              <w:pStyle w:val="9"/>
              <w:widowControl w:val="0"/>
              <w:spacing w:before="143" w:line="241" w:lineRule="auto"/>
              <w:jc w:val="center"/>
              <w:rPr>
                <w:rFonts w:hint="default"/>
                <w:spacing w:val="-12"/>
                <w:lang w:val="en-US" w:eastAsia="zh-CN"/>
              </w:rPr>
            </w:pPr>
            <w:r>
              <w:rPr>
                <w:rFonts w:hint="eastAsia"/>
                <w:spacing w:val="-12"/>
                <w:lang w:val="en-US" w:eastAsia="zh-CN"/>
              </w:rPr>
              <w:t>10</w:t>
            </w:r>
          </w:p>
        </w:tc>
        <w:tc>
          <w:tcPr>
            <w:tcW w:w="1847" w:type="dxa"/>
            <w:vAlign w:val="center"/>
          </w:tcPr>
          <w:p w14:paraId="658E328D">
            <w:pPr>
              <w:pStyle w:val="9"/>
              <w:widowControl w:val="0"/>
              <w:spacing w:before="143" w:line="220" w:lineRule="auto"/>
              <w:jc w:val="both"/>
              <w:rPr>
                <w:rFonts w:hint="default"/>
                <w:spacing w:val="7"/>
                <w:lang w:val="en-US" w:eastAsia="zh-CN"/>
              </w:rPr>
            </w:pPr>
            <w:r>
              <w:rPr>
                <w:spacing w:val="7"/>
              </w:rPr>
              <w:t>监理职责</w:t>
            </w:r>
            <w:r>
              <w:rPr>
                <w:rFonts w:hint="eastAsia"/>
                <w:spacing w:val="7"/>
              </w:rPr>
              <w:t>内，未及时</w:t>
            </w:r>
            <w:r>
              <w:rPr>
                <w:spacing w:val="7"/>
              </w:rPr>
              <w:t>沟通对</w:t>
            </w:r>
            <w:r>
              <w:rPr>
                <w:rFonts w:hint="eastAsia" w:eastAsia="宋体"/>
                <w:spacing w:val="7"/>
                <w:lang w:val="en-US" w:eastAsia="zh-CN"/>
              </w:rPr>
              <w:t>接，</w:t>
            </w:r>
            <w:r>
              <w:rPr>
                <w:spacing w:val="7"/>
              </w:rPr>
              <w:t>一次扣2分</w:t>
            </w:r>
          </w:p>
        </w:tc>
        <w:tc>
          <w:tcPr>
            <w:tcW w:w="803" w:type="dxa"/>
          </w:tcPr>
          <w:p w14:paraId="52EA34C6">
            <w:pPr>
              <w:pStyle w:val="2"/>
              <w:widowControl w:val="0"/>
              <w:jc w:val="center"/>
              <w:rPr>
                <w:rFonts w:hint="default"/>
                <w:vertAlign w:val="baseline"/>
                <w:lang w:val="en-US" w:eastAsia="zh-CN"/>
              </w:rPr>
            </w:pPr>
          </w:p>
        </w:tc>
        <w:tc>
          <w:tcPr>
            <w:tcW w:w="1189" w:type="dxa"/>
          </w:tcPr>
          <w:p w14:paraId="2CABC847">
            <w:pPr>
              <w:pStyle w:val="2"/>
              <w:widowControl w:val="0"/>
              <w:jc w:val="center"/>
              <w:rPr>
                <w:rFonts w:hint="default"/>
                <w:vertAlign w:val="baseline"/>
                <w:lang w:val="en-US" w:eastAsia="zh-CN"/>
              </w:rPr>
            </w:pPr>
          </w:p>
        </w:tc>
        <w:tc>
          <w:tcPr>
            <w:tcW w:w="1189" w:type="dxa"/>
          </w:tcPr>
          <w:p w14:paraId="237B86F8">
            <w:pPr>
              <w:pStyle w:val="2"/>
              <w:widowControl w:val="0"/>
              <w:jc w:val="center"/>
              <w:rPr>
                <w:rFonts w:hint="default"/>
                <w:vertAlign w:val="baseline"/>
                <w:lang w:val="en-US" w:eastAsia="zh-CN"/>
              </w:rPr>
            </w:pPr>
          </w:p>
        </w:tc>
      </w:tr>
      <w:tr w14:paraId="5A28B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trPr>
        <w:tc>
          <w:tcPr>
            <w:tcW w:w="699" w:type="dxa"/>
            <w:vAlign w:val="center"/>
          </w:tcPr>
          <w:p w14:paraId="56F15A00">
            <w:pPr>
              <w:pStyle w:val="2"/>
              <w:widowControl w:val="0"/>
              <w:jc w:val="center"/>
              <w:rPr>
                <w:rFonts w:hint="default" w:ascii="Arial" w:hAnsi="Arial" w:eastAsia="Arial" w:cs="Arial"/>
                <w:snapToGrid w:val="0"/>
                <w:color w:val="000000"/>
                <w:spacing w:val="7"/>
                <w:sz w:val="21"/>
                <w:szCs w:val="21"/>
                <w:lang w:val="en-US" w:eastAsia="zh-CN" w:bidi="ar-SA"/>
              </w:rPr>
            </w:pPr>
            <w:r>
              <w:rPr>
                <w:rFonts w:hint="eastAsia" w:ascii="Arial" w:hAnsi="Arial" w:eastAsia="Arial" w:cs="Arial"/>
                <w:snapToGrid w:val="0"/>
                <w:color w:val="000000"/>
                <w:spacing w:val="7"/>
                <w:sz w:val="21"/>
                <w:szCs w:val="21"/>
                <w:lang w:val="en-US" w:eastAsia="zh-CN" w:bidi="ar-SA"/>
              </w:rPr>
              <w:t>12</w:t>
            </w:r>
          </w:p>
        </w:tc>
        <w:tc>
          <w:tcPr>
            <w:tcW w:w="1177" w:type="dxa"/>
            <w:vAlign w:val="center"/>
          </w:tcPr>
          <w:p w14:paraId="409ADEE7">
            <w:pPr>
              <w:pStyle w:val="2"/>
              <w:widowControl w:val="0"/>
              <w:jc w:val="center"/>
              <w:rPr>
                <w:rFonts w:hint="default" w:ascii="Arial" w:hAnsi="Arial" w:eastAsia="Arial" w:cs="Arial"/>
                <w:snapToGrid w:val="0"/>
                <w:color w:val="000000"/>
                <w:spacing w:val="7"/>
                <w:sz w:val="21"/>
                <w:szCs w:val="21"/>
                <w:lang w:val="en-US" w:eastAsia="zh-CN" w:bidi="ar-SA"/>
              </w:rPr>
            </w:pPr>
            <w:r>
              <w:rPr>
                <w:rFonts w:hint="eastAsia" w:ascii="Arial" w:hAnsi="Arial" w:eastAsia="Arial" w:cs="Arial"/>
                <w:snapToGrid w:val="0"/>
                <w:color w:val="000000"/>
                <w:spacing w:val="7"/>
                <w:sz w:val="21"/>
                <w:szCs w:val="21"/>
                <w:lang w:val="en-US" w:eastAsia="zh-CN" w:bidi="ar-SA"/>
              </w:rPr>
              <w:t>综合评价</w:t>
            </w:r>
          </w:p>
        </w:tc>
        <w:tc>
          <w:tcPr>
            <w:tcW w:w="4454" w:type="dxa"/>
            <w:gridSpan w:val="3"/>
            <w:vAlign w:val="center"/>
          </w:tcPr>
          <w:p w14:paraId="0495CEBF">
            <w:pPr>
              <w:pStyle w:val="2"/>
              <w:widowControl w:val="0"/>
              <w:jc w:val="left"/>
              <w:rPr>
                <w:rFonts w:hint="default" w:ascii="Arial" w:hAnsi="Arial" w:eastAsia="Arial" w:cs="Arial"/>
                <w:snapToGrid w:val="0"/>
                <w:color w:val="000000"/>
                <w:spacing w:val="7"/>
                <w:sz w:val="21"/>
                <w:szCs w:val="21"/>
                <w:lang w:val="en-US" w:eastAsia="zh-CN" w:bidi="ar-SA"/>
              </w:rPr>
            </w:pPr>
            <w:r>
              <w:rPr>
                <w:rFonts w:hint="eastAsia" w:ascii="Arial" w:hAnsi="Arial" w:eastAsia="Arial" w:cs="Arial"/>
                <w:snapToGrid w:val="0"/>
                <w:color w:val="000000"/>
                <w:spacing w:val="7"/>
                <w:sz w:val="21"/>
                <w:szCs w:val="21"/>
                <w:lang w:val="en-US" w:eastAsia="zh-CN" w:bidi="ar-SA"/>
              </w:rPr>
              <w:t>学校法人签字：</w:t>
            </w:r>
          </w:p>
        </w:tc>
        <w:tc>
          <w:tcPr>
            <w:tcW w:w="3181" w:type="dxa"/>
            <w:gridSpan w:val="3"/>
          </w:tcPr>
          <w:p w14:paraId="0DC95542">
            <w:pPr>
              <w:pStyle w:val="2"/>
              <w:widowControl w:val="0"/>
              <w:jc w:val="center"/>
              <w:rPr>
                <w:rFonts w:hint="default"/>
                <w:vertAlign w:val="baseline"/>
                <w:lang w:val="en-US" w:eastAsia="zh-CN"/>
              </w:rPr>
            </w:pPr>
          </w:p>
        </w:tc>
      </w:tr>
    </w:tbl>
    <w:p w14:paraId="2AA4E523">
      <w:pPr>
        <w:spacing w:before="341" w:line="224" w:lineRule="auto"/>
        <w:rPr>
          <w:rFonts w:ascii="Arial" w:hAnsi="Arial" w:eastAsia="Arial" w:cs="Arial"/>
          <w:snapToGrid w:val="0"/>
          <w:color w:val="000000"/>
          <w:spacing w:val="7"/>
          <w:sz w:val="21"/>
          <w:szCs w:val="21"/>
          <w:lang w:val="en-US" w:eastAsia="en-US" w:bidi="ar-SA"/>
        </w:rPr>
      </w:pPr>
      <w:r>
        <w:rPr>
          <w:rFonts w:ascii="Arial" w:hAnsi="Arial" w:eastAsia="Arial" w:cs="Arial"/>
          <w:snapToGrid w:val="0"/>
          <w:color w:val="000000"/>
          <w:spacing w:val="7"/>
          <w:sz w:val="21"/>
          <w:szCs w:val="21"/>
          <w:lang w:val="en-US" w:eastAsia="en-US" w:bidi="ar-SA"/>
        </w:rPr>
        <w:t>填表说明：</w:t>
      </w:r>
    </w:p>
    <w:p w14:paraId="0E2A6022">
      <w:pPr>
        <w:spacing w:before="58" w:line="270" w:lineRule="auto"/>
        <w:ind w:left="13" w:leftChars="0" w:right="55" w:rightChars="0" w:hanging="13" w:firstLineChars="0"/>
        <w:rPr>
          <w:rFonts w:ascii="Arial" w:hAnsi="Arial" w:eastAsia="Arial" w:cs="Arial"/>
          <w:snapToGrid w:val="0"/>
          <w:color w:val="000000"/>
          <w:spacing w:val="7"/>
          <w:sz w:val="21"/>
          <w:szCs w:val="21"/>
          <w:lang w:val="en-US" w:eastAsia="en-US" w:bidi="ar-SA"/>
        </w:rPr>
      </w:pPr>
      <w:r>
        <w:rPr>
          <w:rFonts w:ascii="Arial" w:hAnsi="Arial" w:eastAsia="Arial" w:cs="Arial"/>
          <w:snapToGrid w:val="0"/>
          <w:color w:val="000000"/>
          <w:spacing w:val="7"/>
          <w:sz w:val="21"/>
          <w:szCs w:val="21"/>
          <w:lang w:val="en-US" w:eastAsia="en-US" w:bidi="ar-SA"/>
        </w:rPr>
        <w:t>1 、施工方或学校在工程实施过程中的考核环节前24小时通知到监理人员。该施工程序结束后，告知监理人员扣分情况，并给出该项得分，结束后签字认可。</w:t>
      </w:r>
    </w:p>
    <w:p w14:paraId="261AE86B">
      <w:pPr>
        <w:spacing w:before="106" w:line="250" w:lineRule="auto"/>
        <w:ind w:left="13" w:leftChars="0" w:right="0" w:rightChars="0" w:hanging="13" w:firstLineChars="0"/>
        <w:rPr>
          <w:rFonts w:ascii="Arial" w:hAnsi="Arial" w:eastAsia="Arial" w:cs="Arial"/>
          <w:snapToGrid w:val="0"/>
          <w:color w:val="000000"/>
          <w:spacing w:val="7"/>
          <w:sz w:val="21"/>
          <w:szCs w:val="21"/>
          <w:lang w:val="en-US" w:eastAsia="en-US" w:bidi="ar-SA"/>
        </w:rPr>
      </w:pPr>
      <w:r>
        <w:rPr>
          <w:rFonts w:ascii="Arial" w:hAnsi="Arial" w:eastAsia="Arial" w:cs="Arial"/>
          <w:snapToGrid w:val="0"/>
          <w:color w:val="000000"/>
          <w:spacing w:val="7"/>
          <w:sz w:val="21"/>
          <w:szCs w:val="21"/>
          <w:lang w:val="en-US" w:eastAsia="en-US" w:bidi="ar-SA"/>
        </w:rPr>
        <w:t>2 、对有延续性的单项，可在表后预先记录扣分情况(每次都必须告知监理人员),待该项考核内容结束后再给出得分。</w:t>
      </w:r>
    </w:p>
    <w:p w14:paraId="09E41838">
      <w:pPr>
        <w:spacing w:before="58" w:line="270" w:lineRule="auto"/>
        <w:ind w:left="13" w:leftChars="0" w:right="55" w:rightChars="0" w:hanging="13" w:firstLineChars="0"/>
        <w:rPr>
          <w:rFonts w:ascii="Arial" w:hAnsi="Arial" w:eastAsia="Arial" w:cs="Arial"/>
          <w:snapToGrid w:val="0"/>
          <w:color w:val="000000"/>
          <w:spacing w:val="7"/>
          <w:sz w:val="21"/>
          <w:szCs w:val="21"/>
          <w:lang w:val="en-US" w:eastAsia="en-US" w:bidi="ar-SA"/>
        </w:rPr>
      </w:pPr>
      <w:r>
        <w:rPr>
          <w:rFonts w:ascii="Arial" w:hAnsi="Arial" w:eastAsia="Arial" w:cs="Arial"/>
          <w:snapToGrid w:val="0"/>
          <w:color w:val="000000"/>
          <w:spacing w:val="7"/>
          <w:sz w:val="21"/>
          <w:szCs w:val="21"/>
          <w:lang w:val="en-US" w:eastAsia="en-US" w:bidi="ar-SA"/>
        </w:rPr>
        <w:t>3 、综合评价栏由学校法人代表根据整个项目工程施工监理人员综合情况，简要评价。</w:t>
      </w:r>
    </w:p>
    <w:p w14:paraId="47A8B6F6">
      <w:pPr>
        <w:spacing w:before="58" w:line="270" w:lineRule="auto"/>
        <w:ind w:left="13" w:leftChars="0" w:right="55" w:rightChars="0" w:hanging="13" w:firstLineChars="0"/>
        <w:rPr>
          <w:rFonts w:ascii="Arial" w:hAnsi="Arial" w:eastAsia="Arial" w:cs="Arial"/>
          <w:snapToGrid w:val="0"/>
          <w:color w:val="000000"/>
          <w:spacing w:val="7"/>
          <w:sz w:val="21"/>
          <w:szCs w:val="21"/>
          <w:lang w:val="en-US" w:eastAsia="en-US" w:bidi="ar-SA"/>
        </w:rPr>
      </w:pPr>
      <w:r>
        <w:rPr>
          <w:rFonts w:ascii="Arial" w:hAnsi="Arial" w:eastAsia="Arial" w:cs="Arial"/>
          <w:snapToGrid w:val="0"/>
          <w:color w:val="000000"/>
          <w:spacing w:val="7"/>
          <w:sz w:val="21"/>
          <w:szCs w:val="21"/>
          <w:lang w:val="en-US" w:eastAsia="en-US" w:bidi="ar-SA"/>
        </w:rPr>
        <w:t>4 、教育主管部门将对整个实施过程监理量化考核进行监管，重 点检查考核表的落实评价情况。</w:t>
      </w:r>
    </w:p>
    <w:p w14:paraId="10D95E1F">
      <w:pPr>
        <w:spacing w:before="58" w:line="270" w:lineRule="auto"/>
        <w:ind w:left="13" w:leftChars="0" w:right="55" w:rightChars="0" w:hanging="13" w:firstLineChars="0"/>
        <w:rPr>
          <w:rFonts w:ascii="Arial" w:hAnsi="Arial" w:eastAsia="Arial" w:cs="Arial"/>
          <w:snapToGrid w:val="0"/>
          <w:color w:val="000000"/>
          <w:spacing w:val="7"/>
          <w:sz w:val="21"/>
          <w:szCs w:val="21"/>
          <w:lang w:val="en-US" w:eastAsia="en-US" w:bidi="ar-SA"/>
        </w:rPr>
      </w:pPr>
      <w:r>
        <w:rPr>
          <w:rFonts w:ascii="Arial" w:hAnsi="Arial" w:eastAsia="Arial" w:cs="Arial"/>
          <w:snapToGrid w:val="0"/>
          <w:color w:val="000000"/>
          <w:spacing w:val="7"/>
          <w:sz w:val="21"/>
          <w:szCs w:val="21"/>
          <w:lang w:val="en-US" w:eastAsia="en-US" w:bidi="ar-SA"/>
        </w:rPr>
        <w:t>5 、学校在开工前要提供给监理单位施工图、工程量清单各1份。</w:t>
      </w:r>
    </w:p>
    <w:p w14:paraId="6C854F90">
      <w:pPr>
        <w:spacing w:before="58" w:line="270" w:lineRule="auto"/>
        <w:ind w:left="13" w:leftChars="0" w:right="55" w:rightChars="0" w:hanging="13" w:firstLineChars="0"/>
        <w:rPr>
          <w:rFonts w:hint="default" w:ascii="宋体" w:hAnsi="宋体" w:eastAsia="宋体" w:cs="宋体"/>
          <w:color w:val="auto"/>
          <w:spacing w:val="9"/>
          <w:sz w:val="24"/>
          <w:szCs w:val="24"/>
          <w:highlight w:val="none"/>
          <w:lang w:val="en-US" w:eastAsia="zh-CN"/>
        </w:rPr>
      </w:pPr>
      <w:r>
        <w:rPr>
          <w:rFonts w:ascii="Arial" w:hAnsi="Arial" w:eastAsia="Arial" w:cs="Arial"/>
          <w:snapToGrid w:val="0"/>
          <w:color w:val="000000"/>
          <w:spacing w:val="7"/>
          <w:sz w:val="21"/>
          <w:szCs w:val="21"/>
          <w:lang w:val="en-US" w:eastAsia="en-US" w:bidi="ar-SA"/>
        </w:rPr>
        <w:t>6 、此表只需填报1份，在组织工程竣工验收时，交校建办一并带回统计、存档。</w:t>
      </w:r>
    </w:p>
    <w:p w14:paraId="5A609EC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FangSong_GB2312-Identity-H">
    <w:altName w:val="ksdb"/>
    <w:panose1 w:val="00000000000000000000"/>
    <w:charset w:val="00"/>
    <w:family w:val="auto"/>
    <w:pitch w:val="default"/>
    <w:sig w:usb0="00000000" w:usb1="00000000" w:usb2="00000000" w:usb3="00000000" w:csb0="00000000" w:csb1="00000000"/>
  </w:font>
  <w:font w:name="ksdb">
    <w:panose1 w:val="02000500000000000000"/>
    <w:charset w:val="00"/>
    <w:family w:val="auto"/>
    <w:pitch w:val="default"/>
    <w:sig w:usb0="00000001"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D757C4">
    <w:pPr>
      <w:pStyle w:val="4"/>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547EBE">
                          <w:pPr>
                            <w:pStyle w:val="4"/>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21547EBE">
                    <w:pPr>
                      <w:pStyle w:val="4"/>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B1256A">
    <w:pPr>
      <w:pStyle w:val="4"/>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1CBF81">
                          <w:pPr>
                            <w:pStyle w:val="4"/>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3E1CBF81">
                    <w:pPr>
                      <w:pStyle w:val="4"/>
                    </w:pPr>
                    <w:r>
                      <w:fldChar w:fldCharType="begin"/>
                    </w:r>
                    <w:r>
                      <w:instrText xml:space="preserve"> PAGE  \* MERGEFORMAT </w:instrText>
                    </w:r>
                    <w:r>
                      <w:fldChar w:fldCharType="separate"/>
                    </w:r>
                    <w:r>
                      <w:t>61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64738DC"/>
    <w:rsid w:val="164738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7">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footer"/>
    <w:basedOn w:val="1"/>
    <w:qFormat/>
    <w:uiPriority w:val="0"/>
    <w:pPr>
      <w:tabs>
        <w:tab w:val="center" w:pos="4153"/>
        <w:tab w:val="right" w:pos="8306"/>
      </w:tabs>
    </w:pPr>
    <w:rPr>
      <w:sz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8">
    <w:name w:val="Table Normal"/>
    <w:semiHidden/>
    <w:unhideWhenUsed/>
    <w:qFormat/>
    <w:uiPriority w:val="0"/>
    <w:tblPr>
      <w:tblCellMar>
        <w:top w:w="0" w:type="dxa"/>
        <w:left w:w="0" w:type="dxa"/>
        <w:bottom w:w="0" w:type="dxa"/>
        <w:right w:w="0" w:type="dxa"/>
      </w:tblCellMar>
    </w:tblPr>
  </w:style>
  <w:style w:type="paragraph" w:customStyle="1" w:styleId="9">
    <w:name w:val="Table Text"/>
    <w:basedOn w:val="1"/>
    <w:semiHidden/>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2026-06-25T23:57:00Z</dcterms:created>
  <dc:creator>Administrator</dc:creator>
  <cp:lastModifiedBy>Administrator</cp:lastModifiedBy>
  <dcterms:modified xsi:type="dcterms:W3CDTF">2026-06-25T23:58:15Z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1460DC40A4974F418CD2908342A91099_11</vt:lpwstr>
  </property>
  <property fmtid="{D5CDD505-2E9C-101B-9397-08002B2CF9AE}" pid="4" name="KSOTemplateDocerSaveRecord">
    <vt:lpwstr>eyJoZGlkIjoiZjZiN2Q2OTYyOGMzMDJhYzQwZTM4OWI0YmI0YWQ0ZDMiLCJ1c2VySWQiOiI1NTcyODI0ODkifQ==</vt:lpwstr>
  </property>
</Properties>
</file>