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ECE6AD" w14:textId="77777777" w:rsidR="006B1EC2" w:rsidRDefault="00A35A5D">
      <w:pPr>
        <w:widowControl/>
        <w:spacing w:line="360" w:lineRule="auto"/>
        <w:jc w:val="center"/>
      </w:pPr>
      <w:r>
        <w:rPr>
          <w:rFonts w:ascii="宋体" w:eastAsia="宋体" w:hAnsi="宋体" w:cs="宋体" w:hint="eastAsia"/>
          <w:b/>
          <w:bCs/>
          <w:color w:val="000000"/>
          <w:kern w:val="0"/>
          <w:sz w:val="43"/>
          <w:szCs w:val="43"/>
          <w:lang w:bidi="ar"/>
        </w:rPr>
        <w:t>发包人要求</w:t>
      </w:r>
    </w:p>
    <w:p w14:paraId="01F42DB5" w14:textId="77777777" w:rsidR="006B1EC2" w:rsidRDefault="00A35A5D">
      <w:pPr>
        <w:widowControl/>
        <w:spacing w:line="360" w:lineRule="auto"/>
        <w:jc w:val="left"/>
      </w:pPr>
      <w:bookmarkStart w:id="0" w:name="OLE_LINK51"/>
      <w:bookmarkStart w:id="1" w:name="OLE_LINK52"/>
      <w:bookmarkStart w:id="2" w:name="_GoBack"/>
      <w:r>
        <w:rPr>
          <w:rFonts w:ascii="宋体" w:eastAsia="宋体" w:hAnsi="宋体" w:cs="宋体" w:hint="eastAsia"/>
          <w:b/>
          <w:bCs/>
          <w:color w:val="000000"/>
          <w:kern w:val="0"/>
          <w:sz w:val="24"/>
          <w:lang w:bidi="ar"/>
        </w:rPr>
        <w:t>一、项目概况</w:t>
      </w:r>
    </w:p>
    <w:p w14:paraId="490E8D61" w14:textId="77777777" w:rsidR="006B1EC2" w:rsidRDefault="00A35A5D">
      <w:pPr>
        <w:widowControl/>
        <w:spacing w:line="360" w:lineRule="auto"/>
        <w:jc w:val="left"/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1.1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项目名称</w:t>
      </w:r>
    </w:p>
    <w:bookmarkEnd w:id="0"/>
    <w:bookmarkEnd w:id="1"/>
    <w:bookmarkEnd w:id="2"/>
    <w:p w14:paraId="006995B6" w14:textId="77777777" w:rsidR="006B1EC2" w:rsidRDefault="00A35A5D">
      <w:pPr>
        <w:widowControl/>
        <w:spacing w:line="360" w:lineRule="auto"/>
        <w:ind w:firstLineChars="200" w:firstLine="480"/>
        <w:jc w:val="left"/>
        <w:rPr>
          <w:highlight w:val="yellow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highlight w:val="yellow"/>
          <w:lang w:bidi="ar"/>
        </w:rPr>
        <w:t>项目名称应由代理公司按照最终发标名称提供</w:t>
      </w:r>
    </w:p>
    <w:p w14:paraId="4EBC7AF5" w14:textId="77777777" w:rsidR="006B1EC2" w:rsidRDefault="00A35A5D">
      <w:pPr>
        <w:widowControl/>
        <w:spacing w:line="360" w:lineRule="auto"/>
        <w:jc w:val="left"/>
      </w:pPr>
      <w:bookmarkStart w:id="3" w:name="OLE_LINK50"/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1.2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招标范围</w:t>
      </w:r>
    </w:p>
    <w:p w14:paraId="37E64E9C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本次招标范围涉及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4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个项目：</w:t>
      </w:r>
    </w:p>
    <w:p w14:paraId="53D7ED03" w14:textId="77777777" w:rsidR="006B1EC2" w:rsidRDefault="00A35A5D">
      <w:pPr>
        <w:widowControl/>
        <w:numPr>
          <w:ilvl w:val="0"/>
          <w:numId w:val="1"/>
        </w:numPr>
        <w:spacing w:line="360" w:lineRule="auto"/>
        <w:ind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彭泽县陶令纪念馆展陈设计项目，纪念馆总计为三层，一层面积约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280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㎡；二层面积约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260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㎡；三层面积约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182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㎡。</w:t>
      </w:r>
    </w:p>
    <w:p w14:paraId="1ADA3F53" w14:textId="77777777" w:rsidR="006B1EC2" w:rsidRDefault="00A35A5D">
      <w:pPr>
        <w:widowControl/>
        <w:numPr>
          <w:ilvl w:val="0"/>
          <w:numId w:val="1"/>
        </w:numPr>
        <w:spacing w:line="360" w:lineRule="auto"/>
        <w:ind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陶博吾故居保护改造提升设计项目：</w:t>
      </w:r>
      <w:r>
        <w:rPr>
          <w:rFonts w:ascii="宋体" w:eastAsia="宋体" w:hAnsi="宋体" w:cs="宋体"/>
          <w:sz w:val="24"/>
        </w:rPr>
        <w:t>本项目为历史名人故居文保改造工程，聚焦建筑本体修缮、内部空间整治、风貌复原、配套设施优化及文化展示设计，整体按照历史建筑保护标准开展全流程设计工作。</w:t>
      </w:r>
    </w:p>
    <w:p w14:paraId="5139366B" w14:textId="77777777" w:rsidR="006B1EC2" w:rsidRDefault="00A35A5D">
      <w:pPr>
        <w:widowControl/>
        <w:numPr>
          <w:ilvl w:val="0"/>
          <w:numId w:val="1"/>
        </w:numPr>
        <w:spacing w:line="360" w:lineRule="auto"/>
        <w:ind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汪家状元府遗址保护改造提升设计项目：</w:t>
      </w:r>
      <w:r>
        <w:rPr>
          <w:rFonts w:ascii="宋体" w:eastAsia="宋体" w:hAnsi="宋体" w:cs="宋体"/>
          <w:sz w:val="24"/>
        </w:rPr>
        <w:t>本项目为古建遗址保护性改造工程，以遗址本体保护、历史风貌修复、场地梳理、环境整治、展陈配套及游览功能提升为核心，严格遵循古遗址保护相关规范进行设计。</w:t>
      </w:r>
    </w:p>
    <w:p w14:paraId="5F3E4862" w14:textId="77777777" w:rsidR="006B1EC2" w:rsidRDefault="00A35A5D">
      <w:pPr>
        <w:widowControl/>
        <w:numPr>
          <w:ilvl w:val="0"/>
          <w:numId w:val="1"/>
        </w:numPr>
        <w:spacing w:line="360" w:lineRule="auto"/>
        <w:ind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仙人桥改造提升项目：</w:t>
      </w:r>
      <w:r>
        <w:rPr>
          <w:rFonts w:ascii="宋体" w:eastAsia="宋体" w:hAnsi="宋体" w:cs="宋体"/>
          <w:sz w:val="24"/>
        </w:rPr>
        <w:t>本项目为古桥梁及周边环境综合提升工程，涵盖古桥本体修缮、结构加固、慢行系统优化、防护设施增设、轻量游览配套及风貌协同设计，实现古桥本体与自然环境一体化保护提升。</w:t>
      </w:r>
    </w:p>
    <w:p w14:paraId="2CEB6C1D" w14:textId="77777777" w:rsidR="006B1EC2" w:rsidRDefault="00A35A5D">
      <w:pPr>
        <w:widowControl/>
        <w:numPr>
          <w:ilvl w:val="0"/>
          <w:numId w:val="2"/>
        </w:numPr>
        <w:spacing w:line="360" w:lineRule="auto"/>
        <w:jc w:val="left"/>
        <w:rPr>
          <w:rFonts w:ascii="宋体" w:eastAsia="宋体" w:hAnsi="宋体" w:cs="宋体"/>
          <w:b/>
          <w:bCs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b/>
          <w:bCs/>
          <w:color w:val="000000"/>
          <w:kern w:val="0"/>
          <w:sz w:val="24"/>
          <w:lang w:bidi="ar"/>
        </w:rPr>
        <w:t>设计原则</w:t>
      </w:r>
    </w:p>
    <w:p w14:paraId="4C94D875" w14:textId="77777777" w:rsidR="006B1EC2" w:rsidRDefault="00A35A5D">
      <w:pPr>
        <w:widowControl/>
        <w:numPr>
          <w:ilvl w:val="0"/>
          <w:numId w:val="3"/>
        </w:numPr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文物本体优先，恪守最小干预与不改变文物原状</w:t>
      </w:r>
    </w:p>
    <w:p w14:paraId="233EC22E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严格执行《文物保护法》，坚持不改变文物原状、最小干预、修旧如旧；修缮仅针对病害与安全隐患，不擅自改动结构、形制、构件与历史信息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；保留各时期有价值遗存，不刻意复原单一历史时期，确保文物真实性、完整性与可识别性。</w:t>
      </w:r>
    </w:p>
    <w:p w14:paraId="5ECCFB12" w14:textId="77777777" w:rsidR="006B1EC2" w:rsidRDefault="00A35A5D">
      <w:pPr>
        <w:widowControl/>
        <w:numPr>
          <w:ilvl w:val="0"/>
          <w:numId w:val="3"/>
        </w:numPr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分级分类保护，匹配文保等级与价值特征</w:t>
      </w:r>
    </w:p>
    <w:p w14:paraId="430AD01B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按文保单位级别、历史价值、建筑类型实施分级保护、分类施策：陶博吾故居、汪家状元府侧重历史建筑结构安全与风貌原真性；仙人桥侧重古桥本体与周边环境整体性保护；陶令纪念馆则注重对文物展品的活化，充分恰当利用科技手段进行合理展示，实现文物保护、遗址保护、古桥保护、展陈展示四类</w:t>
      </w:r>
      <w:r>
        <w:rPr>
          <w:rFonts w:ascii="宋体" w:eastAsia="宋体" w:hAnsi="宋体" w:cs="宋体"/>
          <w:sz w:val="24"/>
        </w:rPr>
        <w:t>项目保护与利用协调统一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。</w:t>
      </w:r>
    </w:p>
    <w:p w14:paraId="36CB3E92" w14:textId="77777777" w:rsidR="006B1EC2" w:rsidRDefault="00A35A5D">
      <w:pPr>
        <w:widowControl/>
        <w:numPr>
          <w:ilvl w:val="0"/>
          <w:numId w:val="3"/>
        </w:numPr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展陈与文物共生，形式服务内容</w:t>
      </w:r>
    </w:p>
    <w:p w14:paraId="40FE91E0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lastRenderedPageBreak/>
        <w:t>展陈设计以文物为核心、史实为依据，遵循博物馆展陈规范；内容严谨、叙事清晰、学术支撑充分，杜绝虚构场景；形式简约克制，不遮挡、不损伤文物本体，实现内容策划与空间表达和谐统一，突出彭泽地域文化与人物辨识度。</w:t>
      </w:r>
    </w:p>
    <w:p w14:paraId="589296C2" w14:textId="77777777" w:rsidR="006B1EC2" w:rsidRDefault="00A35A5D">
      <w:pPr>
        <w:widowControl/>
        <w:numPr>
          <w:ilvl w:val="0"/>
          <w:numId w:val="3"/>
        </w:numPr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传统工艺与材料优先，可逆性设计</w:t>
      </w:r>
    </w:p>
    <w:p w14:paraId="05581493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修缮优先采用传统工艺、传统材料、传统做法，符合江西省历史建筑修缮要求；新增设施与加固措施坚持可逆性、可识别性，便于后期维护与再修缮；新技术、新材料需经论证，不破坏文物肌理与历史风貌。</w:t>
      </w:r>
    </w:p>
    <w:p w14:paraId="1E371F04" w14:textId="77777777" w:rsidR="006B1EC2" w:rsidRDefault="00A35A5D">
      <w:pPr>
        <w:widowControl/>
        <w:numPr>
          <w:ilvl w:val="0"/>
          <w:numId w:val="3"/>
        </w:numPr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安全底线刚性，满足消防、安防、防灾规范</w:t>
      </w:r>
    </w:p>
    <w:p w14:paraId="04181BAF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落实消防、安防、防雷、防潮、防虫、抗震等强制性要求；文保建筑内设备隐蔽化、轻量化，不破坏外观与结构；流线组织满足疏散与参观安全，符合博物馆与文保工程安全标准，确保文物与公众双重安全。</w:t>
      </w:r>
    </w:p>
    <w:p w14:paraId="60734435" w14:textId="77777777" w:rsidR="006B1EC2" w:rsidRDefault="00A35A5D">
      <w:pPr>
        <w:widowControl/>
        <w:numPr>
          <w:ilvl w:val="0"/>
          <w:numId w:val="3"/>
        </w:numPr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风貌协同与环境整体性，延续地域文脉</w:t>
      </w:r>
    </w:p>
    <w:p w14:paraId="480E64BE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四项目统一风貌逻辑，与彭泽历史肌理、自然环境、街巷格局协调共生；控制新建与加建设施的高度、体量、色彩、材质，不喧宾夺主；仙人桥重点保护桥体与周边山水环境，实现“文保—建筑—环境”一体化。</w:t>
      </w:r>
    </w:p>
    <w:p w14:paraId="6EDE8AE0" w14:textId="77777777" w:rsidR="006B1EC2" w:rsidRDefault="00A35A5D">
      <w:pPr>
        <w:widowControl/>
        <w:numPr>
          <w:ilvl w:val="0"/>
          <w:numId w:val="3"/>
        </w:numPr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功能适配与可持续利用，兼顾公益与运营</w:t>
      </w:r>
    </w:p>
    <w:p w14:paraId="0ECFA876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在保护前提下合理赋能：纪念馆强化公共文化服务与教育功能；故居与状元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府突出生活场景与人文价值展示；仙人桥兼顾保护与轻量游览；设计预留运维便利性，降低长期养护成本，实现保护优先、合理利用、长效可持续。</w:t>
      </w:r>
    </w:p>
    <w:p w14:paraId="394A5D82" w14:textId="77777777" w:rsidR="006B1EC2" w:rsidRDefault="00A35A5D">
      <w:pPr>
        <w:widowControl/>
        <w:numPr>
          <w:ilvl w:val="0"/>
          <w:numId w:val="3"/>
        </w:numPr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以人为本与体验优化，提升公共文化服务品质</w:t>
      </w:r>
    </w:p>
    <w:p w14:paraId="0996A611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优化参观流线、导览系统；展陈语言通俗化、互动适度化，兼顾专业性与普及性；尊重公众参观习惯，避免过度商业化与景观化，保障文化传播的严肃性与亲和力。</w:t>
      </w:r>
    </w:p>
    <w:p w14:paraId="72AA4A39" w14:textId="77777777" w:rsidR="006B1EC2" w:rsidRDefault="00A35A5D">
      <w:pPr>
        <w:widowControl/>
        <w:numPr>
          <w:ilvl w:val="0"/>
          <w:numId w:val="2"/>
        </w:numPr>
        <w:spacing w:line="360" w:lineRule="auto"/>
        <w:jc w:val="left"/>
        <w:rPr>
          <w:rFonts w:ascii="宋体" w:eastAsia="宋体" w:hAnsi="宋体" w:cs="宋体"/>
          <w:b/>
          <w:bCs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b/>
          <w:bCs/>
          <w:color w:val="000000"/>
          <w:kern w:val="0"/>
          <w:sz w:val="24"/>
          <w:lang w:bidi="ar"/>
        </w:rPr>
        <w:t>设计依据</w:t>
      </w:r>
    </w:p>
    <w:p w14:paraId="177AC664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《中华人民共和国文物保护法》（现行有效版本）</w:t>
      </w:r>
    </w:p>
    <w:p w14:paraId="3927C929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《中华人民共和国文物保护法实施条例》</w:t>
      </w:r>
    </w:p>
    <w:p w14:paraId="2F8AB266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《中华人民共和国城乡规划法》</w:t>
      </w:r>
    </w:p>
    <w:p w14:paraId="3554033E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《中华人民共和国建筑法》</w:t>
      </w:r>
    </w:p>
    <w:p w14:paraId="53EA4E43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《中华人民共和国消防法》</w:t>
      </w:r>
    </w:p>
    <w:p w14:paraId="53B7452E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lastRenderedPageBreak/>
        <w:t>《建设工程质量管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理条例》</w:t>
      </w:r>
    </w:p>
    <w:p w14:paraId="45B48B41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《博物馆条例》</w:t>
      </w:r>
    </w:p>
    <w:p w14:paraId="5788CE1C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《文物保护工程管理办法》</w:t>
      </w:r>
    </w:p>
    <w:p w14:paraId="4AC7A8A4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《文物保护工程勘察设计规范》</w:t>
      </w:r>
    </w:p>
    <w:p w14:paraId="5D62EDFF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《古建筑修缮工程施工规程》</w:t>
      </w:r>
    </w:p>
    <w:p w14:paraId="0782BC6B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《古遗址保护工程技术规范》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12B134CC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《古桥梁保护修缮技术规程》</w:t>
      </w:r>
    </w:p>
    <w:p w14:paraId="23D57590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《近现代文物建筑保护工程技术规范》</w:t>
      </w:r>
    </w:p>
    <w:p w14:paraId="073DF1E8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《博物馆建筑设计规范》（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JGJ 66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</w:t>
      </w:r>
    </w:p>
    <w:p w14:paraId="4670B42D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《展览场馆设计规范》</w:t>
      </w:r>
    </w:p>
    <w:p w14:paraId="143C1CB8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《展陈工程技术规范》</w:t>
      </w:r>
    </w:p>
    <w:p w14:paraId="4D5A91D8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《建筑设计防火规范》（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GB 50016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）</w:t>
      </w:r>
    </w:p>
    <w:p w14:paraId="32264604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《文物建筑消防安全管理规范》</w:t>
      </w:r>
    </w:p>
    <w:p w14:paraId="488BBB79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《古建筑防雷工程技术规范》</w:t>
      </w:r>
    </w:p>
    <w:p w14:paraId="7EC46408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《历史文化名城保护规划标准》</w:t>
      </w:r>
    </w:p>
    <w:p w14:paraId="48C58D57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本项目建筑平面图、结构图、机电图等相关设计文件。</w:t>
      </w:r>
    </w:p>
    <w:p w14:paraId="2668E6EC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国家及江西省关于文物保护相关地方性法规、管理规定；历史建筑、传统风貌建筑保护技术导则；城乡规划、文旅发展、文物保护相关规划及文件；文化场馆、展陈设计的其他相关法规、标准及政策文件。</w:t>
      </w:r>
    </w:p>
    <w:p w14:paraId="708D834D" w14:textId="77777777" w:rsidR="006B1EC2" w:rsidRDefault="00A35A5D">
      <w:pPr>
        <w:widowControl/>
        <w:numPr>
          <w:ilvl w:val="0"/>
          <w:numId w:val="2"/>
        </w:numPr>
        <w:spacing w:line="360" w:lineRule="auto"/>
        <w:jc w:val="left"/>
        <w:rPr>
          <w:rFonts w:ascii="宋体" w:eastAsia="宋体" w:hAnsi="宋体" w:cs="宋体"/>
          <w:b/>
          <w:bCs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b/>
          <w:bCs/>
          <w:color w:val="000000"/>
          <w:kern w:val="0"/>
          <w:sz w:val="24"/>
          <w:lang w:bidi="ar"/>
        </w:rPr>
        <w:t>设计要求</w:t>
      </w:r>
    </w:p>
    <w:p w14:paraId="2A18B011" w14:textId="77777777" w:rsidR="006B1EC2" w:rsidRDefault="00A35A5D">
      <w:pPr>
        <w:widowControl/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4.1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大纲撰写</w:t>
      </w:r>
    </w:p>
    <w:p w14:paraId="3075E5AB" w14:textId="77777777" w:rsidR="006B1EC2" w:rsidRDefault="00A35A5D">
      <w:pPr>
        <w:widowControl/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sz w:val="24"/>
        </w:rPr>
        <w:t xml:space="preserve"> </w:t>
      </w:r>
      <w:r>
        <w:rPr>
          <w:rFonts w:ascii="宋体" w:eastAsia="宋体" w:hAnsi="宋体" w:cs="宋体"/>
          <w:sz w:val="24"/>
        </w:rPr>
        <w:t>陶令纪念馆</w:t>
      </w:r>
    </w:p>
    <w:p w14:paraId="7ED200A8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主题定位明确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: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紧扣陶渊明文化核心，突出“彭泽县令、田园诗宗、气节风骨”主题，定位为集纪念、展示、教育、研学于一体的县级文化地标。</w:t>
      </w:r>
    </w:p>
    <w:p w14:paraId="5F6C08AD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叙事逻辑清晰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: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按照博物馆内容设计规范进行分篇布局，脉络清晰、层次分明，兼具史实性与可读性。</w:t>
      </w:r>
    </w:p>
    <w:p w14:paraId="58E23211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内容严谨权威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: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以正史记载、诗文原著为依据，内容准确无误，重要史料需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有出处，杜绝虚构演绎，体现学术严谨性。</w:t>
      </w:r>
    </w:p>
    <w:p w14:paraId="29944FD2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lastRenderedPageBreak/>
        <w:t>展陈结构完整：大纲撰写需要合理考虑空间容纳程度，做到空间与内容的匹配，结构完整、重点突出。</w:t>
      </w:r>
    </w:p>
    <w:p w14:paraId="1457F338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突出彭泽特色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: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强化叙事的彭泽在地属性，依据人物生平，讲述人物与彭泽的关系，凸显地域文化属性，讲好彭泽与陶渊明的专属故事。</w:t>
      </w:r>
    </w:p>
    <w:p w14:paraId="6DB1FD49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陶博吾故居、汪家状元府遗址、仙人桥</w:t>
      </w:r>
    </w:p>
    <w:p w14:paraId="2FD2B6C3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内容以史实、地方史料、遗存考证结果为唯一依据，客观还原历史背景、人物事迹、建筑沿革、遗址来历、古桥历史，史料标注来源，严禁虚构、夸大内容。</w:t>
      </w:r>
    </w:p>
    <w:p w14:paraId="463E643E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结合载体特色拟定展示主线：故居侧重人物生平、生活风貌展示；状元府遗址侧重科举文化、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家族历史与遗址沿革展示；仙人桥侧重古桥历史、造桥技艺、地域民俗与山水文化展示。</w:t>
      </w:r>
    </w:p>
    <w:p w14:paraId="2F421D5F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内容体量、展示形式与现场空间、遗存现状相匹配，文字表达简洁通俗，适配户外、古建、遗址等不同展示场景。</w:t>
      </w:r>
    </w:p>
    <w:p w14:paraId="148C322B" w14:textId="77777777" w:rsidR="006B1EC2" w:rsidRDefault="006B1EC2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</w:p>
    <w:p w14:paraId="4B776C02" w14:textId="77777777" w:rsidR="006B1EC2" w:rsidRDefault="00A35A5D">
      <w:pPr>
        <w:widowControl/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4.2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空间规划</w:t>
      </w:r>
    </w:p>
    <w:p w14:paraId="66FE4C7E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流线合理：规划清晰、流畅、无迂回重复的参观流线，主次通道宽度需满足消防及人流疏散要求。</w:t>
      </w:r>
    </w:p>
    <w:p w14:paraId="5F5A39DB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分区明确：</w:t>
      </w:r>
      <w:r>
        <w:rPr>
          <w:rFonts w:ascii="宋体" w:eastAsia="宋体" w:hAnsi="宋体" w:cs="宋体"/>
          <w:sz w:val="24"/>
        </w:rPr>
        <w:t>陶令纪念馆各展区、陶博吾故居各功能空间、汪家状元府遗址各遗存片区、仙人桥桥体及沿岸区域，主题与功能划分清晰，空间转换自然，各区域保持相对独立与完整。</w:t>
      </w:r>
    </w:p>
    <w:p w14:paraId="1CE50A26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尺度适宜：空间尺度、展柜尺寸、观看视距、互动空间及装置高度等需符合人体工程学。</w:t>
      </w:r>
    </w:p>
    <w:p w14:paraId="697834A0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氛围营造：根据不同展区内容，通过灯光、色彩、材质、声音等手段，营造或静谧或热烈或神圣或欢快的多样化空间氛围。</w:t>
      </w:r>
    </w:p>
    <w:p w14:paraId="318038D3" w14:textId="77777777" w:rsidR="006B1EC2" w:rsidRDefault="00A35A5D">
      <w:pPr>
        <w:widowControl/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4.3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展陈形式</w:t>
      </w:r>
    </w:p>
    <w:p w14:paraId="518EFD6F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形式多样：综合运用文物实物（复仿制件）、模型、场景复原、图文版、艺术品创作、多媒体屏幕、互动装置、声光电集成等多种展陈形式。</w:t>
      </w:r>
    </w:p>
    <w:p w14:paraId="5D4FD048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创新互动：设计具有趣味性和教育意义的互动展项，鼓励观众动手参与。</w:t>
      </w:r>
    </w:p>
    <w:p w14:paraId="1F2F6643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实物呈现：注重文物及展品的合理陈列，需要合理考虑展柜及展具的使用，并且主次得当，针对重点展品需要合理考虑展陈方式及保护条件。</w:t>
      </w:r>
    </w:p>
    <w:p w14:paraId="1ECA5772" w14:textId="77777777" w:rsidR="006B1EC2" w:rsidRDefault="00A35A5D">
      <w:pPr>
        <w:widowControl/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lastRenderedPageBreak/>
        <w:t xml:space="preserve">4.4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技术设备</w:t>
      </w:r>
    </w:p>
    <w:p w14:paraId="319DB633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多媒体集成：所有多媒体软件、硬件需技术成熟、运行稳定、接口开放、便于后期内容更新与维护。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087ABE7C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声学设计：合理进行声学分区与隔音处理，避免展项间声音干扰，必要时提供耳机或定向声场。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39078461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材料工艺：所有装修及展陈材料需符合环保防火等级要求，工艺精湛，耐用易清洁。</w:t>
      </w:r>
    </w:p>
    <w:p w14:paraId="289A817B" w14:textId="77777777" w:rsidR="006B1EC2" w:rsidRDefault="00A35A5D">
      <w:pPr>
        <w:widowControl/>
        <w:numPr>
          <w:ilvl w:val="0"/>
          <w:numId w:val="2"/>
        </w:numPr>
        <w:spacing w:line="360" w:lineRule="auto"/>
        <w:jc w:val="left"/>
        <w:rPr>
          <w:rFonts w:ascii="宋体" w:eastAsia="宋体" w:hAnsi="宋体" w:cs="宋体"/>
          <w:b/>
          <w:bCs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b/>
          <w:bCs/>
          <w:color w:val="000000"/>
          <w:kern w:val="0"/>
          <w:sz w:val="24"/>
          <w:lang w:bidi="ar"/>
        </w:rPr>
        <w:t>设计深度和设计成果</w:t>
      </w:r>
      <w:r>
        <w:rPr>
          <w:rFonts w:ascii="宋体" w:eastAsia="宋体" w:hAnsi="宋体" w:cs="宋体" w:hint="eastAsia"/>
          <w:b/>
          <w:bCs/>
          <w:color w:val="000000"/>
          <w:kern w:val="0"/>
          <w:sz w:val="24"/>
          <w:lang w:bidi="ar"/>
        </w:rPr>
        <w:t xml:space="preserve"> </w:t>
      </w:r>
    </w:p>
    <w:p w14:paraId="13E8C7D9" w14:textId="77777777" w:rsidR="006B1EC2" w:rsidRDefault="00A35A5D">
      <w:pPr>
        <w:widowControl/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5.1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设计深度</w:t>
      </w:r>
    </w:p>
    <w:p w14:paraId="347E7A2C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需达到初步设计深度，能够指导后续的施工图设计、预算编制及施工落地。具体包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括：所有展墙、展柜、展台、场景、艺术品、多媒体、装置等的精确造型、尺寸、材质、色彩、工艺。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6FBDFF70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平面设计：至少提供主要空间的图文展板设计方案，能够清晰体现出地方元素使用、主要色彩、排版逻辑及方式。</w:t>
      </w:r>
    </w:p>
    <w:p w14:paraId="11977D31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多媒体设计：硬件清单、创意设计、内容脚本、呈现方案。</w:t>
      </w:r>
    </w:p>
    <w:p w14:paraId="02BD4A7F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灯光设计：基本灯光设计方案，设计方法、环境控逻辑。</w:t>
      </w:r>
    </w:p>
    <w:p w14:paraId="0ABD66A1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展柜展具：主要展柜的造型及展具的形式。</w:t>
      </w:r>
    </w:p>
    <w:p w14:paraId="733EC30D" w14:textId="77777777" w:rsidR="006B1EC2" w:rsidRDefault="00A35A5D">
      <w:pPr>
        <w:widowControl/>
        <w:spacing w:line="360" w:lineRule="auto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5.2 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提交成果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 xml:space="preserve"> </w:t>
      </w:r>
    </w:p>
    <w:p w14:paraId="185DADAD" w14:textId="77777777" w:rsidR="006B1EC2" w:rsidRDefault="00A35A5D">
      <w:pPr>
        <w:widowControl/>
        <w:spacing w:line="360" w:lineRule="auto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根据招投标评分项进行相应成果提交。</w:t>
      </w:r>
      <w:bookmarkEnd w:id="3"/>
    </w:p>
    <w:sectPr w:rsidR="006B1E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32144C" w14:textId="77777777" w:rsidR="00A35A5D" w:rsidRDefault="00A35A5D" w:rsidP="00A35A5D">
      <w:r>
        <w:separator/>
      </w:r>
    </w:p>
  </w:endnote>
  <w:endnote w:type="continuationSeparator" w:id="0">
    <w:p w14:paraId="2FDC96C6" w14:textId="77777777" w:rsidR="00A35A5D" w:rsidRDefault="00A35A5D" w:rsidP="00A35A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123F69" w14:textId="77777777" w:rsidR="00A35A5D" w:rsidRDefault="00A35A5D" w:rsidP="00A35A5D">
      <w:r>
        <w:separator/>
      </w:r>
    </w:p>
  </w:footnote>
  <w:footnote w:type="continuationSeparator" w:id="0">
    <w:p w14:paraId="3400A90A" w14:textId="77777777" w:rsidR="00A35A5D" w:rsidRDefault="00A35A5D" w:rsidP="00A35A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B4233433"/>
    <w:multiLevelType w:val="singleLevel"/>
    <w:tmpl w:val="B4233433"/>
    <w:lvl w:ilvl="0">
      <w:start w:val="1"/>
      <w:numFmt w:val="decimal"/>
      <w:suff w:val="nothing"/>
      <w:lvlText w:val="%1）"/>
      <w:lvlJc w:val="left"/>
      <w:pPr>
        <w:ind w:left="-60"/>
      </w:pPr>
    </w:lvl>
  </w:abstractNum>
  <w:abstractNum w:abstractNumId="1">
    <w:nsid w:val="FB7AD169"/>
    <w:multiLevelType w:val="singleLevel"/>
    <w:tmpl w:val="FB7AD169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6135213C"/>
    <w:multiLevelType w:val="singleLevel"/>
    <w:tmpl w:val="6135213C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EC2"/>
    <w:rsid w:val="006B1EC2"/>
    <w:rsid w:val="00A35A5D"/>
    <w:rsid w:val="03F2378C"/>
    <w:rsid w:val="50800FC2"/>
    <w:rsid w:val="55047EF8"/>
    <w:rsid w:val="65EF77B5"/>
    <w:rsid w:val="702D4E56"/>
    <w:rsid w:val="728A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A084025D-07DE-4425-A0FE-D44060F6F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</w:rPr>
  </w:style>
  <w:style w:type="paragraph" w:styleId="a4">
    <w:name w:val="header"/>
    <w:basedOn w:val="a"/>
    <w:link w:val="Char"/>
    <w:rsid w:val="00A35A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A35A5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A35A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A35A5D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459</Words>
  <Characters>2618</Characters>
  <Application>Microsoft Office Word</Application>
  <DocSecurity>0</DocSecurity>
  <Lines>21</Lines>
  <Paragraphs>6</Paragraphs>
  <ScaleCrop>false</ScaleCrop>
  <Company>Microsoft</Company>
  <LinksUpToDate>false</LinksUpToDate>
  <CharactersWithSpaces>3071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Microsoft</cp:lastModifiedBy>
  <cp:revision>2</cp:revision>
  <dcterms:created xsi:type="dcterms:W3CDTF">2026-06-16T05:01:00Z</dcterms:created>
  <dcterms:modified xsi:type="dcterms:W3CDTF">2026-06-18T07:51:00Z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eyJoZGlkIjoiMTg4ZGRhNDQ4MTJiMTljMTQyZDVmYzMyNDI3ZjE1YTYiLCJ1c2VySWQiOiI2NDM0ODIyMDkifQ==</vt:lpwstr>
  </property>
  <property fmtid="{D5CDD505-2E9C-101B-9397-08002B2CF9AE}" pid="4" name="ICV">
    <vt:lpwstr>71B66DFA9C9540E3B3DECBB30284DCBB_13</vt:lpwstr>
  </property>
</Properties>
</file>