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D5DF85">
      <w:pPr>
        <w:pStyle w:val="3"/>
        <w:keepNext/>
        <w:keepLines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0" w:after="20" w:line="240" w:lineRule="auto"/>
        <w:jc w:val="center"/>
        <w:textAlignment w:val="baseline"/>
        <w:rPr>
          <w:rFonts w:hint="eastAsia"/>
          <w:color w:val="auto"/>
          <w:sz w:val="32"/>
          <w:szCs w:val="20"/>
          <w:lang w:val="en-US" w:eastAsia="zh-CN"/>
        </w:rPr>
      </w:pPr>
      <w:bookmarkStart w:id="0" w:name="_Toc18075"/>
      <w:r>
        <w:rPr>
          <w:rFonts w:hint="eastAsia"/>
          <w:color w:val="auto"/>
          <w:sz w:val="32"/>
          <w:szCs w:val="20"/>
          <w:lang w:val="en-US" w:eastAsia="zh-CN"/>
        </w:rPr>
        <w:t>采购需求</w:t>
      </w:r>
      <w:bookmarkEnd w:id="0"/>
    </w:p>
    <w:p w14:paraId="47CD363D">
      <w:pPr>
        <w:pageBreakBefore w:val="0"/>
        <w:widowControl w:val="0"/>
        <w:wordWrap/>
        <w:overflowPunct/>
        <w:topLinePunct w:val="0"/>
        <w:bidi w:val="0"/>
        <w:spacing w:line="309" w:lineRule="auto"/>
        <w:jc w:val="center"/>
        <w:rPr>
          <w:rFonts w:hint="eastAsia" w:asciiTheme="minorEastAsia" w:hAnsiTheme="minorEastAsia" w:eastAsiaTheme="minorEastAsia" w:cstheme="minorEastAsia"/>
          <w:color w:val="auto"/>
          <w:spacing w:val="0"/>
          <w:highlight w:val="none"/>
          <w:lang w:eastAsia="zh-CN"/>
        </w:rPr>
      </w:pPr>
    </w:p>
    <w:p w14:paraId="1E6586C0">
      <w:pPr>
        <w:pStyle w:val="4"/>
        <w:keepNext/>
        <w:keepLines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after="0" w:afterLines="100" w:line="240" w:lineRule="auto"/>
        <w:jc w:val="left"/>
        <w:textAlignment w:val="baseline"/>
        <w:rPr>
          <w:rFonts w:hint="eastAsia" w:ascii="宋体" w:hAnsi="宋体" w:eastAsia="宋体" w:cs="宋体"/>
          <w:color w:val="auto"/>
          <w:sz w:val="28"/>
          <w:szCs w:val="28"/>
        </w:rPr>
      </w:pPr>
      <w:bookmarkStart w:id="1" w:name="_Toc21427"/>
      <w:bookmarkStart w:id="2" w:name="_Toc26176"/>
      <w:r>
        <w:rPr>
          <w:rFonts w:hint="eastAsia" w:ascii="宋体" w:hAnsi="宋体" w:eastAsia="宋体" w:cs="宋体"/>
          <w:color w:val="auto"/>
          <w:sz w:val="28"/>
          <w:szCs w:val="28"/>
        </w:rPr>
        <w:t>一、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采购</w:t>
      </w:r>
      <w:r>
        <w:rPr>
          <w:rFonts w:hint="eastAsia" w:ascii="宋体" w:hAnsi="宋体" w:eastAsia="宋体" w:cs="宋体"/>
          <w:color w:val="auto"/>
          <w:sz w:val="28"/>
          <w:szCs w:val="28"/>
        </w:rPr>
        <w:t>需求表</w:t>
      </w:r>
      <w:bookmarkEnd w:id="1"/>
      <w:bookmarkEnd w:id="2"/>
    </w:p>
    <w:p w14:paraId="6678F59E">
      <w:pPr>
        <w:pageBreakBefore w:val="0"/>
        <w:widowControl w:val="0"/>
        <w:wordWrap/>
        <w:overflowPunct/>
        <w:topLinePunct w:val="0"/>
        <w:bidi w:val="0"/>
        <w:spacing w:before="64"/>
        <w:rPr>
          <w:rFonts w:hint="eastAsia" w:asciiTheme="minorEastAsia" w:hAnsiTheme="minorEastAsia" w:eastAsiaTheme="minorEastAsia" w:cstheme="minorEastAsia"/>
          <w:color w:val="auto"/>
          <w:spacing w:val="0"/>
          <w:highlight w:val="none"/>
        </w:rPr>
      </w:pPr>
    </w:p>
    <w:tbl>
      <w:tblPr>
        <w:tblStyle w:val="8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72C166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594BA181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highlight w:val="none"/>
              </w:rPr>
              <w:drawing>
                <wp:anchor distT="0" distB="0" distL="0" distR="0" simplePos="0" relativeHeight="251661312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  <w:t>名</w:t>
            </w:r>
          </w:p>
          <w:p w14:paraId="00B56BD7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highlight w:val="none"/>
              </w:rPr>
            </w:pPr>
          </w:p>
          <w:p w14:paraId="1885AF25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highlight w:val="none"/>
              </w:rPr>
            </w:pPr>
          </w:p>
          <w:p w14:paraId="6B156D6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  <w:t>内</w:t>
            </w:r>
          </w:p>
          <w:p w14:paraId="400CE6A6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highlight w:val="none"/>
              </w:rPr>
            </w:pPr>
          </w:p>
          <w:p w14:paraId="60206F17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2D8B3EBF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highlight w:val="none"/>
              </w:rPr>
            </w:pPr>
          </w:p>
          <w:p w14:paraId="45AFDB26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highlight w:val="none"/>
              </w:rPr>
            </w:pPr>
          </w:p>
          <w:p w14:paraId="0B87AE13">
            <w:pPr>
              <w:pStyle w:val="9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highlight w:val="none"/>
              </w:rPr>
            </w:pPr>
          </w:p>
          <w:p w14:paraId="2E856054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  <w:vAlign w:val="center"/>
          </w:tcPr>
          <w:p w14:paraId="2D5354F6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sz w:val="24"/>
                <w:szCs w:val="24"/>
                <w:highlight w:val="none"/>
                <w:lang w:val="en-US" w:eastAsia="zh-CN" w:bidi="ar-SA"/>
              </w:rPr>
              <w:t>2026年欠发达国有林场巩固提升项目</w:t>
            </w:r>
          </w:p>
        </w:tc>
      </w:tr>
      <w:tr w14:paraId="10F706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47EA314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  <w:vAlign w:val="center"/>
          </w:tcPr>
          <w:p w14:paraId="20E392D9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sz w:val="24"/>
                <w:szCs w:val="24"/>
                <w:highlight w:val="none"/>
                <w:lang w:val="en-US" w:eastAsia="zh-CN" w:bidi="ar-SA"/>
              </w:rPr>
              <w:t>1项</w:t>
            </w:r>
          </w:p>
        </w:tc>
      </w:tr>
      <w:tr w14:paraId="77941F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77EDF4C3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3FC071EF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sz w:val="24"/>
                <w:szCs w:val="24"/>
                <w:highlight w:val="none"/>
                <w:lang w:val="en-US" w:eastAsia="zh-CN" w:bidi="ar-SA"/>
              </w:rPr>
              <w:t>合同签订之日起至2026年12月全部完工</w:t>
            </w:r>
          </w:p>
        </w:tc>
      </w:tr>
      <w:tr w14:paraId="0DDF80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649BBE6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134FB05F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sz w:val="24"/>
                <w:szCs w:val="24"/>
                <w:highlight w:val="none"/>
                <w:lang w:val="en-US" w:eastAsia="zh-CN" w:bidi="ar-SA"/>
              </w:rPr>
              <w:t>源南分场，分2个小班</w:t>
            </w:r>
          </w:p>
        </w:tc>
      </w:tr>
      <w:tr w14:paraId="4D24EF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544722ED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  <w:vAlign w:val="center"/>
          </w:tcPr>
          <w:p w14:paraId="316F4361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color w:val="auto"/>
                <w:spacing w:val="0"/>
                <w:highlight w:val="none"/>
              </w:rPr>
            </w:pPr>
          </w:p>
        </w:tc>
      </w:tr>
    </w:tbl>
    <w:p w14:paraId="662E6580">
      <w:pPr>
        <w:pageBreakBefore w:val="0"/>
        <w:widowControl w:val="0"/>
        <w:wordWrap/>
        <w:overflowPunct/>
        <w:topLinePunct w:val="0"/>
        <w:bidi w:val="0"/>
        <w:rPr>
          <w:rFonts w:hint="eastAsia" w:asciiTheme="minorEastAsia" w:hAnsiTheme="minorEastAsia" w:eastAsiaTheme="minorEastAsia" w:cstheme="minorEastAsia"/>
          <w:color w:val="auto"/>
          <w:spacing w:val="0"/>
          <w:highlight w:val="none"/>
        </w:rPr>
      </w:pPr>
    </w:p>
    <w:p w14:paraId="60C5B5E6">
      <w:pPr>
        <w:pageBreakBefore w:val="0"/>
        <w:widowControl w:val="0"/>
        <w:wordWrap/>
        <w:overflowPunct/>
        <w:topLinePunct w:val="0"/>
        <w:bidi w:val="0"/>
        <w:rPr>
          <w:rFonts w:hint="eastAsia" w:asciiTheme="minorEastAsia" w:hAnsiTheme="minorEastAsia" w:eastAsiaTheme="minorEastAsia" w:cstheme="minorEastAsia"/>
          <w:color w:val="auto"/>
          <w:spacing w:val="0"/>
          <w:highlight w:val="none"/>
        </w:rPr>
        <w:sectPr>
          <w:footerReference r:id="rId3" w:type="default"/>
          <w:pgSz w:w="11906" w:h="16839"/>
          <w:pgMar w:top="1232" w:right="1786" w:bottom="1156" w:left="1786" w:header="850" w:footer="850" w:gutter="0"/>
          <w:pgNumType w:fmt="decimal"/>
          <w:cols w:space="720" w:num="1"/>
          <w:rtlGutter w:val="0"/>
          <w:docGrid w:linePitch="0" w:charSpace="0"/>
        </w:sectPr>
      </w:pPr>
    </w:p>
    <w:p w14:paraId="409A96DB">
      <w:pPr>
        <w:pStyle w:val="4"/>
        <w:keepNext/>
        <w:keepLines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after="0" w:afterLines="100" w:line="240" w:lineRule="auto"/>
        <w:jc w:val="center"/>
        <w:textAlignment w:val="baseline"/>
        <w:rPr>
          <w:rFonts w:hint="eastAsia" w:ascii="宋体" w:hAnsi="宋体" w:eastAsia="宋体" w:cs="宋体"/>
          <w:color w:val="auto"/>
          <w:sz w:val="28"/>
          <w:szCs w:val="28"/>
        </w:rPr>
      </w:pPr>
      <w:bookmarkStart w:id="3" w:name="bookmark81"/>
      <w:bookmarkEnd w:id="3"/>
      <w:bookmarkStart w:id="4" w:name="_Toc17088"/>
      <w:bookmarkStart w:id="5" w:name="_Toc12248"/>
      <w:r>
        <w:rPr>
          <w:rFonts w:hint="eastAsia" w:ascii="宋体" w:hAnsi="宋体" w:eastAsia="宋体" w:cs="宋体"/>
          <w:color w:val="auto"/>
          <w:sz w:val="28"/>
          <w:szCs w:val="28"/>
        </w:rPr>
        <w:t>二、采购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要</w:t>
      </w:r>
      <w:r>
        <w:rPr>
          <w:rFonts w:hint="eastAsia" w:ascii="宋体" w:hAnsi="宋体" w:eastAsia="宋体" w:cs="宋体"/>
          <w:color w:val="auto"/>
          <w:sz w:val="28"/>
          <w:szCs w:val="28"/>
        </w:rPr>
        <w:t>求</w:t>
      </w:r>
      <w:bookmarkEnd w:id="4"/>
      <w:bookmarkEnd w:id="5"/>
    </w:p>
    <w:p w14:paraId="5F89F99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sz w:val="22"/>
          <w:szCs w:val="22"/>
          <w:highlight w:val="none"/>
          <w:lang w:eastAsia="zh-CN"/>
        </w:rPr>
      </w:pPr>
    </w:p>
    <w:p w14:paraId="04D3512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eastAsia="en-US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eastAsia="en-US"/>
        </w:rPr>
        <w:t>（一）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val="en-US" w:eastAsia="zh-CN"/>
        </w:rPr>
        <w:t>服务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eastAsia="en-US"/>
        </w:rPr>
        <w:t>需求</w:t>
      </w:r>
    </w:p>
    <w:p w14:paraId="7C15942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1.项目名称</w:t>
      </w:r>
    </w:p>
    <w:p w14:paraId="48DE9FC4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lang w:val="en-US" w:eastAsia="zh-CN" w:bidi="ar-SA"/>
        </w:rPr>
        <w:t>2026年欠发达国有林场巩固提升项目</w:t>
      </w:r>
    </w:p>
    <w:p w14:paraId="35E656F7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lang w:val="en-US" w:eastAsia="en-US" w:bidi="ar-SA"/>
        </w:rPr>
        <w:t>2.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  <w:t>项目实施单位</w:t>
      </w:r>
    </w:p>
    <w:p w14:paraId="2AAC3CCF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lang w:val="en-US" w:eastAsia="zh-CN" w:bidi="ar-SA"/>
        </w:rPr>
        <w:t>萍乡市玉女峰林场</w:t>
      </w:r>
    </w:p>
    <w:p w14:paraId="089C83E4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lang w:val="en-US" w:eastAsia="en-US" w:bidi="ar-SA"/>
        </w:rPr>
        <w:t>3.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lang w:val="en-US" w:eastAsia="zh-CN" w:bidi="ar-SA"/>
        </w:rPr>
        <w:t>服务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  <w:t>地点</w:t>
      </w:r>
    </w:p>
    <w:p w14:paraId="7C2F144B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snapToGrid w:val="0"/>
          <w:color w:val="auto"/>
          <w:kern w:val="2"/>
          <w:sz w:val="24"/>
          <w:szCs w:val="24"/>
          <w:lang w:val="en-US" w:eastAsia="en-US" w:bidi="ar-SA"/>
        </w:rPr>
      </w:pPr>
      <w:r>
        <w:rPr>
          <w:rFonts w:hint="eastAsia" w:ascii="宋体" w:hAnsi="宋体" w:eastAsia="宋体" w:cs="宋体"/>
          <w:snapToGrid w:val="0"/>
          <w:color w:val="auto"/>
          <w:kern w:val="2"/>
          <w:sz w:val="24"/>
          <w:szCs w:val="24"/>
          <w:lang w:val="en-US" w:eastAsia="zh-CN" w:bidi="ar-SA"/>
        </w:rPr>
        <w:t>源南分场，分2个小班</w:t>
      </w:r>
    </w:p>
    <w:p w14:paraId="2DE4839D">
      <w:pPr>
        <w:keepNext w:val="0"/>
        <w:keepLines w:val="0"/>
        <w:pageBreakBefore w:val="0"/>
        <w:widowControl w:val="0"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服务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  <w:t>内容</w:t>
      </w:r>
    </w:p>
    <w:p w14:paraId="2475382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新建笋材两用示范林基地200亩，含：砍杂清理、全垦培育、科学施肥、号竹等。</w:t>
      </w:r>
    </w:p>
    <w:tbl>
      <w:tblPr>
        <w:tblStyle w:val="6"/>
        <w:tblW w:w="89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4007"/>
        <w:gridCol w:w="1983"/>
        <w:gridCol w:w="2300"/>
      </w:tblGrid>
      <w:tr w14:paraId="104030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trHeight w:val="127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6047DB7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007" w:type="dxa"/>
            <w:shd w:val="clear" w:color="auto" w:fill="auto"/>
            <w:vAlign w:val="center"/>
          </w:tcPr>
          <w:p w14:paraId="62C3398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服务内容</w:t>
            </w:r>
          </w:p>
        </w:tc>
        <w:tc>
          <w:tcPr>
            <w:tcW w:w="1983" w:type="dxa"/>
            <w:shd w:val="clear" w:color="auto" w:fill="auto"/>
            <w:vAlign w:val="center"/>
          </w:tcPr>
          <w:p w14:paraId="4357036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46F4964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</w:tr>
      <w:tr w14:paraId="03348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7F88D3A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4007" w:type="dxa"/>
            <w:shd w:val="clear" w:color="auto" w:fill="auto"/>
            <w:vAlign w:val="center"/>
          </w:tcPr>
          <w:p w14:paraId="027F81D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  <w:t>砍杂清理</w:t>
            </w:r>
          </w:p>
        </w:tc>
        <w:tc>
          <w:tcPr>
            <w:tcW w:w="1983" w:type="dxa"/>
            <w:shd w:val="clear" w:color="auto" w:fill="auto"/>
            <w:vAlign w:val="center"/>
          </w:tcPr>
          <w:p w14:paraId="237C136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200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209B88D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亩</w:t>
            </w:r>
          </w:p>
        </w:tc>
      </w:tr>
      <w:tr w14:paraId="01C33F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4C73034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4007" w:type="dxa"/>
            <w:shd w:val="clear" w:color="auto" w:fill="auto"/>
            <w:vAlign w:val="center"/>
          </w:tcPr>
          <w:p w14:paraId="33F6D0E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  <w:t>竹林结构调整</w:t>
            </w:r>
          </w:p>
        </w:tc>
        <w:tc>
          <w:tcPr>
            <w:tcW w:w="1983" w:type="dxa"/>
            <w:shd w:val="clear" w:color="auto" w:fill="auto"/>
            <w:vAlign w:val="center"/>
          </w:tcPr>
          <w:p w14:paraId="15DCB33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200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2B56D5B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亩</w:t>
            </w:r>
          </w:p>
        </w:tc>
      </w:tr>
      <w:tr w14:paraId="6343BD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5EAAA53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4007" w:type="dxa"/>
            <w:shd w:val="clear" w:color="auto" w:fill="auto"/>
            <w:vAlign w:val="center"/>
          </w:tcPr>
          <w:p w14:paraId="794AB33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  <w:t>林地垦复</w:t>
            </w:r>
          </w:p>
        </w:tc>
        <w:tc>
          <w:tcPr>
            <w:tcW w:w="1983" w:type="dxa"/>
            <w:shd w:val="clear" w:color="auto" w:fill="auto"/>
            <w:vAlign w:val="center"/>
          </w:tcPr>
          <w:p w14:paraId="703BF87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200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5200D9E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亩</w:t>
            </w:r>
          </w:p>
        </w:tc>
      </w:tr>
      <w:tr w14:paraId="79DC58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7C625C6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4007" w:type="dxa"/>
            <w:shd w:val="clear" w:color="auto" w:fill="auto"/>
            <w:vAlign w:val="center"/>
          </w:tcPr>
          <w:p w14:paraId="05FABC6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  <w:t>施肥</w:t>
            </w:r>
          </w:p>
        </w:tc>
        <w:tc>
          <w:tcPr>
            <w:tcW w:w="1983" w:type="dxa"/>
            <w:shd w:val="clear" w:color="auto" w:fill="auto"/>
            <w:vAlign w:val="center"/>
          </w:tcPr>
          <w:p w14:paraId="17E26A4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200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15B3ABF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亩</w:t>
            </w:r>
          </w:p>
        </w:tc>
      </w:tr>
      <w:tr w14:paraId="3AF79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35C8683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4007" w:type="dxa"/>
            <w:shd w:val="clear" w:color="auto" w:fill="auto"/>
            <w:vAlign w:val="center"/>
          </w:tcPr>
          <w:p w14:paraId="62B4318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复合肥</w:t>
            </w:r>
          </w:p>
        </w:tc>
        <w:tc>
          <w:tcPr>
            <w:tcW w:w="1983" w:type="dxa"/>
            <w:shd w:val="clear" w:color="auto" w:fill="auto"/>
            <w:vAlign w:val="center"/>
          </w:tcPr>
          <w:p w14:paraId="586005C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30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63E536A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吨</w:t>
            </w:r>
          </w:p>
        </w:tc>
      </w:tr>
      <w:tr w14:paraId="28472E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699DF9F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4007" w:type="dxa"/>
            <w:shd w:val="clear" w:color="auto" w:fill="auto"/>
            <w:vAlign w:val="center"/>
          </w:tcPr>
          <w:p w14:paraId="58D2CF1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尿素</w:t>
            </w:r>
          </w:p>
        </w:tc>
        <w:tc>
          <w:tcPr>
            <w:tcW w:w="1983" w:type="dxa"/>
            <w:shd w:val="clear" w:color="auto" w:fill="auto"/>
            <w:vAlign w:val="center"/>
          </w:tcPr>
          <w:p w14:paraId="5FA608B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15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35611E3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吨</w:t>
            </w:r>
          </w:p>
        </w:tc>
      </w:tr>
      <w:tr w14:paraId="42CD56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36" w:type="dxa"/>
            <w:shd w:val="clear" w:color="auto" w:fill="auto"/>
            <w:vAlign w:val="center"/>
          </w:tcPr>
          <w:p w14:paraId="21E5ECE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4007" w:type="dxa"/>
            <w:shd w:val="clear" w:color="auto" w:fill="auto"/>
            <w:vAlign w:val="center"/>
          </w:tcPr>
          <w:p w14:paraId="635F3CF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号竹标识</w:t>
            </w:r>
          </w:p>
        </w:tc>
        <w:tc>
          <w:tcPr>
            <w:tcW w:w="1983" w:type="dxa"/>
            <w:shd w:val="clear" w:color="auto" w:fill="auto"/>
            <w:vAlign w:val="center"/>
          </w:tcPr>
          <w:p w14:paraId="32145AB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200</w:t>
            </w:r>
          </w:p>
        </w:tc>
        <w:tc>
          <w:tcPr>
            <w:tcW w:w="2300" w:type="dxa"/>
            <w:shd w:val="clear" w:color="auto" w:fill="auto"/>
            <w:vAlign w:val="center"/>
          </w:tcPr>
          <w:p w14:paraId="479B0CE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亩</w:t>
            </w:r>
          </w:p>
        </w:tc>
      </w:tr>
    </w:tbl>
    <w:p w14:paraId="1BA870BD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</w:p>
    <w:p w14:paraId="7FB49D31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default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5.技术标准及质量要求</w:t>
      </w:r>
    </w:p>
    <w:p w14:paraId="362FBC0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1.砍杂清理：全域清杂除草200亩，清除小径杂木、枯死竹、雪压竹，伐蔸高度≤10cm；适度保留珍贵、固肥阔叶树，保留树冠占比不超 30%。</w:t>
      </w:r>
    </w:p>
    <w:p w14:paraId="05D09B7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2.竹林结构调整：目标每亩植竹约 180 株，平均胸径 8-9cm，全部清除 7 年以上老龄竹；母竹选留在笋期高峰前 3-5 天均衡选留健壮新竹，应选竹笋粗壮、竹箍短而紧凑、先端叶片(即辩叶)开涨、坚硬者为留养母竹。优良的笋用林母竹节间较短、竹节凸起、竹竿通直、枝叶充实、繁殖力好。</w:t>
      </w:r>
    </w:p>
    <w:p w14:paraId="764CA5C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3.林地垦复：垦复时间一般在新竹抽枝展叶完成后进行，大小年毛竹林垦复年份选择在发笋成竹年。垦复可采用“两锄法”，即先试探性浅挖一锄，无鞭则再深挖一锄，有鞭处垦复深度略小于鞭的分布深度，无鞭处垦复深度30cm～35cm，重点是挖除“三头”，即老竹蔸、树蔸、石块，坡度较大的竹林地采用水平带状垦复。坡度超过25度的竹林地不纳入垦复范围，采取通节施肥方法让竹蔸自然腐烂还林。</w:t>
      </w:r>
    </w:p>
    <w:p w14:paraId="01001897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4.科学施肥：结合垦复施N、P、K复合肥，一般竹林改造可以采取沟施，具体操作如下：施肥二次，一次是孕笋肥，在竹林芽秋季（9-10 月）施复合肥，另一次催笋肥，即在竹笋春季地下生长到萌发出土前期（2-3月）施尿素。施肥以沟施方式进行，即在林地内每隔2m沿等高线开宽 20cm深 20cm的小沟，施入肥料后随即覆土、压实，避免肥料挥发。</w:t>
      </w:r>
    </w:p>
    <w:p w14:paraId="45D4CD1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5.号竹标识：当年新生毛竹全部标注年号，字迹清晰耐久，便于区分竹龄。</w:t>
      </w:r>
    </w:p>
    <w:p w14:paraId="55F451E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eastAsia="zh-CN"/>
        </w:rPr>
      </w:pPr>
    </w:p>
    <w:p w14:paraId="2A154C5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eastAsia="zh-CN"/>
        </w:rPr>
        <w:t>（二）商务条件</w:t>
      </w:r>
    </w:p>
    <w:p w14:paraId="06E64571">
      <w:pPr>
        <w:widowControl w:val="0"/>
        <w:numPr>
          <w:ilvl w:val="0"/>
          <w:numId w:val="0"/>
        </w:numPr>
        <w:kinsoku/>
        <w:autoSpaceDE/>
        <w:autoSpaceDN/>
        <w:adjustRightInd/>
        <w:snapToGrid/>
        <w:spacing w:before="120" w:after="120" w:line="288" w:lineRule="auto"/>
        <w:ind w:left="0" w:leftChars="0"/>
        <w:jc w:val="left"/>
        <w:textAlignment w:val="auto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1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、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 xml:space="preserve">付款方式：甲方于合同生效后按项目合同总价款的 30% 支付预付款，后续按工程进度拨付进度款，预付款与进度款累计支付至合同总价款 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8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0% 后不再支付进度款，待项目经上级单位验收合格后，甲方一次性付清剩余全部合同款项。</w:t>
      </w:r>
    </w:p>
    <w:p w14:paraId="379CE53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、投标报价：</w:t>
      </w:r>
    </w:p>
    <w:p w14:paraId="6698F85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（1）报价包含完成本项目全部服务的一切费用，招标人不再另行支付任何费用。</w:t>
      </w:r>
    </w:p>
    <w:p w14:paraId="0DD5F557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（2）供应商自行编制响应报价，响应报价总价不能超过本项目的最高限价（预算价），否则按无效响应处理。</w:t>
      </w:r>
    </w:p>
    <w:p w14:paraId="1362E28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、质量标准：符合国家及地方林业工程相关法律法规、政策和技术规范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标准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。</w:t>
      </w:r>
    </w:p>
    <w:p w14:paraId="74556AF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5、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验收：</w:t>
      </w:r>
    </w:p>
    <w:p w14:paraId="7A5205D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1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）提交资料：施工台账、前后对比影像、肥料质检材料、各工序验收单、竣工汇总资料；</w:t>
      </w:r>
    </w:p>
    <w:p w14:paraId="05763AB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）硬性指标：完成 200 亩合格示范林，各工序抽样合格率不低于 95%，竹林结构符合标准；</w:t>
      </w:r>
    </w:p>
    <w:p w14:paraId="3B38297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）处置规则：出具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质量合格的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竣工报告；轻微缺陷限期整改；大面积不达标不予验收。</w:t>
      </w:r>
    </w:p>
    <w:p w14:paraId="0E64F262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、其他要求：</w:t>
      </w:r>
    </w:p>
    <w:p w14:paraId="51EA3F4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1）成交供应商应严格遵守国家和地方的安全生产法律法规，在施工中应加强安全生产，落实防火、防洪、防虫等自然灾害的巡查及处理措施，如若在施工中发生任何安全事故均由供应商自行承担，采购人概不负责，成交供应商在施工中负责处理纠纷问题，甲方协助。</w:t>
      </w:r>
    </w:p>
    <w:p w14:paraId="36F5EE6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（2）成交供应商应加强现场的安全管理，对人员进行安全教育和技术培训，确保施工安全</w:t>
      </w:r>
    </w:p>
    <w:p w14:paraId="0B0A031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7、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违约责任：若成交供应商未按合同约定完成本项目服务或违反安全、环保等相关规定，应承担相应的违约责任，并赔偿由此给采购人造成的损失</w:t>
      </w:r>
    </w:p>
    <w:p w14:paraId="7609BE8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8、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采购人不组织踏勘现场：供应商应自行安排时间进行实地考察。供应商踏勘现场的费用自理，为响应报价取得依据。一旦成交，不得以不了解现场情况为理由而提出额外费用，采购人将不予考虑。在现场考察过程中，供应商如果发生人身伤亡、财务或其它损失，不论何种原因造成，均由供应商自负。</w:t>
      </w:r>
    </w:p>
    <w:p w14:paraId="27E8304C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9、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配套管理要求</w:t>
      </w:r>
    </w:p>
    <w:p w14:paraId="563C1C8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1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）全程配合林业、财政、审计、乡村振兴部门监督核查；</w:t>
      </w:r>
    </w:p>
    <w:p w14:paraId="365D300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）竣工后 1 年内，因施工不当造成竹林生长不达标的，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中标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方无偿整改。</w:t>
      </w:r>
    </w:p>
    <w:p w14:paraId="11AB839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sz w:val="22"/>
          <w:szCs w:val="22"/>
          <w:highlight w:val="none"/>
          <w:lang w:eastAsia="zh-CN"/>
        </w:rPr>
      </w:pPr>
    </w:p>
    <w:p w14:paraId="5E1EB8D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sz w:val="22"/>
          <w:szCs w:val="22"/>
          <w:highlight w:val="none"/>
          <w:lang w:eastAsia="zh-CN"/>
        </w:rPr>
      </w:pPr>
    </w:p>
    <w:p w14:paraId="154BAF8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Theme="minorEastAsia" w:hAnsiTheme="minorEastAsia" w:eastAsiaTheme="minorEastAsia" w:cstheme="minorEastAsia"/>
          <w:color w:val="auto"/>
          <w:spacing w:val="0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sz w:val="22"/>
          <w:szCs w:val="22"/>
          <w:highlight w:val="none"/>
          <w:lang w:eastAsia="zh-CN"/>
        </w:rPr>
        <w:t>备注：以上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sz w:val="22"/>
          <w:szCs w:val="22"/>
          <w:highlight w:val="none"/>
          <w:lang w:val="en-US" w:eastAsia="zh-CN"/>
        </w:rPr>
        <w:t>服务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sz w:val="22"/>
          <w:szCs w:val="22"/>
          <w:highlight w:val="none"/>
          <w:lang w:eastAsia="zh-CN"/>
        </w:rPr>
        <w:t>需求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sz w:val="22"/>
          <w:szCs w:val="22"/>
          <w:highlight w:val="none"/>
          <w:lang w:val="en-US" w:eastAsia="zh-CN"/>
        </w:rPr>
        <w:t>及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pacing w:val="0"/>
          <w:sz w:val="22"/>
          <w:szCs w:val="22"/>
          <w:highlight w:val="none"/>
          <w:lang w:eastAsia="zh-CN"/>
        </w:rPr>
        <w:t>商务要求为基本技术要求必须全部响应（即满足或优于商务要求），否则其响应无效。</w:t>
      </w:r>
      <w:bookmarkStart w:id="6" w:name="_GoBack"/>
      <w:bookmarkEnd w:id="6"/>
    </w:p>
    <w:p w14:paraId="1D359A6F"/>
    <w:sectPr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4C5945">
    <w:pPr>
      <w:pStyle w:val="5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357FBAE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357FBAE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E63F08">
    <w:pPr>
      <w:tabs>
        <w:tab w:val="center" w:pos="4153"/>
        <w:tab w:val="right" w:pos="8306"/>
      </w:tabs>
      <w:kinsoku w:val="0"/>
      <w:autoSpaceDE w:val="0"/>
      <w:autoSpaceDN w:val="0"/>
      <w:adjustRightInd w:val="0"/>
      <w:snapToGrid w:val="0"/>
      <w:textAlignment w:val="baseline"/>
      <w:rPr>
        <w:rFonts w:ascii="Arial" w:hAnsi="Arial" w:eastAsia="Arial" w:cs="Arial"/>
        <w:snapToGrid w:val="0"/>
        <w:color w:val="000000"/>
        <w:sz w:val="18"/>
        <w:szCs w:val="21"/>
        <w:lang w:val="en-US" w:eastAsia="zh-CN" w:bidi="ar-SA"/>
      </w:rPr>
    </w:pPr>
    <w:r>
      <w:rPr>
        <w:rFonts w:ascii="Arial" w:hAnsi="Arial" w:eastAsia="Arial" w:cs="Arial"/>
        <w:snapToGrid w:val="0"/>
        <w:color w:val="000000"/>
        <w:sz w:val="18"/>
        <w:szCs w:val="21"/>
        <w:lang w:val="en-US" w:eastAsia="en-US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3" name="文本框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818B818">
                          <w:pPr>
                            <w:tabs>
                              <w:tab w:val="center" w:pos="4153"/>
                              <w:tab w:val="right" w:pos="8306"/>
                            </w:tabs>
                            <w:kinsoku w:val="0"/>
                            <w:autoSpaceDE w:val="0"/>
                            <w:autoSpaceDN w:val="0"/>
                            <w:adjustRightInd w:val="0"/>
                            <w:snapToGrid w:val="0"/>
                            <w:textAlignment w:val="baseline"/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</w:pP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fldChar w:fldCharType="begin"/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fldChar w:fldCharType="separate"/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t>63</w:t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LNJWO7QAAAABQEAAA8AAAAAAAAAAQAgAAAAIgAAAGRycy9kb3ducmV2Lnht&#10;bFBLAQIUABQAAAAIAIdO4kAN+KJrOgIAAHEEAAAOAAAAAAAAAAEAIAAAAB8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818B818">
                    <w:pPr>
                      <w:tabs>
                        <w:tab w:val="center" w:pos="4153"/>
                        <w:tab w:val="right" w:pos="8306"/>
                      </w:tabs>
                      <w:kinsoku w:val="0"/>
                      <w:autoSpaceDE w:val="0"/>
                      <w:autoSpaceDN w:val="0"/>
                      <w:adjustRightInd w:val="0"/>
                      <w:snapToGrid w:val="0"/>
                      <w:textAlignment w:val="baseline"/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</w:pP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fldChar w:fldCharType="begin"/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instrText xml:space="preserve"> PAGE  \* MERGEFORMAT </w:instrText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fldChar w:fldCharType="separate"/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t>63</w:t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479F9B0"/>
    <w:multiLevelType w:val="singleLevel"/>
    <w:tmpl w:val="6479F9B0"/>
    <w:lvl w:ilvl="0" w:tentative="0">
      <w:start w:val="4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EF7C90"/>
    <w:rsid w:val="12522F0D"/>
    <w:rsid w:val="20790122"/>
    <w:rsid w:val="28A22980"/>
    <w:rsid w:val="3E251F4D"/>
    <w:rsid w:val="4B2A0430"/>
    <w:rsid w:val="591C4219"/>
    <w:rsid w:val="5C6B779F"/>
    <w:rsid w:val="6FB504F7"/>
    <w:rsid w:val="7C0D3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99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ind w:left="0" w:right="0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24"/>
      <w:lang w:bidi="ar-SA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qFormat/>
    <w:uiPriority w:val="99"/>
    <w:rPr>
      <w:rFonts w:cs="Arial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1585</Words>
  <Characters>1660</Characters>
  <Lines>0</Lines>
  <Paragraphs>0</Paragraphs>
  <TotalTime>0</TotalTime>
  <ScaleCrop>false</ScaleCrop>
  <LinksUpToDate>false</LinksUpToDate>
  <CharactersWithSpaces>1679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2026-04-29T09:13:00Z</dcterms:created>
  <dc:creator>345yuqq</dc:creator>
  <cp:lastModifiedBy>admin</cp:lastModifiedBy>
  <dcterms:modified xsi:type="dcterms:W3CDTF">2026-06-25T09:42:29Z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eyJoZGlkIjoiMjI4NzczNjg5ZWE2Y2ZmMDU1MzE2YjNjYTQ1NjVmN2MiLCJ1c2VySWQiOiIxNDg1NjAxMDA5In0=</vt:lpwstr>
  </property>
  <property fmtid="{D5CDD505-2E9C-101B-9397-08002B2CF9AE}" pid="4" name="ICV">
    <vt:lpwstr>FC97DCE3DBBF47B193740B9128E16465_12</vt:lpwstr>
  </property>
</Properties>
</file>