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7E3A82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8306"/>
      <w:r>
        <w:rPr>
          <w:rFonts w:ascii="宋体" w:hAnsi="宋体" w:eastAsia="宋体" w:cs="宋体"/>
          <w:color w:val="auto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0"/>
    </w:p>
    <w:p w14:paraId="4D193887">
      <w:pPr>
        <w:widowControl w:val="0"/>
        <w:spacing w:line="258" w:lineRule="auto"/>
        <w:rPr>
          <w:color w:val="auto"/>
        </w:rPr>
      </w:pPr>
    </w:p>
    <w:p w14:paraId="5A1EE2BF">
      <w:pPr>
        <w:widowControl w:val="0"/>
        <w:kinsoku/>
        <w:overflowPunct w:val="0"/>
        <w:spacing w:line="360" w:lineRule="auto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ascii="宋体" w:hAnsi="宋体" w:eastAsia="宋体" w:cs="宋体"/>
          <w:color w:val="auto"/>
          <w:sz w:val="24"/>
          <w:szCs w:val="24"/>
        </w:rPr>
        <w:t>（一）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服务要</w:t>
      </w:r>
      <w:r>
        <w:rPr>
          <w:rFonts w:ascii="宋体" w:hAnsi="宋体" w:eastAsia="宋体" w:cs="宋体"/>
          <w:color w:val="auto"/>
          <w:sz w:val="24"/>
          <w:szCs w:val="24"/>
        </w:rPr>
        <w:t>求</w:t>
      </w:r>
    </w:p>
    <w:p w14:paraId="35E019C2">
      <w:pPr>
        <w:widowControl w:val="0"/>
        <w:kinsoku/>
        <w:overflowPunct w:val="0"/>
        <w:spacing w:line="360" w:lineRule="auto"/>
        <w:ind w:left="126"/>
      </w:pPr>
      <w:r>
        <w:rPr>
          <w:rFonts w:hint="eastAsia" w:ascii="宋体" w:hAnsi="宋体" w:eastAsia="宋体" w:cs="宋体"/>
          <w:spacing w:val="-9"/>
          <w:sz w:val="24"/>
          <w:szCs w:val="24"/>
          <w:lang w:eastAsia="zh-CN"/>
        </w:rPr>
        <w:t>1.</w:t>
      </w:r>
      <w:r>
        <w:rPr>
          <w:rFonts w:ascii="宋体" w:hAnsi="宋体" w:eastAsia="宋体" w:cs="宋体"/>
          <w:spacing w:val="-9"/>
          <w:sz w:val="24"/>
          <w:szCs w:val="24"/>
        </w:rPr>
        <w:t>采购清单：</w:t>
      </w:r>
    </w:p>
    <w:tbl>
      <w:tblPr>
        <w:tblStyle w:val="6"/>
        <w:tblW w:w="7550" w:type="dxa"/>
        <w:tblInd w:w="10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04"/>
        <w:gridCol w:w="2825"/>
        <w:gridCol w:w="1689"/>
        <w:gridCol w:w="1932"/>
      </w:tblGrid>
      <w:tr w14:paraId="0D939C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104" w:type="dxa"/>
            <w:vAlign w:val="center"/>
          </w:tcPr>
          <w:p w14:paraId="57CD3ED1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2825" w:type="dxa"/>
            <w:vAlign w:val="center"/>
          </w:tcPr>
          <w:p w14:paraId="1976B090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4"/>
                <w:sz w:val="24"/>
                <w:szCs w:val="24"/>
              </w:rPr>
              <w:t>名称</w:t>
            </w:r>
          </w:p>
        </w:tc>
        <w:tc>
          <w:tcPr>
            <w:tcW w:w="1689" w:type="dxa"/>
            <w:vAlign w:val="center"/>
          </w:tcPr>
          <w:p w14:paraId="12F0870B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单位</w:t>
            </w:r>
          </w:p>
        </w:tc>
        <w:tc>
          <w:tcPr>
            <w:tcW w:w="1932" w:type="dxa"/>
            <w:vAlign w:val="center"/>
          </w:tcPr>
          <w:p w14:paraId="0387F955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数量</w:t>
            </w:r>
          </w:p>
        </w:tc>
      </w:tr>
      <w:tr w14:paraId="19E330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1104" w:type="dxa"/>
            <w:vAlign w:val="center"/>
          </w:tcPr>
          <w:p w14:paraId="2D413B26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2825" w:type="dxa"/>
            <w:vAlign w:val="center"/>
          </w:tcPr>
          <w:p w14:paraId="62817C54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  <w:highlight w:val="none"/>
              </w:rPr>
              <w:t>20M</w:t>
            </w: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  <w:highlight w:val="none"/>
                <w:lang w:eastAsia="zh-CN"/>
              </w:rPr>
              <w:t>ps对称宽带IP专线（支持</w:t>
            </w: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  <w:highlight w:val="none"/>
              </w:rPr>
              <w:t>固定IP</w:t>
            </w: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  <w:highlight w:val="none"/>
                <w:lang w:eastAsia="zh-CN"/>
              </w:rPr>
              <w:t>地址）</w:t>
            </w:r>
          </w:p>
        </w:tc>
        <w:tc>
          <w:tcPr>
            <w:tcW w:w="1689" w:type="dxa"/>
            <w:vAlign w:val="center"/>
          </w:tcPr>
          <w:p w14:paraId="3846F2AF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条</w:t>
            </w:r>
          </w:p>
        </w:tc>
        <w:tc>
          <w:tcPr>
            <w:tcW w:w="1932" w:type="dxa"/>
            <w:vAlign w:val="center"/>
          </w:tcPr>
          <w:p w14:paraId="3AB72A3A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611</w:t>
            </w:r>
          </w:p>
        </w:tc>
      </w:tr>
    </w:tbl>
    <w:p w14:paraId="7889AE61">
      <w:pPr>
        <w:widowControl w:val="0"/>
        <w:kinsoku/>
        <w:overflowPunct w:val="0"/>
        <w:spacing w:line="360" w:lineRule="auto"/>
        <w:ind w:left="128"/>
        <w:rPr>
          <w:rFonts w:ascii="宋体" w:hAnsi="宋体" w:eastAsia="宋体" w:cs="宋体"/>
          <w:spacing w:val="-6"/>
          <w:sz w:val="24"/>
          <w:szCs w:val="24"/>
        </w:rPr>
      </w:pPr>
    </w:p>
    <w:p w14:paraId="6995CD1B">
      <w:pPr>
        <w:widowControl w:val="0"/>
        <w:kinsoku/>
        <w:overflowPunct w:val="0"/>
        <w:spacing w:line="360" w:lineRule="auto"/>
        <w:ind w:left="128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6"/>
          <w:sz w:val="24"/>
          <w:szCs w:val="24"/>
          <w:lang w:eastAsia="zh-CN"/>
        </w:rPr>
        <w:t>2.</w:t>
      </w:r>
      <w:r>
        <w:rPr>
          <w:rFonts w:ascii="宋体" w:hAnsi="宋体" w:eastAsia="宋体" w:cs="宋体"/>
          <w:spacing w:val="-6"/>
          <w:sz w:val="24"/>
          <w:szCs w:val="24"/>
        </w:rPr>
        <w:t>技术参数规格及要求：</w:t>
      </w:r>
    </w:p>
    <w:p w14:paraId="517CCBFE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）投标人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提供的网络必须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有高可靠性，保证采购人网络系统的正常运行，具有完备的网络健康保障及运营支持体系。</w:t>
      </w:r>
    </w:p>
    <w:p w14:paraId="46F74827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（2）视频传输链路应具备高清稳定传输、画面流畅无卡顿性能，设备及链路整体组网后，实时预览、画面轮巡、调取回放、远程调用等场景下，视频图像连续稳定，无明显丢帧、拖影、延迟、画面卡顿、花屏、断流现象；满足日常值守、实时调度、突发事件应急调用等常态化使用要求，保障视频画面传输实时性与连贯性。</w:t>
      </w:r>
    </w:p>
    <w:p w14:paraId="3CE6832E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（3）为保障本项目链路服务的稳定运行、日常运维及应急响应，投标人须为本项目组建不少于3名专职技术服务人员组成项目专属服务团队，负责本项目电路链路日常巡检、故障处置及全程技术支撑。</w:t>
      </w:r>
    </w:p>
    <w:p w14:paraId="05089950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①上述服务团队里的技术服务人员须为投标人本单位正式员工，无违法犯罪记录，具备网络通信、电路运维相关从业能力。</w:t>
      </w:r>
    </w:p>
    <w:p w14:paraId="199EF3E9">
      <w:pPr>
        <w:widowControl w:val="0"/>
        <w:kinsoku/>
        <w:overflowPunct w:val="0"/>
        <w:spacing w:line="360" w:lineRule="auto"/>
        <w:ind w:right="10"/>
        <w:jc w:val="both"/>
        <w:rPr>
          <w:rFonts w:asciiTheme="minorEastAsia" w:hAnsiTheme="minorEastAsia" w:eastAsiaTheme="minorEastAsia" w:cstheme="minorEastAsia"/>
          <w:color w:val="auto"/>
          <w:sz w:val="24"/>
          <w:szCs w:val="24"/>
          <w:highlight w:val="yellow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②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合同履行期间，未经采购人书面同意，投标人不得擅自更换拟派技术服务人员。若确需更换人员，须提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前5个工作日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向采购人提交书面申请，经采购人书面同意后方可更换，且更换人员的资质、专业能力不得低于原人员标准。采购人有权对人员到岗情况、服务质量进行监督考核，若人员履职不到位，采购人有权要求投标人限期整改或更换。</w:t>
      </w:r>
    </w:p>
    <w:p w14:paraId="23C1DB0D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（4）投标人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提供的网络必须具有很强的安全保密性，确保采购人的业务传输的安全与保密，具有完善的安全保障措施。</w:t>
      </w:r>
    </w:p>
    <w:p w14:paraId="7AA40EE6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（5）投标人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提供的网络必须具备可扩展能力，能够适应采购人网络结构的变化，具有灵活的伸缩能力，满足业务发展的需求。</w:t>
      </w:r>
    </w:p>
    <w:p w14:paraId="7161D867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（6）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安装线路不能对现有业务网络造成影响，必须平滑过渡。</w:t>
      </w:r>
    </w:p>
    <w:p w14:paraId="622D834F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（7）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投标文件中须提供详细的维护服务渠道及组织架构。</w:t>
      </w:r>
    </w:p>
    <w:p w14:paraId="033A0171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（8）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提供全年365天，全天24小时的技术支持服务。</w:t>
      </w:r>
    </w:p>
    <w:p w14:paraId="079CAA8A">
      <w:pPr>
        <w:widowControl w:val="0"/>
        <w:kinsoku/>
        <w:overflowPunct w:val="0"/>
        <w:spacing w:line="360" w:lineRule="auto"/>
        <w:ind w:right="1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（9）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维护时限的要求如下表所示：</w:t>
      </w:r>
    </w:p>
    <w:p w14:paraId="685F481B">
      <w:pPr>
        <w:spacing w:line="143" w:lineRule="exact"/>
      </w:pPr>
    </w:p>
    <w:tbl>
      <w:tblPr>
        <w:tblStyle w:val="6"/>
        <w:tblW w:w="77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27"/>
        <w:gridCol w:w="4689"/>
      </w:tblGrid>
      <w:tr w14:paraId="7CE563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3027" w:type="dxa"/>
            <w:vAlign w:val="center"/>
          </w:tcPr>
          <w:p w14:paraId="17957C70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4"/>
                <w:sz w:val="24"/>
                <w:szCs w:val="24"/>
              </w:rPr>
              <w:t>项目</w:t>
            </w:r>
          </w:p>
        </w:tc>
        <w:tc>
          <w:tcPr>
            <w:tcW w:w="4689" w:type="dxa"/>
            <w:vAlign w:val="center"/>
          </w:tcPr>
          <w:p w14:paraId="33824AF0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服务标准</w:t>
            </w:r>
          </w:p>
        </w:tc>
      </w:tr>
      <w:tr w14:paraId="130169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3027" w:type="dxa"/>
            <w:vAlign w:val="center"/>
          </w:tcPr>
          <w:p w14:paraId="2C069E1A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故障投诉</w:t>
            </w:r>
          </w:p>
        </w:tc>
        <w:tc>
          <w:tcPr>
            <w:tcW w:w="4689" w:type="dxa"/>
            <w:vAlign w:val="center"/>
          </w:tcPr>
          <w:p w14:paraId="56B6B1F4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故障投诉零时间响应</w:t>
            </w:r>
          </w:p>
        </w:tc>
      </w:tr>
      <w:tr w14:paraId="2C1D71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027" w:type="dxa"/>
            <w:vAlign w:val="center"/>
          </w:tcPr>
          <w:p w14:paraId="619DF9B2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故障处理</w:t>
            </w:r>
          </w:p>
        </w:tc>
        <w:tc>
          <w:tcPr>
            <w:tcW w:w="4689" w:type="dxa"/>
            <w:vAlign w:val="center"/>
          </w:tcPr>
          <w:p w14:paraId="2BF5EEFB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1小时到现场3小时内修复</w:t>
            </w:r>
          </w:p>
        </w:tc>
      </w:tr>
      <w:tr w14:paraId="6B1462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027" w:type="dxa"/>
            <w:vAlign w:val="center"/>
          </w:tcPr>
          <w:p w14:paraId="34AE37DA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月故障时限</w:t>
            </w:r>
          </w:p>
        </w:tc>
        <w:tc>
          <w:tcPr>
            <w:tcW w:w="4689" w:type="dxa"/>
            <w:vAlign w:val="center"/>
          </w:tcPr>
          <w:p w14:paraId="43612F68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不超过8小时</w:t>
            </w:r>
          </w:p>
        </w:tc>
      </w:tr>
      <w:tr w14:paraId="486D1D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3027" w:type="dxa"/>
            <w:vAlign w:val="center"/>
          </w:tcPr>
          <w:p w14:paraId="1E6B81F8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线路更改中断</w:t>
            </w:r>
          </w:p>
        </w:tc>
        <w:tc>
          <w:tcPr>
            <w:tcW w:w="4689" w:type="dxa"/>
            <w:vAlign w:val="center"/>
          </w:tcPr>
          <w:p w14:paraId="33CC2D86">
            <w:pPr>
              <w:pStyle w:val="5"/>
              <w:widowControl w:val="0"/>
              <w:kinsoku/>
              <w:overflowPunct w:val="0"/>
              <w:spacing w:line="360" w:lineRule="auto"/>
              <w:jc w:val="center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不超过8小时</w:t>
            </w:r>
          </w:p>
        </w:tc>
      </w:tr>
    </w:tbl>
    <w:p w14:paraId="2817025A"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（10）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上述所有要求，以及运营商承诺的其他内容，同样适用于组网完成后新增的同类型的网点线路。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843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5">
    <w:name w:val="Table Text"/>
    <w:basedOn w:val="1"/>
    <w:semiHidden/>
    <w:qFormat/>
    <w:uiPriority w:val="0"/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2026-05-10T08:48:48Z</dcterms:created>
  <dc:creator>Administrator</dc:creator>
  <cp:lastModifiedBy>橘子</cp:lastModifiedBy>
  <dcterms:modified xsi:type="dcterms:W3CDTF">2026-05-10T08:48:56Z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eyJoZGlkIjoiOWIxYWNmZmU2MGMwMmZmOTFhMmFjZGNiZjI1YmI3ZDkiLCJ1c2VySWQiOiIyNjQ2MjI4NDcifQ==</vt:lpwstr>
  </property>
  <property fmtid="{D5CDD505-2E9C-101B-9397-08002B2CF9AE}" pid="4" name="ICV">
    <vt:lpwstr>D6BE0AF3DC284210BC471043CDDBEEAB_12</vt:lpwstr>
  </property>
</Properties>
</file>