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88E711">
      <w:pPr>
        <w:kinsoku/>
        <w:autoSpaceDE/>
        <w:autoSpaceDN/>
        <w:adjustRightInd/>
        <w:snapToGrid/>
        <w:spacing w:line="360" w:lineRule="auto"/>
        <w:textAlignment w:val="auto"/>
        <w:rPr>
          <w:rFonts w:ascii="宋体" w:hAnsi="宋体" w:eastAsia="宋体" w:cs="宋体"/>
          <w:sz w:val="24"/>
          <w:szCs w:val="24"/>
        </w:rPr>
      </w:pPr>
      <w:r>
        <w:rPr>
          <w:rFonts w:hint="eastAsia" w:eastAsia="宋体" w:cs="宋体"/>
          <w:sz w:val="24"/>
          <w:szCs w:val="24"/>
          <w:lang w:eastAsia="zh-CN" w:bidi="ar"/>
        </w:rPr>
        <w:t>1</w:t>
      </w:r>
      <w:r>
        <w:rPr>
          <w:rFonts w:hint="eastAsia" w:ascii="宋体" w:hAnsi="宋体" w:eastAsia="宋体" w:cs="宋体"/>
          <w:sz w:val="24"/>
          <w:szCs w:val="24"/>
          <w:lang w:eastAsia="zh-CN" w:bidi="ar"/>
        </w:rPr>
        <w:t xml:space="preserve">.服务清单： </w:t>
      </w:r>
    </w:p>
    <w:tbl>
      <w:tblPr>
        <w:tblStyle w:val="4"/>
        <w:tblW w:w="99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3006"/>
        <w:gridCol w:w="505"/>
        <w:gridCol w:w="505"/>
        <w:gridCol w:w="4340"/>
        <w:gridCol w:w="1124"/>
      </w:tblGrid>
      <w:tr w14:paraId="7EDA54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  <w:jc w:val="center"/>
        </w:trPr>
        <w:tc>
          <w:tcPr>
            <w:tcW w:w="440" w:type="dxa"/>
            <w:vAlign w:val="center"/>
          </w:tcPr>
          <w:p w14:paraId="0CC11E3A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bookmarkStart w:id="0" w:name="OLE_LINK5" w:colFirst="0" w:colLast="5"/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序号</w:t>
            </w:r>
          </w:p>
        </w:tc>
        <w:tc>
          <w:tcPr>
            <w:tcW w:w="3012" w:type="dxa"/>
            <w:vAlign w:val="center"/>
          </w:tcPr>
          <w:p w14:paraId="526A76D3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服务项名称</w:t>
            </w:r>
          </w:p>
        </w:tc>
        <w:tc>
          <w:tcPr>
            <w:tcW w:w="505" w:type="dxa"/>
            <w:vAlign w:val="center"/>
          </w:tcPr>
          <w:p w14:paraId="76E8A91B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数量</w:t>
            </w:r>
          </w:p>
        </w:tc>
        <w:tc>
          <w:tcPr>
            <w:tcW w:w="505" w:type="dxa"/>
            <w:vAlign w:val="center"/>
          </w:tcPr>
          <w:p w14:paraId="1D08FBCD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单位</w:t>
            </w:r>
          </w:p>
        </w:tc>
        <w:tc>
          <w:tcPr>
            <w:tcW w:w="4348" w:type="dxa"/>
            <w:vAlign w:val="center"/>
          </w:tcPr>
          <w:p w14:paraId="3491E642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eastAsia="宋体" w:cs="宋体"/>
                <w:sz w:val="24"/>
                <w:szCs w:val="24"/>
                <w:lang w:eastAsia="zh-CN" w:bidi="ar"/>
              </w:rPr>
              <w:t>工作内容</w:t>
            </w:r>
            <w:r>
              <w:rPr>
                <w:rFonts w:hint="eastAsia" w:eastAsia="宋体" w:cs="宋体"/>
                <w:b/>
                <w:bCs/>
                <w:sz w:val="24"/>
                <w:szCs w:val="24"/>
                <w:lang w:eastAsia="zh-CN" w:bidi="ar"/>
              </w:rPr>
              <w:t>（包括但不限于如下内容）</w:t>
            </w:r>
          </w:p>
        </w:tc>
        <w:tc>
          <w:tcPr>
            <w:tcW w:w="1126" w:type="dxa"/>
            <w:vAlign w:val="center"/>
          </w:tcPr>
          <w:p w14:paraId="76565AA9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备注</w:t>
            </w:r>
          </w:p>
        </w:tc>
      </w:tr>
      <w:tr w14:paraId="56BA26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8" w:hRule="atLeast"/>
          <w:jc w:val="center"/>
        </w:trPr>
        <w:tc>
          <w:tcPr>
            <w:tcW w:w="440" w:type="dxa"/>
            <w:vAlign w:val="center"/>
          </w:tcPr>
          <w:p w14:paraId="20B359AF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bookmarkStart w:id="1" w:name="OLE_LINK4" w:colFirst="3" w:colLast="3"/>
            <w:bookmarkStart w:id="2" w:name="OLE_LINK3" w:colFirst="2" w:colLast="2"/>
            <w:r>
              <w:rPr>
                <w:rFonts w:hint="eastAsia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3012" w:type="dxa"/>
            <w:vAlign w:val="center"/>
          </w:tcPr>
          <w:p w14:paraId="15D127D7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eastAsia="宋体" w:cs="宋体"/>
                <w:sz w:val="24"/>
                <w:szCs w:val="24"/>
                <w:lang w:eastAsia="zh-CN" w:bidi="ar"/>
              </w:rPr>
              <w:t>国土空间总体规划年度体检评估</w:t>
            </w:r>
          </w:p>
        </w:tc>
        <w:tc>
          <w:tcPr>
            <w:tcW w:w="505" w:type="dxa"/>
            <w:vAlign w:val="center"/>
          </w:tcPr>
          <w:p w14:paraId="28F74F0F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505" w:type="dxa"/>
            <w:vAlign w:val="center"/>
          </w:tcPr>
          <w:p w14:paraId="3A7A3537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项</w:t>
            </w:r>
          </w:p>
        </w:tc>
        <w:tc>
          <w:tcPr>
            <w:tcW w:w="4348" w:type="dxa"/>
            <w:vAlign w:val="center"/>
          </w:tcPr>
          <w:p w14:paraId="562C6F86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依据国家及省市体检评估规程，开展修水县国土空间总体规划实施年度体检，形成体检评估报告，识别规划实施问题、短板与优化方向</w:t>
            </w:r>
          </w:p>
        </w:tc>
        <w:tc>
          <w:tcPr>
            <w:tcW w:w="1126" w:type="dxa"/>
            <w:vAlign w:val="center"/>
          </w:tcPr>
          <w:p w14:paraId="4D132539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</w:p>
        </w:tc>
      </w:tr>
      <w:tr w14:paraId="64A742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9" w:hRule="atLeast"/>
          <w:jc w:val="center"/>
        </w:trPr>
        <w:tc>
          <w:tcPr>
            <w:tcW w:w="440" w:type="dxa"/>
            <w:vAlign w:val="center"/>
          </w:tcPr>
          <w:p w14:paraId="35BA5D9E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3012" w:type="dxa"/>
            <w:vAlign w:val="center"/>
          </w:tcPr>
          <w:p w14:paraId="6ECC905C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国土空间总体规划动态维护方案编制</w:t>
            </w:r>
          </w:p>
        </w:tc>
        <w:tc>
          <w:tcPr>
            <w:tcW w:w="505" w:type="dxa"/>
            <w:vAlign w:val="center"/>
          </w:tcPr>
          <w:p w14:paraId="5255FDF2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bookmarkStart w:id="3" w:name="OLE_LINK1"/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505" w:type="dxa"/>
            <w:vAlign w:val="center"/>
          </w:tcPr>
          <w:p w14:paraId="6071BE1B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项</w:t>
            </w:r>
          </w:p>
        </w:tc>
        <w:tc>
          <w:tcPr>
            <w:tcW w:w="4348" w:type="dxa"/>
            <w:vAlign w:val="center"/>
          </w:tcPr>
          <w:p w14:paraId="6386D4F6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依据体检结论，编制年度动态维护方案，含维护目标、策略、调整内容、可行性论证、实施保障</w:t>
            </w:r>
          </w:p>
          <w:bookmarkEnd w:id="3"/>
        </w:tc>
        <w:tc>
          <w:tcPr>
            <w:tcW w:w="1126" w:type="dxa"/>
            <w:vAlign w:val="center"/>
          </w:tcPr>
          <w:p w14:paraId="3EA23674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</w:p>
        </w:tc>
      </w:tr>
      <w:tr w14:paraId="4E0848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8" w:hRule="atLeast"/>
          <w:jc w:val="center"/>
        </w:trPr>
        <w:tc>
          <w:tcPr>
            <w:tcW w:w="440" w:type="dxa"/>
            <w:vAlign w:val="center"/>
          </w:tcPr>
          <w:p w14:paraId="71C73727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eastAsia="宋体" w:cs="宋体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3012" w:type="dxa"/>
            <w:vAlign w:val="center"/>
          </w:tcPr>
          <w:p w14:paraId="2A73B70A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三条控制线动态维护</w:t>
            </w:r>
          </w:p>
        </w:tc>
        <w:tc>
          <w:tcPr>
            <w:tcW w:w="505" w:type="dxa"/>
            <w:vAlign w:val="center"/>
          </w:tcPr>
          <w:p w14:paraId="39AAAD13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505" w:type="dxa"/>
            <w:vAlign w:val="center"/>
          </w:tcPr>
          <w:p w14:paraId="577CB67F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项</w:t>
            </w:r>
          </w:p>
        </w:tc>
        <w:tc>
          <w:tcPr>
            <w:tcW w:w="4348" w:type="dxa"/>
            <w:vAlign w:val="center"/>
          </w:tcPr>
          <w:p w14:paraId="3A5A9E5A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开展耕地和永久基本农田保护红线、生态保护红线、城镇开发边界动态维护，落实优进劣出、等量优化、正向调整要求</w:t>
            </w:r>
          </w:p>
        </w:tc>
        <w:tc>
          <w:tcPr>
            <w:tcW w:w="1126" w:type="dxa"/>
            <w:vAlign w:val="center"/>
          </w:tcPr>
          <w:p w14:paraId="71CD3450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</w:p>
        </w:tc>
      </w:tr>
      <w:bookmarkEnd w:id="1"/>
      <w:bookmarkEnd w:id="2"/>
      <w:tr w14:paraId="6838EA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9" w:hRule="atLeast"/>
          <w:jc w:val="center"/>
        </w:trPr>
        <w:tc>
          <w:tcPr>
            <w:tcW w:w="440" w:type="dxa"/>
            <w:vAlign w:val="center"/>
          </w:tcPr>
          <w:p w14:paraId="15056880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eastAsia="宋体" w:cs="宋体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3012" w:type="dxa"/>
            <w:vAlign w:val="center"/>
          </w:tcPr>
          <w:p w14:paraId="5C72A64F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规划分区与用地布局动态维护</w:t>
            </w:r>
          </w:p>
        </w:tc>
        <w:tc>
          <w:tcPr>
            <w:tcW w:w="505" w:type="dxa"/>
            <w:vAlign w:val="center"/>
          </w:tcPr>
          <w:p w14:paraId="6D0DAE22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505" w:type="dxa"/>
            <w:vAlign w:val="center"/>
          </w:tcPr>
          <w:p w14:paraId="60F1EA32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项</w:t>
            </w:r>
          </w:p>
        </w:tc>
        <w:tc>
          <w:tcPr>
            <w:tcW w:w="4348" w:type="dxa"/>
            <w:vAlign w:val="center"/>
          </w:tcPr>
          <w:p w14:paraId="433B90FF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优化规划分区、中心城区用地布局、空间结构，确保布局集聚、功能适配、集约高效</w:t>
            </w:r>
          </w:p>
        </w:tc>
        <w:tc>
          <w:tcPr>
            <w:tcW w:w="1126" w:type="dxa"/>
            <w:vAlign w:val="center"/>
          </w:tcPr>
          <w:p w14:paraId="2B98081B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</w:p>
        </w:tc>
      </w:tr>
      <w:tr w14:paraId="73187D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  <w:jc w:val="center"/>
        </w:trPr>
        <w:tc>
          <w:tcPr>
            <w:tcW w:w="440" w:type="dxa"/>
            <w:vAlign w:val="center"/>
          </w:tcPr>
          <w:p w14:paraId="53861D6C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cs="宋体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3012" w:type="dxa"/>
            <w:vAlign w:val="center"/>
          </w:tcPr>
          <w:p w14:paraId="77B713B2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重点建设项目清单动态维护</w:t>
            </w:r>
          </w:p>
        </w:tc>
        <w:tc>
          <w:tcPr>
            <w:tcW w:w="505" w:type="dxa"/>
            <w:vAlign w:val="center"/>
          </w:tcPr>
          <w:p w14:paraId="68960164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505" w:type="dxa"/>
            <w:vAlign w:val="center"/>
          </w:tcPr>
          <w:p w14:paraId="310947E0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项</w:t>
            </w:r>
          </w:p>
        </w:tc>
        <w:tc>
          <w:tcPr>
            <w:tcW w:w="4348" w:type="dxa"/>
            <w:vAlign w:val="center"/>
          </w:tcPr>
          <w:p w14:paraId="6C3E6666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结合“十五五”规划、重大战略，更新重点项目清单，完成落图落位与合规性校核</w:t>
            </w:r>
            <w:r>
              <w:rPr>
                <w:rFonts w:hint="eastAsia" w:eastAsia="宋体" w:cs="宋体"/>
                <w:sz w:val="24"/>
                <w:szCs w:val="24"/>
                <w:lang w:eastAsia="zh-CN" w:bidi="ar"/>
              </w:rPr>
              <w:t>，编制一期零星城镇综合论证报告</w:t>
            </w:r>
          </w:p>
        </w:tc>
        <w:tc>
          <w:tcPr>
            <w:tcW w:w="1126" w:type="dxa"/>
            <w:vAlign w:val="center"/>
          </w:tcPr>
          <w:p w14:paraId="391104C6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</w:p>
        </w:tc>
      </w:tr>
      <w:tr w14:paraId="669E73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  <w:jc w:val="center"/>
        </w:trPr>
        <w:tc>
          <w:tcPr>
            <w:tcW w:w="440" w:type="dxa"/>
            <w:vAlign w:val="center"/>
          </w:tcPr>
          <w:p w14:paraId="6F1BB85E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bookmarkStart w:id="4" w:name="OLE_LINK2" w:colFirst="1" w:colLast="3"/>
            <w:r>
              <w:rPr>
                <w:rFonts w:hint="eastAsia" w:cs="宋体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3012" w:type="dxa"/>
            <w:vAlign w:val="center"/>
          </w:tcPr>
          <w:p w14:paraId="388932BF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城市重要控制线动态维护</w:t>
            </w:r>
          </w:p>
        </w:tc>
        <w:tc>
          <w:tcPr>
            <w:tcW w:w="505" w:type="dxa"/>
            <w:vAlign w:val="center"/>
          </w:tcPr>
          <w:p w14:paraId="10FB2D50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505" w:type="dxa"/>
            <w:vAlign w:val="center"/>
          </w:tcPr>
          <w:p w14:paraId="335D899E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项</w:t>
            </w:r>
          </w:p>
        </w:tc>
        <w:tc>
          <w:tcPr>
            <w:tcW w:w="4348" w:type="dxa"/>
            <w:vAlign w:val="center"/>
          </w:tcPr>
          <w:p w14:paraId="4AB89841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对城市绿线、蓝线、紫线、黄线等重要控制线开展动态维护</w:t>
            </w:r>
          </w:p>
        </w:tc>
        <w:tc>
          <w:tcPr>
            <w:tcW w:w="1126" w:type="dxa"/>
            <w:vAlign w:val="center"/>
          </w:tcPr>
          <w:p w14:paraId="616D4D69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</w:p>
        </w:tc>
      </w:tr>
      <w:tr w14:paraId="75AA3F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440" w:type="dxa"/>
            <w:vAlign w:val="center"/>
          </w:tcPr>
          <w:p w14:paraId="65234576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cs="宋体"/>
                <w:sz w:val="24"/>
                <w:szCs w:val="24"/>
                <w:lang w:eastAsia="zh-CN" w:bidi="ar"/>
              </w:rPr>
              <w:t>7</w:t>
            </w:r>
          </w:p>
        </w:tc>
        <w:tc>
          <w:tcPr>
            <w:tcW w:w="3012" w:type="dxa"/>
            <w:vAlign w:val="center"/>
          </w:tcPr>
          <w:p w14:paraId="67100AF1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成果汇报与专家评审服务</w:t>
            </w:r>
          </w:p>
        </w:tc>
        <w:tc>
          <w:tcPr>
            <w:tcW w:w="505" w:type="dxa"/>
            <w:vAlign w:val="center"/>
          </w:tcPr>
          <w:p w14:paraId="17B117D7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505" w:type="dxa"/>
            <w:vAlign w:val="center"/>
          </w:tcPr>
          <w:p w14:paraId="5814215F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项</w:t>
            </w:r>
          </w:p>
        </w:tc>
        <w:tc>
          <w:tcPr>
            <w:tcW w:w="4348" w:type="dxa"/>
            <w:vAlign w:val="center"/>
          </w:tcPr>
          <w:p w14:paraId="4D8BB39B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组织专家评审会（含省级部门评审）</w:t>
            </w:r>
          </w:p>
        </w:tc>
        <w:tc>
          <w:tcPr>
            <w:tcW w:w="1126" w:type="dxa"/>
            <w:vAlign w:val="center"/>
          </w:tcPr>
          <w:p w14:paraId="4E41ED84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</w:p>
        </w:tc>
      </w:tr>
      <w:tr w14:paraId="4A176E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8" w:hRule="atLeast"/>
          <w:jc w:val="center"/>
        </w:trPr>
        <w:tc>
          <w:tcPr>
            <w:tcW w:w="440" w:type="dxa"/>
            <w:vAlign w:val="center"/>
          </w:tcPr>
          <w:p w14:paraId="6EC95DB6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cs="宋体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3012" w:type="dxa"/>
            <w:vAlign w:val="center"/>
          </w:tcPr>
          <w:p w14:paraId="1240F067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后续技术支撑服务</w:t>
            </w:r>
          </w:p>
        </w:tc>
        <w:tc>
          <w:tcPr>
            <w:tcW w:w="505" w:type="dxa"/>
            <w:vAlign w:val="center"/>
          </w:tcPr>
          <w:p w14:paraId="21D89FA3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505" w:type="dxa"/>
            <w:vAlign w:val="center"/>
          </w:tcPr>
          <w:p w14:paraId="45E3E771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项</w:t>
            </w:r>
          </w:p>
        </w:tc>
        <w:tc>
          <w:tcPr>
            <w:tcW w:w="4348" w:type="dxa"/>
            <w:vAlign w:val="center"/>
          </w:tcPr>
          <w:p w14:paraId="6AEE8EDA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提供项目实施过程中（至项目竣工验收合格止）方案实施过程中的技术咨询、数据更新等服务。</w:t>
            </w:r>
          </w:p>
        </w:tc>
        <w:tc>
          <w:tcPr>
            <w:tcW w:w="1126" w:type="dxa"/>
            <w:vAlign w:val="center"/>
          </w:tcPr>
          <w:p w14:paraId="35880ACA"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</w:p>
        </w:tc>
      </w:tr>
      <w:bookmarkEnd w:id="0"/>
      <w:bookmarkEnd w:id="4"/>
    </w:tbl>
    <w:p w14:paraId="38A0A2F3">
      <w:pPr>
        <w:kinsoku/>
        <w:autoSpaceDE/>
        <w:autoSpaceDN/>
        <w:adjustRightInd/>
        <w:snapToGrid/>
        <w:spacing w:line="360" w:lineRule="auto"/>
        <w:textAlignment w:val="auto"/>
        <w:rPr>
          <w:rFonts w:eastAsia="宋体" w:cs="宋体"/>
          <w:b/>
          <w:bCs/>
          <w:sz w:val="24"/>
          <w:szCs w:val="24"/>
          <w:lang w:eastAsia="zh-CN" w:bidi="ar"/>
        </w:rPr>
      </w:pPr>
    </w:p>
    <w:p w14:paraId="48F74E91">
      <w:pPr>
        <w:kinsoku/>
        <w:autoSpaceDE/>
        <w:autoSpaceDN/>
        <w:adjustRightInd/>
        <w:snapToGrid/>
        <w:spacing w:line="360" w:lineRule="auto"/>
        <w:textAlignment w:val="auto"/>
        <w:rPr>
          <w:rFonts w:eastAsia="宋体" w:cs="宋体"/>
          <w:b/>
          <w:bCs/>
          <w:sz w:val="24"/>
          <w:szCs w:val="24"/>
          <w:lang w:eastAsia="zh-CN" w:bidi="ar"/>
        </w:rPr>
      </w:pPr>
      <w:r>
        <w:rPr>
          <w:rFonts w:hint="eastAsia" w:eastAsia="宋体" w:cs="宋体"/>
          <w:b/>
          <w:bCs/>
          <w:sz w:val="24"/>
          <w:szCs w:val="24"/>
          <w:lang w:eastAsia="zh-CN" w:bidi="ar"/>
        </w:rPr>
        <w:t>备注说明：1.以上工作内容须按照自然资源部自然资发〔2026〕38 号文等文件要求，结合江西省及九江市相关规定执行，如有遗漏，以最新政策文件为准增加服务内容，相关费用包含在报价中，采购方不再额外付费。</w:t>
      </w:r>
    </w:p>
    <w:p w14:paraId="046A36F1">
      <w:pPr>
        <w:kinsoku/>
        <w:autoSpaceDE/>
        <w:autoSpaceDN/>
        <w:adjustRightInd/>
        <w:snapToGrid/>
        <w:spacing w:line="360" w:lineRule="auto"/>
        <w:textAlignment w:val="auto"/>
        <w:rPr>
          <w:rFonts w:ascii="宋体" w:hAnsi="宋体" w:eastAsia="宋体" w:cs="宋体"/>
          <w:b/>
          <w:bCs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 w:bidi="ar"/>
        </w:rPr>
        <w:t>2.动态维护须坚守不突破保护目标、不改变总体格局、不突破约束指标底线，仅开展正向优化调整。</w:t>
      </w:r>
    </w:p>
    <w:p w14:paraId="7B873540">
      <w:pPr>
        <w:kinsoku/>
        <w:autoSpaceDE/>
        <w:autoSpaceDN/>
        <w:adjustRightInd/>
        <w:snapToGrid/>
        <w:spacing w:line="360" w:lineRule="auto"/>
        <w:textAlignment w:val="auto"/>
        <w:rPr>
          <w:rFonts w:eastAsia="宋体" w:cs="宋体"/>
          <w:sz w:val="24"/>
          <w:szCs w:val="24"/>
          <w:lang w:eastAsia="zh-CN" w:bidi="ar"/>
        </w:rPr>
      </w:pPr>
    </w:p>
    <w:p w14:paraId="42F70ABA">
      <w:pPr>
        <w:kinsoku/>
        <w:autoSpaceDE/>
        <w:autoSpaceDN/>
        <w:adjustRightInd/>
        <w:snapToGrid/>
        <w:spacing w:line="360" w:lineRule="auto"/>
        <w:textAlignment w:val="auto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eastAsia="宋体" w:cs="宋体"/>
          <w:sz w:val="24"/>
          <w:szCs w:val="24"/>
          <w:lang w:eastAsia="zh-CN" w:bidi="ar"/>
        </w:rPr>
        <w:t>2</w:t>
      </w:r>
      <w:r>
        <w:rPr>
          <w:rFonts w:hint="eastAsia" w:ascii="宋体" w:hAnsi="宋体" w:eastAsia="宋体" w:cs="宋体"/>
          <w:sz w:val="24"/>
          <w:szCs w:val="24"/>
          <w:lang w:eastAsia="zh-CN" w:bidi="ar"/>
        </w:rPr>
        <w:t xml:space="preserve">.项目总体要求： </w:t>
      </w:r>
    </w:p>
    <w:p w14:paraId="7595B1EC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国土空间规划动态维护是保障规划权威性、适应性的重要手段。为贯彻落实《自然资源部关于做好城镇开发边界管理的通知（试行）》（自然资发〔2023〕193号）</w:t>
      </w:r>
      <w:r>
        <w:rPr>
          <w:rFonts w:hint="eastAsia" w:eastAsia="宋体" w:cs="宋体"/>
          <w:sz w:val="24"/>
          <w:szCs w:val="24"/>
          <w:lang w:eastAsia="zh-CN" w:bidi="ar"/>
        </w:rPr>
        <w:t>、</w:t>
      </w: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自然资源部自然资发〔2026〕38号文关于建立国土空间规划动态维护机制</w:t>
      </w:r>
      <w:r>
        <w:rPr>
          <w:rFonts w:hint="eastAsia" w:eastAsia="宋体" w:cs="宋体"/>
          <w:sz w:val="24"/>
          <w:szCs w:val="24"/>
          <w:lang w:eastAsia="zh-CN" w:bidi="ar"/>
        </w:rPr>
        <w:t>的</w:t>
      </w: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工作要求</w:t>
      </w:r>
      <w:r>
        <w:rPr>
          <w:rFonts w:hint="eastAsia" w:eastAsia="宋体" w:cs="宋体"/>
          <w:sz w:val="24"/>
          <w:szCs w:val="24"/>
          <w:lang w:eastAsia="zh-CN" w:bidi="ar"/>
        </w:rPr>
        <w:t>，</w:t>
      </w: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结合“十五五”规划前期谋划，开展修水县国土空间总体规划动态维护。通过年度体检评估，全面掌握规划实施情况，针对三条控制线、规划分区、重点建设项目等内容进行适应性调整，确保规划始终符合国家和区域战略部署，支撑地方经济社会高质量发展。</w:t>
      </w:r>
    </w:p>
    <w:p w14:paraId="58F09960">
      <w:pPr>
        <w:kinsoku/>
        <w:autoSpaceDE/>
        <w:autoSpaceDN/>
        <w:adjustRightInd/>
        <w:snapToGrid/>
        <w:spacing w:line="360" w:lineRule="auto"/>
        <w:textAlignment w:val="auto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eastAsia="宋体" w:cs="宋体"/>
          <w:sz w:val="24"/>
          <w:szCs w:val="24"/>
          <w:lang w:eastAsia="zh-CN" w:bidi="ar"/>
        </w:rPr>
        <w:t>3</w:t>
      </w: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.</w:t>
      </w:r>
      <w:r>
        <w:rPr>
          <w:rFonts w:hint="eastAsia" w:eastAsia="宋体" w:cs="宋体"/>
          <w:sz w:val="24"/>
          <w:szCs w:val="24"/>
          <w:lang w:eastAsia="zh-CN" w:bidi="ar"/>
        </w:rPr>
        <w:t>动态维护</w:t>
      </w:r>
      <w:r>
        <w:rPr>
          <w:rFonts w:hint="eastAsia" w:ascii="宋体" w:hAnsi="宋体" w:eastAsia="宋体" w:cs="宋体"/>
          <w:sz w:val="24"/>
          <w:szCs w:val="24"/>
          <w:lang w:eastAsia="zh-CN" w:bidi="ar"/>
        </w:rPr>
        <w:t xml:space="preserve">目标： </w:t>
      </w:r>
    </w:p>
    <w:p w14:paraId="0C2BC0BF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（1）深化落实目标战略：衔接“十五五”发展规划、县域发展轴、重大产业布局等，完善发展定位与空间策略。</w:t>
      </w:r>
    </w:p>
    <w:p w14:paraId="17A66C08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（2）优化重要控制线：合理调整三条控制线，促进耕地集中连片、生态系统完整、城镇紧凑集约。</w:t>
      </w:r>
    </w:p>
    <w:p w14:paraId="219CB920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（3）完善中心城区功能：优化用地结构，补充公共服务短板，提升城市韧性。</w:t>
      </w:r>
    </w:p>
    <w:p w14:paraId="1E3EA9BD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（4）统筹城乡融合发展：加强城乡要素流动，保障农村一二三产业融合空间需求。</w:t>
      </w:r>
    </w:p>
    <w:p w14:paraId="4A919543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（5）重点项目保障：精准更新重点项目清单，提高规划对重点建设的支撑力。</w:t>
      </w:r>
    </w:p>
    <w:p w14:paraId="1DF80239">
      <w:pPr>
        <w:kinsoku/>
        <w:autoSpaceDE/>
        <w:autoSpaceDN/>
        <w:adjustRightInd/>
        <w:snapToGrid/>
        <w:spacing w:line="360" w:lineRule="auto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eastAsia="宋体" w:cs="宋体"/>
          <w:sz w:val="24"/>
          <w:szCs w:val="24"/>
          <w:lang w:eastAsia="zh-CN" w:bidi="ar"/>
        </w:rPr>
        <w:t>4</w:t>
      </w: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.服务要求：</w:t>
      </w:r>
    </w:p>
    <w:p w14:paraId="4DC815F4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（1）规划实施体检评估</w:t>
      </w:r>
    </w:p>
    <w:p w14:paraId="0A4E4900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基于国土空间总体规划批复要求，利用最新国土变更调查等数据，对耕地保有量、永久基本农田保护面积、生态保护红线面积、城镇开发边界扩展倍数等核心指标进行逐项评估；分析用地结构、人口城镇化、重大项目建设等情况；识别空间矛盾与风险，形成问题清单与优化建议。评估结论须明确“继续沿用、动态维护或规划修改”的建议。</w:t>
      </w:r>
    </w:p>
    <w:p w14:paraId="4462A6A9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（2）三条控制线动态维护</w:t>
      </w:r>
    </w:p>
    <w:p w14:paraId="42D85153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耕地和永久基本农田：调入地块优先采用已建成高标准农田、集中连片优质耕地、土地综合整治新增耕地等；调出地块须符合零星破碎、不适宜耕种、已批准建设用地等情形。确保维护后保护面积不减少、质量有提升、布局更优化。</w:t>
      </w:r>
    </w:p>
    <w:p w14:paraId="640AA4E7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生态保护红线：根据自然保护地整合优化、饮用水水源保护区调整等信息，确需勘正的，按规定联动调整；调入区域限于新增重要生态空间或天然林等。</w:t>
      </w:r>
    </w:p>
    <w:p w14:paraId="3629C90E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城镇开发边界：在扩展倍数不增加前提下，可进行局部优化。调入应主要用于保障“十五五”重大项目、开发区合规扩展、民生设施等，调入新增独立图斑原则上不小于150亩且与现有边界保持500米空间连接；调出主要针对15亩以下零碎斑、不适宜建设区域、详细规划明确的非建设用地等。</w:t>
      </w:r>
    </w:p>
    <w:p w14:paraId="39070C38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（3）规划分区与用地布局维护</w:t>
      </w:r>
    </w:p>
    <w:p w14:paraId="323E6CC4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联动三条控制线调整，更新县域用途分区；中心城区用地布局维护需保持总体格局稳定，教育、医疗、养老等公共服务设施用地标准不降低，道路网密度、公园绿地覆盖率有提升，用地结构更趋合理。</w:t>
      </w:r>
    </w:p>
    <w:p w14:paraId="306C15A9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（4）城市重要控制线维护</w:t>
      </w:r>
    </w:p>
    <w:p w14:paraId="2859538C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在确保布局基本稳定、规模不减少、功能不降低的前提下，依据最新专项规划，对绿线、蓝线、黄线、紫线等控制线进行校核更新，协调矛盾冲突。</w:t>
      </w:r>
    </w:p>
    <w:p w14:paraId="2FAE563C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（5）重点建设项目清单更新</w:t>
      </w:r>
    </w:p>
    <w:p w14:paraId="03632EBC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分类梳理原清单项目，对已落实或不再实施的项目予以撤销；新增项目须提供政策依据或政府批复文件，明确选址、规模和用地指标，并附举证材料。清单更新后应能体现对县域发展轴和“十五五”规划的支撑。结合项目，编制一期零星城镇建设用地综合论证报告。</w:t>
      </w:r>
    </w:p>
    <w:p w14:paraId="17ECF578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（6）数据库与成果编制</w:t>
      </w:r>
    </w:p>
    <w:p w14:paraId="64A8EC49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成果数据采用2000国家大地坐标系和1985国家高程基准，基于ArcGIS平台，数据库结构需包含规划实施层、更新层、维护层和成果层。图件必须包括：规划实施情况图、维护前后控制线对比图</w:t>
      </w:r>
      <w:r>
        <w:rPr>
          <w:rFonts w:hint="eastAsia" w:eastAsia="宋体" w:cs="宋体"/>
          <w:sz w:val="24"/>
          <w:szCs w:val="24"/>
          <w:lang w:eastAsia="zh-CN" w:bidi="ar"/>
        </w:rPr>
        <w:t>、</w:t>
      </w: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中心城区用地规划图等，满足汇交要求。</w:t>
      </w:r>
    </w:p>
    <w:p w14:paraId="450E2CA8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（7）专家评审与后续服务</w:t>
      </w:r>
    </w:p>
    <w:p w14:paraId="3C7FF374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成果需通过省级自然资源部门组织的专家评审，专家组成员应为省级及以上专家库成员。后续服务期内，根据国家、省、市政策变化，及时提供数据更新与技术咨询。</w:t>
      </w:r>
    </w:p>
    <w:p w14:paraId="5BBF4A8E">
      <w:pPr>
        <w:kinsoku/>
        <w:autoSpaceDE/>
        <w:autoSpaceDN/>
        <w:adjustRightInd/>
        <w:snapToGrid/>
        <w:spacing w:line="360" w:lineRule="auto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eastAsia="宋体" w:cs="宋体"/>
          <w:sz w:val="24"/>
          <w:szCs w:val="24"/>
          <w:lang w:eastAsia="zh-CN" w:bidi="ar"/>
        </w:rPr>
        <w:t>5</w:t>
      </w: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.成果内容：</w:t>
      </w:r>
    </w:p>
    <w:p w14:paraId="6BA5F9EC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（1）修水县国土空间规划实施体检评估和动态维护方案文本</w:t>
      </w:r>
    </w:p>
    <w:p w14:paraId="4FEAB1A4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（2）动态维护图集：实施情况图、维护前后对比图、维护后重要控制线图、中心城区用地规划图等</w:t>
      </w:r>
    </w:p>
    <w:p w14:paraId="5A6DBB51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（3）数据库（GIS格式，含矢量数据、表格、元数据等）</w:t>
      </w:r>
    </w:p>
    <w:p w14:paraId="6540DF10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  <w:r>
        <w:rPr>
          <w:rFonts w:hint="eastAsia" w:ascii="宋体" w:hAnsi="宋体" w:eastAsia="宋体" w:cs="宋体"/>
          <w:sz w:val="24"/>
          <w:szCs w:val="24"/>
          <w:lang w:eastAsia="zh-CN" w:bidi="ar"/>
        </w:rPr>
        <w:t>（4）附件：体检评估报告、</w:t>
      </w:r>
      <w:bookmarkStart w:id="5" w:name="_GoBack"/>
      <w:bookmarkEnd w:id="5"/>
      <w:r>
        <w:rPr>
          <w:rFonts w:hint="eastAsia" w:ascii="宋体" w:hAnsi="宋体" w:eastAsia="宋体" w:cs="宋体"/>
          <w:sz w:val="24"/>
          <w:szCs w:val="24"/>
          <w:lang w:eastAsia="zh-CN" w:bidi="ar"/>
        </w:rPr>
        <w:t>专家论证意见、部门征求意见材料、举证材料汇编等。</w:t>
      </w:r>
    </w:p>
    <w:p w14:paraId="5436037A">
      <w:pPr>
        <w:kinsoku/>
        <w:autoSpaceDE/>
        <w:autoSpaceDN/>
        <w:adjustRightInd/>
        <w:snapToGrid/>
        <w:spacing w:line="360" w:lineRule="auto"/>
        <w:ind w:firstLine="480" w:firstLineChars="200"/>
        <w:textAlignment w:val="auto"/>
        <w:rPr>
          <w:rFonts w:ascii="宋体" w:hAnsi="宋体" w:eastAsia="宋体" w:cs="宋体"/>
          <w:sz w:val="24"/>
          <w:szCs w:val="24"/>
          <w:lang w:eastAsia="zh-CN" w:bidi="ar"/>
        </w:rPr>
      </w:pPr>
    </w:p>
    <w:p w14:paraId="771094DD">
      <w:pPr>
        <w:widowControl w:val="0"/>
        <w:spacing w:line="245" w:lineRule="auto"/>
        <w:rPr>
          <w:color w:val="auto"/>
          <w:lang w:eastAsia="zh-CN"/>
        </w:rPr>
      </w:pPr>
    </w:p>
    <w:p w14:paraId="11AC02B0"/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97017E"/>
    <w:rsid w:val="25970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2026-06-25T08:47:00Z</dcterms:created>
  <dc:creator>MLGT</dc:creator>
  <cp:lastModifiedBy>MLGT</cp:lastModifiedBy>
  <dcterms:modified xsi:type="dcterms:W3CDTF">2026-06-25T08:47:48Z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DB4A5ABFCC894E9DB0634EF79B32CC72_11</vt:lpwstr>
  </property>
  <property fmtid="{D5CDD505-2E9C-101B-9397-08002B2CF9AE}" pid="4" name="KSOTemplateDocerSaveRecord">
    <vt:lpwstr>eyJoZGlkIjoiYzZmMThjODM2MDA3YTZhM2VhMDQ5NmQxODVkYTNjMGEiLCJ1c2VySWQiOiIzMzc3NTYxNDAifQ==</vt:lpwstr>
  </property>
</Properties>
</file>