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F51B27">
      <w:pPr>
        <w:pageBreakBefore w:val="0"/>
        <w:widowControl w:val="0"/>
        <w:wordWrap/>
        <w:overflowPunct/>
        <w:topLinePunct w:val="0"/>
        <w:bidi w:val="0"/>
        <w:spacing w:before="47" w:line="219" w:lineRule="auto"/>
        <w:jc w:val="center"/>
        <w:outlineLvl w:val="1"/>
        <w:rPr>
          <w:rFonts w:hint="eastAsia" w:ascii="仿宋" w:hAnsi="仿宋" w:eastAsia="仿宋" w:cs="仿宋"/>
          <w:color w:val="auto"/>
          <w:spacing w:val="0"/>
          <w:position w:val="0"/>
          <w:sz w:val="24"/>
          <w:szCs w:val="24"/>
          <w:highlight w:val="none"/>
        </w:rPr>
      </w:pPr>
      <w:r>
        <w:rPr>
          <w:rFonts w:hint="eastAsia" w:ascii="仿宋" w:hAnsi="仿宋" w:eastAsia="仿宋" w:cs="仿宋"/>
          <w:color w:val="auto"/>
          <w:spacing w:val="0"/>
          <w:position w:val="0"/>
          <w:sz w:val="31"/>
          <w:szCs w:val="31"/>
          <w:highlight w:val="none"/>
          <w:lang w:eastAsia="zh-CN"/>
          <w14:textOutline w14:w="5791" w14:cap="sq" w14:cmpd="sng" w14:algn="ctr">
            <w14:solidFill>
              <w14:srgbClr w14:val="000000"/>
            </w14:solidFill>
            <w14:prstDash w14:val="solid"/>
            <w14:bevel/>
          </w14:textOutline>
        </w:rPr>
        <w:t>第六章</w:t>
      </w:r>
      <w:r>
        <w:rPr>
          <w:rFonts w:hint="eastAsia" w:ascii="仿宋" w:hAnsi="仿宋" w:eastAsia="仿宋" w:cs="仿宋"/>
          <w:color w:val="auto"/>
          <w:spacing w:val="0"/>
          <w:position w:val="0"/>
          <w:sz w:val="31"/>
          <w:szCs w:val="31"/>
          <w:highlight w:val="none"/>
          <w:lang w:val="en-US" w:eastAsia="zh-CN"/>
          <w14:textOutline w14:w="5791" w14:cap="sq" w14:cmpd="sng" w14:algn="ctr">
            <w14:solidFill>
              <w14:srgbClr w14:val="000000"/>
            </w14:solidFill>
            <w14:prstDash w14:val="solid"/>
            <w14:bevel/>
          </w14:textOutline>
        </w:rPr>
        <w:t xml:space="preserve">  </w:t>
      </w:r>
      <w:r>
        <w:rPr>
          <w:rFonts w:hint="eastAsia" w:ascii="仿宋" w:hAnsi="仿宋" w:eastAsia="仿宋" w:cs="仿宋"/>
          <w:color w:val="auto"/>
          <w:spacing w:val="0"/>
          <w:position w:val="0"/>
          <w:sz w:val="31"/>
          <w:szCs w:val="31"/>
          <w:highlight w:val="none"/>
          <w:lang w:eastAsia="zh-CN"/>
          <w14:textOutline w14:w="5791" w14:cap="sq" w14:cmpd="sng" w14:algn="ctr">
            <w14:solidFill>
              <w14:srgbClr w14:val="000000"/>
            </w14:solidFill>
            <w14:prstDash w14:val="solid"/>
            <w14:bevel/>
          </w14:textOutline>
        </w:rPr>
        <w:t>采购需求</w:t>
      </w:r>
    </w:p>
    <w:p w14:paraId="38D1FD6E">
      <w:pPr>
        <w:keepNext w:val="0"/>
        <w:keepLines w:val="0"/>
        <w:pageBreakBefore w:val="0"/>
        <w:widowControl/>
        <w:suppressLineNumbers w:val="0"/>
        <w:kinsoku w:val="0"/>
        <w:wordWrap/>
        <w:overflowPunct/>
        <w:topLinePunct w:val="0"/>
        <w:autoSpaceDE w:val="0"/>
        <w:autoSpaceDN w:val="0"/>
        <w:bidi w:val="0"/>
        <w:adjustRightInd w:val="0"/>
        <w:snapToGrid w:val="0"/>
        <w:spacing w:line="336" w:lineRule="auto"/>
        <w:jc w:val="left"/>
        <w:textAlignment w:val="baseline"/>
        <w:rPr>
          <w:color w:val="auto"/>
          <w:highlight w:val="none"/>
        </w:rPr>
      </w:pPr>
      <w:r>
        <w:rPr>
          <w:rFonts w:hint="eastAsia" w:ascii="仿宋" w:hAnsi="仿宋" w:eastAsia="仿宋" w:cs="仿宋"/>
          <w:b/>
          <w:bCs/>
          <w:snapToGrid w:val="0"/>
          <w:color w:val="auto"/>
          <w:kern w:val="0"/>
          <w:sz w:val="28"/>
          <w:szCs w:val="28"/>
          <w:highlight w:val="none"/>
          <w:lang w:val="en-US" w:eastAsia="zh-CN" w:bidi="ar"/>
        </w:rPr>
        <w:t>一</w:t>
      </w:r>
      <w:r>
        <w:rPr>
          <w:rFonts w:ascii="仿宋" w:hAnsi="仿宋" w:eastAsia="仿宋" w:cs="仿宋"/>
          <w:b/>
          <w:bCs/>
          <w:snapToGrid w:val="0"/>
          <w:color w:val="auto"/>
          <w:kern w:val="0"/>
          <w:sz w:val="28"/>
          <w:szCs w:val="28"/>
          <w:highlight w:val="none"/>
          <w:lang w:val="en-US" w:eastAsia="zh-CN" w:bidi="ar"/>
        </w:rPr>
        <w:t>、项目概况</w:t>
      </w:r>
    </w:p>
    <w:p w14:paraId="20C70CA2">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default"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1.1 建设地点</w:t>
      </w:r>
    </w:p>
    <w:p w14:paraId="1698F993">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项目建设地点为萍乡市安源区。</w:t>
      </w:r>
    </w:p>
    <w:p w14:paraId="26F63ACD">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1.2项目规模</w:t>
      </w:r>
    </w:p>
    <w:p w14:paraId="36E130A7">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本次全过程咨询服务内容涉及项目总投资为10236.85万元。资金来源为财政资金。</w:t>
      </w:r>
    </w:p>
    <w:p w14:paraId="43570597">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val="0"/>
          <w:bCs w:val="0"/>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1.3建设内容</w:t>
      </w:r>
      <w:r>
        <w:rPr>
          <w:rFonts w:hint="eastAsia" w:ascii="仿宋" w:hAnsi="仿宋" w:eastAsia="仿宋" w:cs="仿宋"/>
          <w:b/>
          <w:bCs/>
          <w:snapToGrid/>
          <w:color w:val="auto"/>
          <w:kern w:val="2"/>
          <w:sz w:val="24"/>
          <w:szCs w:val="24"/>
          <w:highlight w:val="none"/>
          <w:lang w:val="en-US" w:eastAsia="zh-CN"/>
        </w:rPr>
        <w:br w:type="textWrapping"/>
      </w:r>
      <w:r>
        <w:rPr>
          <w:rFonts w:hint="eastAsia" w:ascii="仿宋" w:hAnsi="仿宋" w:eastAsia="仿宋" w:cs="仿宋"/>
          <w:b w:val="0"/>
          <w:bCs w:val="0"/>
          <w:snapToGrid/>
          <w:color w:val="auto"/>
          <w:kern w:val="2"/>
          <w:sz w:val="24"/>
          <w:szCs w:val="24"/>
          <w:highlight w:val="none"/>
          <w:lang w:val="en-US" w:eastAsia="zh-CN"/>
        </w:rPr>
        <w:t>该项目主要对高坑镇、安源镇、五陂镇DN50-DN400供水管网进行改造共115公里，共涉及户数4520户，改造DN50供水低压管线6.8公里，改造DN75供水低压管线8.8公里，改造DN100供水中压管线25.6公里，改造DN150供水中压管线13.9公里，改造DN200供水中压管线22公里，改造DN250供水中压管线10.3公里，改造DN300供水中压管线16.4公里，改造DN400供水中压管线11.2公里，增设水表2980个，增设二次供水设施7个，增设分区计量装置8个。</w:t>
      </w:r>
    </w:p>
    <w:p w14:paraId="3D56CB90">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b/>
          <w:bCs/>
          <w:snapToGrid w:val="0"/>
          <w:color w:val="auto"/>
          <w:kern w:val="0"/>
          <w:sz w:val="28"/>
          <w:szCs w:val="28"/>
          <w:highlight w:val="none"/>
          <w:lang w:val="en-US" w:eastAsia="zh-CN" w:bidi="ar"/>
        </w:rPr>
      </w:pPr>
      <w:r>
        <w:rPr>
          <w:rFonts w:hint="eastAsia" w:ascii="仿宋" w:hAnsi="仿宋" w:eastAsia="仿宋" w:cs="仿宋"/>
          <w:b/>
          <w:bCs/>
          <w:snapToGrid w:val="0"/>
          <w:color w:val="auto"/>
          <w:kern w:val="0"/>
          <w:sz w:val="28"/>
          <w:szCs w:val="28"/>
          <w:highlight w:val="none"/>
          <w:lang w:val="en-US" w:eastAsia="zh-CN" w:bidi="ar"/>
        </w:rPr>
        <w:t>二、招标控制价</w:t>
      </w:r>
    </w:p>
    <w:p w14:paraId="727ABF5C">
      <w:pPr>
        <w:keepNext w:val="0"/>
        <w:keepLines w:val="0"/>
        <w:pageBreakBefore w:val="0"/>
        <w:kinsoku w:val="0"/>
        <w:wordWrap/>
        <w:overflowPunct/>
        <w:topLinePunct w:val="0"/>
        <w:autoSpaceDE w:val="0"/>
        <w:autoSpaceDN w:val="0"/>
        <w:bidi w:val="0"/>
        <w:adjustRightInd w:val="0"/>
        <w:snapToGrid w:val="0"/>
        <w:spacing w:line="336" w:lineRule="auto"/>
        <w:ind w:firstLine="482" w:firstLineChars="200"/>
        <w:jc w:val="center"/>
        <w:textAlignment w:val="baseline"/>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本项目控制价为413万元，具体如下：</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2235"/>
        <w:gridCol w:w="2631"/>
        <w:gridCol w:w="2137"/>
      </w:tblGrid>
      <w:tr w14:paraId="48080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20" w:type="dxa"/>
            <w:vAlign w:val="center"/>
          </w:tcPr>
          <w:p w14:paraId="6D23D5B6">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序号</w:t>
            </w:r>
          </w:p>
        </w:tc>
        <w:tc>
          <w:tcPr>
            <w:tcW w:w="4866" w:type="dxa"/>
            <w:gridSpan w:val="2"/>
            <w:vAlign w:val="center"/>
          </w:tcPr>
          <w:p w14:paraId="181D3DFC">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eastAsia="zh-CN"/>
              </w:rPr>
            </w:pPr>
            <w:r>
              <w:rPr>
                <w:rFonts w:hint="eastAsia" w:ascii="仿宋" w:hAnsi="仿宋" w:eastAsia="仿宋" w:cs="仿宋"/>
                <w:color w:val="auto"/>
                <w:sz w:val="24"/>
                <w:szCs w:val="24"/>
                <w:highlight w:val="none"/>
                <w:vertAlign w:val="baseline"/>
                <w:lang w:val="en-US" w:eastAsia="zh-CN"/>
              </w:rPr>
              <w:t>名称</w:t>
            </w:r>
          </w:p>
        </w:tc>
        <w:tc>
          <w:tcPr>
            <w:tcW w:w="2137" w:type="dxa"/>
            <w:vAlign w:val="center"/>
          </w:tcPr>
          <w:p w14:paraId="510CC6C5">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控制价（万元）</w:t>
            </w:r>
          </w:p>
        </w:tc>
      </w:tr>
      <w:tr w14:paraId="61539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720" w:type="dxa"/>
            <w:vMerge w:val="restart"/>
            <w:vAlign w:val="center"/>
          </w:tcPr>
          <w:p w14:paraId="03ED572B">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c>
          <w:tcPr>
            <w:tcW w:w="2235" w:type="dxa"/>
            <w:vMerge w:val="restart"/>
            <w:shd w:val="clear" w:color="auto" w:fill="auto"/>
            <w:vAlign w:val="center"/>
          </w:tcPr>
          <w:p w14:paraId="01EBF69E">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萍乡市安源区东北片区供水管网漏损治理二期项目</w:t>
            </w:r>
            <w:r>
              <w:rPr>
                <w:rFonts w:hint="default" w:ascii="仿宋" w:hAnsi="仿宋" w:eastAsia="仿宋" w:cs="仿宋"/>
                <w:color w:val="auto"/>
                <w:sz w:val="24"/>
                <w:szCs w:val="24"/>
                <w:highlight w:val="none"/>
                <w:vertAlign w:val="baseline"/>
                <w:lang w:val="en-US" w:eastAsia="zh-CN"/>
              </w:rPr>
              <w:t>全过程工程咨询服务（项目管理）</w:t>
            </w:r>
          </w:p>
        </w:tc>
        <w:tc>
          <w:tcPr>
            <w:tcW w:w="2631" w:type="dxa"/>
            <w:shd w:val="clear" w:color="auto" w:fill="auto"/>
            <w:vAlign w:val="center"/>
          </w:tcPr>
          <w:p w14:paraId="67F9FE59">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全过程项目管理</w:t>
            </w:r>
          </w:p>
        </w:tc>
        <w:tc>
          <w:tcPr>
            <w:tcW w:w="2137" w:type="dxa"/>
            <w:shd w:val="clear" w:color="auto" w:fill="FFFFFF"/>
            <w:vAlign w:val="center"/>
          </w:tcPr>
          <w:p w14:paraId="70D2AC71">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160</w:t>
            </w:r>
          </w:p>
        </w:tc>
      </w:tr>
      <w:tr w14:paraId="02FE7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720" w:type="dxa"/>
            <w:vMerge w:val="continue"/>
            <w:vAlign w:val="center"/>
          </w:tcPr>
          <w:p w14:paraId="4BDCDE72">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p>
        </w:tc>
        <w:tc>
          <w:tcPr>
            <w:tcW w:w="2235" w:type="dxa"/>
            <w:vMerge w:val="continue"/>
            <w:shd w:val="clear" w:color="auto" w:fill="auto"/>
            <w:vAlign w:val="center"/>
          </w:tcPr>
          <w:p w14:paraId="52CEF2AC">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color w:val="auto"/>
                <w:sz w:val="24"/>
                <w:szCs w:val="24"/>
                <w:highlight w:val="none"/>
                <w:vertAlign w:val="baseline"/>
                <w:lang w:val="en-US" w:eastAsia="zh-CN"/>
              </w:rPr>
            </w:pPr>
          </w:p>
        </w:tc>
        <w:tc>
          <w:tcPr>
            <w:tcW w:w="2631" w:type="dxa"/>
            <w:shd w:val="clear" w:color="auto" w:fill="auto"/>
            <w:vAlign w:val="center"/>
          </w:tcPr>
          <w:p w14:paraId="46C9C759">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施工图审查</w:t>
            </w:r>
          </w:p>
        </w:tc>
        <w:tc>
          <w:tcPr>
            <w:tcW w:w="2137" w:type="dxa"/>
            <w:shd w:val="clear" w:color="auto" w:fill="auto"/>
            <w:vAlign w:val="center"/>
          </w:tcPr>
          <w:p w14:paraId="6FD8FDB7">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12</w:t>
            </w:r>
          </w:p>
        </w:tc>
      </w:tr>
      <w:tr w14:paraId="7564F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720" w:type="dxa"/>
            <w:vMerge w:val="continue"/>
            <w:vAlign w:val="center"/>
          </w:tcPr>
          <w:p w14:paraId="1007A5AB">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p>
        </w:tc>
        <w:tc>
          <w:tcPr>
            <w:tcW w:w="2235" w:type="dxa"/>
            <w:vMerge w:val="continue"/>
            <w:shd w:val="clear" w:color="auto" w:fill="auto"/>
            <w:vAlign w:val="center"/>
          </w:tcPr>
          <w:p w14:paraId="13DCB033">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p>
        </w:tc>
        <w:tc>
          <w:tcPr>
            <w:tcW w:w="2631" w:type="dxa"/>
            <w:shd w:val="clear" w:color="auto" w:fill="auto"/>
            <w:vAlign w:val="center"/>
          </w:tcPr>
          <w:p w14:paraId="69A44C41">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水土保持咨询服务</w:t>
            </w:r>
          </w:p>
        </w:tc>
        <w:tc>
          <w:tcPr>
            <w:tcW w:w="2137" w:type="dxa"/>
            <w:shd w:val="clear" w:color="auto" w:fill="auto"/>
            <w:vAlign w:val="center"/>
          </w:tcPr>
          <w:p w14:paraId="2108979E">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40</w:t>
            </w:r>
          </w:p>
        </w:tc>
      </w:tr>
      <w:tr w14:paraId="47828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720" w:type="dxa"/>
            <w:vMerge w:val="continue"/>
            <w:vAlign w:val="center"/>
          </w:tcPr>
          <w:p w14:paraId="1C914005">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vertAlign w:val="baseline"/>
                <w:lang w:val="en-US" w:eastAsia="zh-CN"/>
              </w:rPr>
            </w:pPr>
          </w:p>
        </w:tc>
        <w:tc>
          <w:tcPr>
            <w:tcW w:w="2235" w:type="dxa"/>
            <w:vMerge w:val="continue"/>
            <w:shd w:val="clear" w:color="auto" w:fill="auto"/>
            <w:vAlign w:val="center"/>
          </w:tcPr>
          <w:p w14:paraId="27EDC55C">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color w:val="auto"/>
                <w:sz w:val="24"/>
                <w:szCs w:val="24"/>
                <w:highlight w:val="none"/>
                <w:vertAlign w:val="baseline"/>
                <w:lang w:val="en-US" w:eastAsia="zh-CN"/>
              </w:rPr>
            </w:pPr>
          </w:p>
        </w:tc>
        <w:tc>
          <w:tcPr>
            <w:tcW w:w="2631" w:type="dxa"/>
            <w:shd w:val="clear" w:color="auto" w:fill="auto"/>
            <w:vAlign w:val="center"/>
          </w:tcPr>
          <w:p w14:paraId="7A484121">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社会稳定性评估报告</w:t>
            </w:r>
          </w:p>
        </w:tc>
        <w:tc>
          <w:tcPr>
            <w:tcW w:w="2137" w:type="dxa"/>
            <w:shd w:val="clear" w:color="auto" w:fill="auto"/>
            <w:vAlign w:val="center"/>
          </w:tcPr>
          <w:p w14:paraId="0BE83F9C">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15</w:t>
            </w:r>
          </w:p>
        </w:tc>
      </w:tr>
      <w:tr w14:paraId="6C77F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720" w:type="dxa"/>
            <w:shd w:val="clear" w:color="auto" w:fill="auto"/>
            <w:vAlign w:val="center"/>
          </w:tcPr>
          <w:p w14:paraId="1CAB1F42">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2</w:t>
            </w:r>
          </w:p>
        </w:tc>
        <w:tc>
          <w:tcPr>
            <w:tcW w:w="4866" w:type="dxa"/>
            <w:gridSpan w:val="2"/>
            <w:shd w:val="clear" w:color="auto" w:fill="auto"/>
            <w:vAlign w:val="center"/>
          </w:tcPr>
          <w:p w14:paraId="0A41CA1A">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snapToGrid w:val="0"/>
                <w:color w:val="auto"/>
                <w:spacing w:val="0"/>
                <w:position w:val="0"/>
                <w:sz w:val="24"/>
                <w:szCs w:val="24"/>
                <w:highlight w:val="none"/>
                <w:lang w:val="en-US" w:eastAsia="zh-CN" w:bidi="ar-SA"/>
              </w:rPr>
              <w:t>萍乡市安源区东北片区供水管网漏损治理二期项目全过程工程咨询服务（工程勘察）</w:t>
            </w:r>
          </w:p>
        </w:tc>
        <w:tc>
          <w:tcPr>
            <w:tcW w:w="2137" w:type="dxa"/>
            <w:shd w:val="clear" w:color="auto" w:fill="auto"/>
            <w:vAlign w:val="center"/>
          </w:tcPr>
          <w:p w14:paraId="372BEF1E">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64</w:t>
            </w:r>
          </w:p>
        </w:tc>
      </w:tr>
      <w:tr w14:paraId="65321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720" w:type="dxa"/>
            <w:shd w:val="clear" w:color="auto" w:fill="auto"/>
            <w:vAlign w:val="center"/>
          </w:tcPr>
          <w:p w14:paraId="422D1A4F">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w:t>
            </w:r>
          </w:p>
        </w:tc>
        <w:tc>
          <w:tcPr>
            <w:tcW w:w="4866" w:type="dxa"/>
            <w:gridSpan w:val="2"/>
            <w:shd w:val="clear" w:color="auto" w:fill="auto"/>
            <w:vAlign w:val="center"/>
          </w:tcPr>
          <w:p w14:paraId="1FFC8F2E">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仿宋" w:hAnsi="仿宋" w:eastAsia="仿宋" w:cs="仿宋"/>
                <w:snapToGrid w:val="0"/>
                <w:color w:val="auto"/>
                <w:spacing w:val="0"/>
                <w:position w:val="0"/>
                <w:sz w:val="24"/>
                <w:szCs w:val="24"/>
                <w:highlight w:val="none"/>
                <w:lang w:val="en-US" w:eastAsia="zh-CN" w:bidi="ar-SA"/>
              </w:rPr>
            </w:pPr>
            <w:r>
              <w:rPr>
                <w:rFonts w:hint="eastAsia" w:ascii="仿宋" w:hAnsi="仿宋" w:eastAsia="仿宋" w:cs="仿宋"/>
                <w:snapToGrid w:val="0"/>
                <w:color w:val="auto"/>
                <w:spacing w:val="0"/>
                <w:position w:val="0"/>
                <w:sz w:val="24"/>
                <w:szCs w:val="24"/>
                <w:highlight w:val="none"/>
                <w:lang w:val="en-US" w:eastAsia="zh-CN" w:bidi="ar-SA"/>
              </w:rPr>
              <w:t>萍乡市安源区东北片区供水管网漏损治理二期项目全过程工程咨询服务（测绘服务）</w:t>
            </w:r>
          </w:p>
        </w:tc>
        <w:tc>
          <w:tcPr>
            <w:tcW w:w="2137" w:type="dxa"/>
            <w:shd w:val="clear" w:color="auto" w:fill="auto"/>
            <w:vAlign w:val="center"/>
          </w:tcPr>
          <w:p w14:paraId="78120482">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w:t>
            </w:r>
          </w:p>
        </w:tc>
      </w:tr>
      <w:tr w14:paraId="6A31C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720" w:type="dxa"/>
            <w:shd w:val="clear" w:color="auto" w:fill="auto"/>
            <w:vAlign w:val="center"/>
          </w:tcPr>
          <w:p w14:paraId="13E44481">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4</w:t>
            </w:r>
          </w:p>
        </w:tc>
        <w:tc>
          <w:tcPr>
            <w:tcW w:w="4866" w:type="dxa"/>
            <w:gridSpan w:val="2"/>
            <w:shd w:val="clear" w:color="auto" w:fill="auto"/>
            <w:vAlign w:val="center"/>
          </w:tcPr>
          <w:p w14:paraId="3601936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snapToGrid w:val="0"/>
                <w:color w:val="auto"/>
                <w:spacing w:val="0"/>
                <w:position w:val="0"/>
                <w:sz w:val="24"/>
                <w:szCs w:val="24"/>
                <w:highlight w:val="none"/>
                <w:lang w:val="en-US" w:eastAsia="zh-CN" w:bidi="ar-SA"/>
              </w:rPr>
              <w:t>萍乡市安源区东北片区供水管网漏损治理二期项目全过程工程咨询服务（工程监理）</w:t>
            </w:r>
          </w:p>
        </w:tc>
        <w:tc>
          <w:tcPr>
            <w:tcW w:w="2137" w:type="dxa"/>
            <w:shd w:val="clear" w:color="auto" w:fill="auto"/>
            <w:vAlign w:val="center"/>
          </w:tcPr>
          <w:p w14:paraId="342F21E3">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snapToGrid w:val="0"/>
                <w:color w:val="auto"/>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112</w:t>
            </w:r>
          </w:p>
        </w:tc>
      </w:tr>
      <w:tr w14:paraId="056E4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5586" w:type="dxa"/>
            <w:gridSpan w:val="3"/>
            <w:vAlign w:val="center"/>
          </w:tcPr>
          <w:p w14:paraId="25C74BA7">
            <w:pPr>
              <w:keepNext w:val="0"/>
              <w:keepLines w:val="0"/>
              <w:pageBreakBefore w:val="0"/>
              <w:widowControl/>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合计</w:t>
            </w:r>
          </w:p>
        </w:tc>
        <w:tc>
          <w:tcPr>
            <w:tcW w:w="2137" w:type="dxa"/>
            <w:vAlign w:val="center"/>
          </w:tcPr>
          <w:p w14:paraId="6B842E70">
            <w:pPr>
              <w:keepNext w:val="0"/>
              <w:keepLines w:val="0"/>
              <w:pageBreakBefore w:val="0"/>
              <w:widowControl w:val="0"/>
              <w:kinsoku w:val="0"/>
              <w:wordWrap/>
              <w:overflowPunct/>
              <w:topLinePunct w:val="0"/>
              <w:autoSpaceDE w:val="0"/>
              <w:autoSpaceDN w:val="0"/>
              <w:bidi w:val="0"/>
              <w:adjustRightInd w:val="0"/>
              <w:snapToGrid w:val="0"/>
              <w:spacing w:line="336" w:lineRule="auto"/>
              <w:jc w:val="center"/>
              <w:textAlignment w:val="baseline"/>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413</w:t>
            </w:r>
          </w:p>
        </w:tc>
      </w:tr>
    </w:tbl>
    <w:p w14:paraId="65E29164">
      <w:pPr>
        <w:rPr>
          <w:rFonts w:hint="eastAsia" w:ascii="仿宋" w:hAnsi="仿宋" w:eastAsia="仿宋" w:cs="仿宋"/>
          <w:b/>
          <w:bCs/>
          <w:snapToGrid w:val="0"/>
          <w:color w:val="auto"/>
          <w:kern w:val="0"/>
          <w:sz w:val="28"/>
          <w:szCs w:val="28"/>
          <w:highlight w:val="none"/>
          <w:lang w:val="en-US" w:eastAsia="zh-CN" w:bidi="ar"/>
        </w:rPr>
      </w:pPr>
      <w:r>
        <w:rPr>
          <w:rFonts w:hint="eastAsia" w:ascii="仿宋" w:hAnsi="仿宋" w:eastAsia="仿宋" w:cs="仿宋"/>
          <w:b/>
          <w:bCs/>
          <w:snapToGrid w:val="0"/>
          <w:color w:val="auto"/>
          <w:kern w:val="0"/>
          <w:sz w:val="28"/>
          <w:szCs w:val="28"/>
          <w:highlight w:val="none"/>
          <w:lang w:val="en-US" w:eastAsia="zh-CN" w:bidi="ar"/>
        </w:rPr>
        <w:br w:type="page"/>
      </w:r>
    </w:p>
    <w:p w14:paraId="13C8AA9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36" w:lineRule="auto"/>
        <w:jc w:val="center"/>
        <w:textAlignment w:val="baseline"/>
        <w:rPr>
          <w:rFonts w:hint="eastAsia" w:ascii="仿宋" w:hAnsi="仿宋" w:eastAsia="仿宋" w:cs="仿宋"/>
          <w:b/>
          <w:bCs/>
          <w:snapToGrid w:val="0"/>
          <w:color w:val="auto"/>
          <w:kern w:val="0"/>
          <w:sz w:val="28"/>
          <w:szCs w:val="28"/>
          <w:highlight w:val="none"/>
          <w:lang w:val="en-US" w:eastAsia="zh-CN" w:bidi="ar"/>
        </w:rPr>
      </w:pPr>
      <w:r>
        <w:rPr>
          <w:rFonts w:hint="eastAsia" w:ascii="仿宋" w:hAnsi="仿宋" w:eastAsia="仿宋" w:cs="仿宋"/>
          <w:b/>
          <w:bCs/>
          <w:snapToGrid w:val="0"/>
          <w:color w:val="auto"/>
          <w:kern w:val="0"/>
          <w:sz w:val="28"/>
          <w:szCs w:val="28"/>
          <w:highlight w:val="none"/>
          <w:lang w:val="en-US" w:eastAsia="zh-CN" w:bidi="ar"/>
        </w:rPr>
        <w:t>三、服务内容 （技术条款）</w:t>
      </w:r>
    </w:p>
    <w:p w14:paraId="64A7F81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36" w:lineRule="auto"/>
        <w:jc w:val="left"/>
        <w:textAlignment w:val="baseline"/>
        <w:rPr>
          <w:rFonts w:hint="eastAsia" w:ascii="仿宋" w:hAnsi="仿宋" w:eastAsia="仿宋" w:cs="仿宋"/>
          <w:b/>
          <w:bCs/>
          <w:snapToGrid w:val="0"/>
          <w:color w:val="auto"/>
          <w:kern w:val="0"/>
          <w:sz w:val="28"/>
          <w:szCs w:val="28"/>
          <w:highlight w:val="none"/>
          <w:lang w:val="en-US" w:eastAsia="zh-CN" w:bidi="ar"/>
        </w:rPr>
      </w:pPr>
      <w:r>
        <w:rPr>
          <w:rFonts w:hint="eastAsia" w:ascii="仿宋" w:hAnsi="仿宋" w:eastAsia="仿宋" w:cs="仿宋"/>
          <w:b/>
          <w:bCs/>
          <w:snapToGrid/>
          <w:color w:val="auto"/>
          <w:kern w:val="2"/>
          <w:sz w:val="24"/>
          <w:szCs w:val="24"/>
          <w:highlight w:val="none"/>
          <w:lang w:val="en-US" w:eastAsia="zh-CN"/>
        </w:rPr>
        <w:t>（一）全过程项目管理</w:t>
      </w:r>
    </w:p>
    <w:p w14:paraId="4C8C8ABB">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1、项目计划统筹与总体管理</w:t>
      </w:r>
    </w:p>
    <w:p w14:paraId="4055BD4C">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1.1制订项目管理具体目标，建立项目管理的组织机构，明确部门及岗位工作职责，分解项目管理的工作内容，制订项目管理工作程序及工作制度，制订各阶段各岗位的人力资源计划。</w:t>
      </w:r>
    </w:p>
    <w:p w14:paraId="340343FA">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1.2编制项目总体进度计划，根据项目实施情况进行动态调整。</w:t>
      </w:r>
    </w:p>
    <w:p w14:paraId="147BE334">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1.3协调项目各层面、各相关单位、各项工作关系，协调项目外部关系。</w:t>
      </w:r>
    </w:p>
    <w:p w14:paraId="253BE934">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2、前期工作管理（含报批报建等）</w:t>
      </w:r>
    </w:p>
    <w:p w14:paraId="6A48AA8B">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2.1根据项目建设内容编制报建报批工作计划，协助建设单位完成项目前期及工程建设期间的各项报批报建手续(包括但不限于: 核准、办理土地、规划、建设等和项目相关的手续)。</w:t>
      </w:r>
    </w:p>
    <w:p w14:paraId="4B4804A1">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2.2督促并配合建设单位办理建设工程施工许可证。</w:t>
      </w:r>
    </w:p>
    <w:p w14:paraId="4F7D1036">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2.3管理施工现场的三通一平，督促落实施工现场通道接口。</w:t>
      </w:r>
    </w:p>
    <w:p w14:paraId="600AB9AC">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3、进度管理</w:t>
      </w:r>
    </w:p>
    <w:p w14:paraId="201931A3">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建立项目的分级计划体制，编制项目进度总控制计划并组织参与项目各方共同修订发布，定期检查工程进度计划的编制与执行情况，并根据情况采取纠偏措施。</w:t>
      </w:r>
    </w:p>
    <w:p w14:paraId="434EE101">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4、质量安全管理</w:t>
      </w:r>
    </w:p>
    <w:p w14:paraId="542847DC">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制订项目整体的质量目标，建立质量工作体系组织参与项目建设的各个单位建立相应的工作体系与工作制度，使之相互协调并监督执行。对工程项目建设全过程中的安全管理提供安全顾问服务，定期进行施工现场检查，提出安全评估报告。</w:t>
      </w:r>
    </w:p>
    <w:p w14:paraId="0ED7B26F">
      <w:pPr>
        <w:keepNext w:val="0"/>
        <w:keepLines w:val="0"/>
        <w:pageBreakBefore w:val="0"/>
        <w:widowControl w:val="0"/>
        <w:numPr>
          <w:ilvl w:val="0"/>
          <w:numId w:val="1"/>
        </w:numPr>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投资控制</w:t>
      </w:r>
    </w:p>
    <w:p w14:paraId="02662FD0">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5.1 建立项目投资控制管理体系，明确投资控制目标、管控流程与岗位职责，对项目估算、概算、预算、合同价、变更签证、结算实行全周期动态管控，确保项目投资控制在批复概算及建设单位投资目标范围内。</w:t>
      </w:r>
    </w:p>
    <w:p w14:paraId="132C228B">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5.2 协助建设单位开展项目投资估算、初步设计概算、施工图预算的复核与审查工作，对比分析概算、预算偏差情况，梳理超概风险点，提出优化建议及控价措施。</w:t>
      </w:r>
    </w:p>
    <w:p w14:paraId="454389E5">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5.3 参与项目各类合同商务条款、计价方式、付款节点、风险范围的审核，配合建设单位完成施工合同、采购合同的造价风险把控，规避不合理计价及超付风险。</w:t>
      </w:r>
    </w:p>
    <w:p w14:paraId="2DAC3C4C">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5.4 建立工程变更、现场签证管理制度，严格把控变更签证的必要性、合理性、经济性，审核变更签证工程量及费用，对不合理变更、超范围签证提出否决及优化意见，杜绝无效投资。</w:t>
      </w:r>
    </w:p>
    <w:p w14:paraId="1457D0BD">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5.5 动态跟踪项目投资执行情况，定期开展投资偏差分析，梳理超概算、超预算风险，编制投资动态分析报告，及时向建设单位预警并提出纠偏、降耗、优化投资的可行措施。</w:t>
      </w:r>
    </w:p>
    <w:p w14:paraId="35DDE31D">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5.6协助建设单位开展材料、设备询价、认价工作，对市场价格、品牌档次、计价标准进行核查，严控材料设备价格虚高，优化设备材料采购成本。</w:t>
      </w:r>
    </w:p>
    <w:p w14:paraId="118CA93C">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5.7建立投资管控台账，对概算执行、合同金额、变更费用、签证费用、已支付工程款、剩余投资额度进行动态台账管理，实现项目投资全过程可追溯、可管控。</w:t>
      </w:r>
    </w:p>
    <w:p w14:paraId="510623E5">
      <w:pPr>
        <w:pStyle w:val="2"/>
        <w:numPr>
          <w:ilvl w:val="0"/>
          <w:numId w:val="0"/>
        </w:numPr>
        <w:rPr>
          <w:rFonts w:hint="default"/>
          <w:color w:val="auto"/>
          <w:highlight w:val="none"/>
          <w:lang w:val="en-US" w:eastAsia="zh-CN"/>
        </w:rPr>
      </w:pPr>
    </w:p>
    <w:p w14:paraId="70FB2639">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6、项目组织协调管理</w:t>
      </w:r>
    </w:p>
    <w:p w14:paraId="6CDC8AFA">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负责组织协调总承包人与参建各方及有关部门的工作，提高项目建设效率。</w:t>
      </w:r>
    </w:p>
    <w:p w14:paraId="016993C5">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7、招标采购管理</w:t>
      </w:r>
    </w:p>
    <w:p w14:paraId="06CFD5D0">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根据项目特点对招标采购内容进行分解，制订招标采购计划，确定招标方式、标段划分等内容，审核设备材料的技术要求及参考品牌等。对招标代理编制的招标文件进行审核。</w:t>
      </w:r>
    </w:p>
    <w:p w14:paraId="4EA3C25E">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8、合同管理</w:t>
      </w:r>
    </w:p>
    <w:p w14:paraId="187D9915">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负责本项目合同的审核、谈判，协助签订；对合同履约、变更、索赔进行管理。</w:t>
      </w:r>
    </w:p>
    <w:p w14:paraId="5916AC92">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9、档案管理（项目档案、归档等所有工作）</w:t>
      </w:r>
    </w:p>
    <w:p w14:paraId="5773FAC0">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9.1根据时间、内容、类型进行分类、编码、归集，高效检索、分享、传递、审批工程项目信息，保存能清楚证明与项目有关的电子、文档资料直至项目移交。</w:t>
      </w:r>
    </w:p>
    <w:p w14:paraId="6F75BE40">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9.2负责对勘察、设计、项目EPC工程总承包单位工程档案的编制工作进行审核，督促各单位编制合格的竣工资料，负责本项目所有竣工资料的收集、整理、汇编，并负责通过档案资料的竣工验收以及移交。</w:t>
      </w:r>
    </w:p>
    <w:p w14:paraId="2291C2DC">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9.3对工程建设过程中如质量、安全、文明施工等信息进行高效的分享、传递、监督、反馈、管理。</w:t>
      </w:r>
    </w:p>
    <w:p w14:paraId="6D5D75B7">
      <w:pPr>
        <w:keepNext w:val="0"/>
        <w:keepLines w:val="0"/>
        <w:pageBreakBefore w:val="0"/>
        <w:widowControl w:val="0"/>
        <w:kinsoku/>
        <w:wordWrap/>
        <w:overflowPunct/>
        <w:topLinePunct w:val="0"/>
        <w:autoSpaceDE/>
        <w:autoSpaceDN/>
        <w:bidi w:val="0"/>
        <w:adjustRightInd/>
        <w:snapToGrid w:val="0"/>
        <w:spacing w:line="336" w:lineRule="auto"/>
        <w:ind w:firstLine="482" w:firstLineChars="200"/>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10、竣工验收及移交管理</w:t>
      </w:r>
    </w:p>
    <w:p w14:paraId="56CED9AF">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10.1提供建设项目竣工验收阶段管理服务，组织项目相关参建各方办理项目专业验收和总体竣工验收申报手续，并协助进行项目专业验收和总体竣工验收，及时督促解决工程竣工验收中发现的工程质量问题。</w:t>
      </w:r>
    </w:p>
    <w:p w14:paraId="29EF4B58">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ascii="仿宋" w:hAnsi="仿宋" w:eastAsia="仿宋" w:cs="仿宋"/>
          <w:color w:val="auto"/>
          <w:sz w:val="24"/>
          <w:szCs w:val="24"/>
          <w:highlight w:val="none"/>
        </w:rPr>
      </w:pPr>
      <w:r>
        <w:rPr>
          <w:rFonts w:hint="eastAsia" w:ascii="仿宋" w:hAnsi="仿宋" w:eastAsia="仿宋" w:cs="仿宋"/>
          <w:snapToGrid/>
          <w:color w:val="auto"/>
          <w:kern w:val="2"/>
          <w:sz w:val="24"/>
          <w:szCs w:val="24"/>
          <w:highlight w:val="none"/>
          <w:lang w:val="en-US" w:eastAsia="zh-CN"/>
        </w:rPr>
        <w:t>10.2负责项目移交工作的管理，包括质量监督、档案验收、工程总结等。</w:t>
      </w:r>
    </w:p>
    <w:p w14:paraId="4BA4840D">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（二）施工图审查</w:t>
      </w:r>
    </w:p>
    <w:p w14:paraId="24D30DB6">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依据国家法定程序，对建设工程施工图设计文件进行技术性审查，确保其符合公共利益、安全及强制性标准，并出具施工图审查合格书。</w:t>
      </w:r>
    </w:p>
    <w:p w14:paraId="0AA74D16">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（三）水土保持咨询服务</w:t>
      </w:r>
    </w:p>
    <w:p w14:paraId="2B2AC9D1">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编制本项目水土保持方案报告书、施工期监测、设施竣工验收技术评估并通过行政主管部门评审。</w:t>
      </w:r>
    </w:p>
    <w:p w14:paraId="0003681D">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（四）社会稳定性评估报告</w:t>
      </w:r>
    </w:p>
    <w:p w14:paraId="2A00BE66">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编制本项目社会稳定性评估报告经政法委备案完成。</w:t>
      </w:r>
    </w:p>
    <w:p w14:paraId="57850725">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（五）工程勘察服务</w:t>
      </w:r>
    </w:p>
    <w:p w14:paraId="2E31A6F0">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default"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包括工程钻探，原位测试，取样试验，内业资料整理等。</w:t>
      </w:r>
    </w:p>
    <w:p w14:paraId="0324CE87">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（六）工程测绘服务</w:t>
      </w:r>
    </w:p>
    <w:p w14:paraId="32CFBE77">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color w:val="auto"/>
          <w:highlight w:val="none"/>
          <w:lang w:val="en-US" w:eastAsia="zh-CN"/>
        </w:rPr>
      </w:pPr>
      <w:r>
        <w:rPr>
          <w:rFonts w:hint="eastAsia" w:ascii="仿宋" w:hAnsi="仿宋" w:eastAsia="仿宋" w:cs="仿宋"/>
          <w:snapToGrid/>
          <w:color w:val="auto"/>
          <w:kern w:val="2"/>
          <w:sz w:val="24"/>
          <w:szCs w:val="24"/>
          <w:highlight w:val="none"/>
          <w:lang w:val="en-US" w:eastAsia="zh-CN"/>
        </w:rPr>
        <w:t>地形测量：控制测量，碎部测量，现场调绘等。</w:t>
      </w:r>
    </w:p>
    <w:p w14:paraId="7CB8D4CE">
      <w:pPr>
        <w:keepNext w:val="0"/>
        <w:keepLines w:val="0"/>
        <w:pageBreakBefore w:val="0"/>
        <w:widowControl w:val="0"/>
        <w:kinsoku/>
        <w:wordWrap/>
        <w:overflowPunct/>
        <w:topLinePunct w:val="0"/>
        <w:autoSpaceDE/>
        <w:autoSpaceDN/>
        <w:bidi w:val="0"/>
        <w:adjustRightInd/>
        <w:snapToGrid w:val="0"/>
        <w:spacing w:line="336" w:lineRule="auto"/>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snapToGrid/>
          <w:color w:val="auto"/>
          <w:kern w:val="2"/>
          <w:sz w:val="24"/>
          <w:szCs w:val="24"/>
          <w:highlight w:val="none"/>
          <w:lang w:val="en-US" w:eastAsia="zh-CN"/>
        </w:rPr>
        <w:t>（七）工程监理</w:t>
      </w:r>
    </w:p>
    <w:p w14:paraId="3B88B523">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本工程建设监理的主要内容是控制工程建设的投资、工程质量、工程进度和安全。进行工程建设合同管理和信息管理，协调有关单位间的工作关系，具体包括但不限于： </w:t>
      </w:r>
    </w:p>
    <w:p w14:paraId="7D8356A3">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1.参加施工图会审和设计交底； </w:t>
      </w:r>
    </w:p>
    <w:p w14:paraId="00C5DFED">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2.参与分项、分部工程、关键工序和隐蔽工程的质量检查和验收； </w:t>
      </w:r>
    </w:p>
    <w:p w14:paraId="5E0FF5DD">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3.审查施工单位选择的分包单位的资质并认可； </w:t>
      </w:r>
    </w:p>
    <w:p w14:paraId="08E37686">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4.审查施工单位提交的施工组织设计、施工技术方案； </w:t>
      </w:r>
    </w:p>
    <w:p w14:paraId="333AF109">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5.编制项目总控计划，并组织协调实施； </w:t>
      </w:r>
    </w:p>
    <w:p w14:paraId="136D6991">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6.审查施工单位开工申请报告； </w:t>
      </w:r>
    </w:p>
    <w:p w14:paraId="7BF23678">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7.审查施工单位质保体系和质保手册并监督实施； </w:t>
      </w:r>
    </w:p>
    <w:p w14:paraId="11DA9F5D">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6.检查现场施工人员中特殊工种持证上岗情况； </w:t>
      </w:r>
    </w:p>
    <w:p w14:paraId="11F350EB">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9.检查施工现场原材料、构件实施进场的验收； </w:t>
      </w:r>
    </w:p>
    <w:p w14:paraId="61D3D263">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10.参加主要设备的现场开箱检查； </w:t>
      </w:r>
    </w:p>
    <w:p w14:paraId="29FA0C91">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11.发现现场存在重大安全隐忠时，有权下达“暂停施工”的通知,并抄报业主； </w:t>
      </w:r>
    </w:p>
    <w:p w14:paraId="47A5ADB0">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12.审查工程形象进度，总监理工程师应签发月进度款，工程款支付必须由总监理工程师签字并加盖执业章； </w:t>
      </w:r>
    </w:p>
    <w:p w14:paraId="1294EF84">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13.监督施工合同的履行,维护业主的正当权益； </w:t>
      </w:r>
    </w:p>
    <w:p w14:paraId="135F65B8">
      <w:pPr>
        <w:keepNext w:val="0"/>
        <w:keepLines w:val="0"/>
        <w:pageBreakBefore w:val="0"/>
        <w:widowControl w:val="0"/>
        <w:kinsoku/>
        <w:wordWrap/>
        <w:overflowPunct/>
        <w:topLinePunct w:val="0"/>
        <w:autoSpaceDE/>
        <w:autoSpaceDN/>
        <w:bidi w:val="0"/>
        <w:adjustRightInd/>
        <w:snapToGrid w:val="0"/>
        <w:spacing w:line="336" w:lineRule="auto"/>
        <w:ind w:firstLine="480" w:firstLineChars="200"/>
        <w:jc w:val="both"/>
        <w:textAlignment w:val="auto"/>
        <w:rPr>
          <w:rFonts w:hint="eastAsia" w:ascii="仿宋" w:hAnsi="仿宋" w:eastAsia="仿宋" w:cs="仿宋"/>
          <w:snapToGrid/>
          <w:color w:val="auto"/>
          <w:kern w:val="2"/>
          <w:sz w:val="24"/>
          <w:szCs w:val="24"/>
          <w:highlight w:val="none"/>
          <w:lang w:val="en-US" w:eastAsia="zh-CN"/>
        </w:rPr>
      </w:pPr>
      <w:r>
        <w:rPr>
          <w:rFonts w:hint="eastAsia" w:ascii="仿宋" w:hAnsi="仿宋" w:eastAsia="仿宋" w:cs="仿宋"/>
          <w:snapToGrid/>
          <w:color w:val="auto"/>
          <w:kern w:val="2"/>
          <w:sz w:val="24"/>
          <w:szCs w:val="24"/>
          <w:highlight w:val="none"/>
          <w:lang w:val="en-US" w:eastAsia="zh-CN"/>
        </w:rPr>
        <w:t xml:space="preserve">14.当发现工程设计不符合国家颁布的建设工程质量标准时,应书面报告业主并提出建议。 </w:t>
      </w:r>
    </w:p>
    <w:p w14:paraId="69959B7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480" w:lineRule="exact"/>
        <w:jc w:val="left"/>
        <w:textAlignment w:val="baseline"/>
        <w:rPr>
          <w:rFonts w:hint="eastAsia"/>
          <w:color w:val="auto"/>
          <w:sz w:val="24"/>
          <w:szCs w:val="24"/>
          <w:highlight w:val="none"/>
          <w:lang w:val="en-US" w:eastAsia="zh-CN"/>
        </w:rPr>
      </w:pPr>
      <w:r>
        <w:rPr>
          <w:rFonts w:hint="eastAsia" w:ascii="仿宋" w:hAnsi="仿宋" w:eastAsia="仿宋" w:cs="仿宋"/>
          <w:b/>
          <w:bCs/>
          <w:snapToGrid w:val="0"/>
          <w:color w:val="auto"/>
          <w:kern w:val="0"/>
          <w:sz w:val="24"/>
          <w:szCs w:val="24"/>
          <w:highlight w:val="none"/>
          <w:lang w:val="en-US" w:eastAsia="zh-CN" w:bidi="ar"/>
        </w:rPr>
        <w:t>（八）人员配备要求（包括但不限于）</w:t>
      </w:r>
    </w:p>
    <w:tbl>
      <w:tblPr>
        <w:tblStyle w:val="6"/>
        <w:tblpPr w:leftFromText="180" w:rightFromText="180" w:vertAnchor="text" w:horzAnchor="page" w:tblpX="1064" w:tblpY="221"/>
        <w:tblOverlap w:val="never"/>
        <w:tblW w:w="587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765"/>
        <w:gridCol w:w="886"/>
        <w:gridCol w:w="4317"/>
        <w:gridCol w:w="1322"/>
        <w:gridCol w:w="1486"/>
      </w:tblGrid>
      <w:tr w14:paraId="19A33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exact"/>
        </w:trPr>
        <w:tc>
          <w:tcPr>
            <w:tcW w:w="903" w:type="pct"/>
            <w:tcBorders>
              <w:right w:val="single" w:color="auto" w:sz="4" w:space="0"/>
            </w:tcBorders>
            <w:vAlign w:val="center"/>
          </w:tcPr>
          <w:p w14:paraId="53C24748">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color w:val="auto"/>
                <w:sz w:val="24"/>
                <w:szCs w:val="24"/>
                <w:highlight w:val="none"/>
              </w:rPr>
            </w:pPr>
            <w:r>
              <w:rPr>
                <w:rFonts w:hint="eastAsia"/>
                <w:color w:val="auto"/>
                <w:sz w:val="24"/>
                <w:szCs w:val="24"/>
                <w:highlight w:val="none"/>
              </w:rPr>
              <w:t>岗位</w:t>
            </w:r>
          </w:p>
        </w:tc>
        <w:tc>
          <w:tcPr>
            <w:tcW w:w="453" w:type="pct"/>
            <w:tcBorders>
              <w:left w:val="single" w:color="auto" w:sz="4" w:space="0"/>
            </w:tcBorders>
            <w:vAlign w:val="center"/>
          </w:tcPr>
          <w:p w14:paraId="29089ACA">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color w:val="auto"/>
                <w:sz w:val="24"/>
                <w:szCs w:val="24"/>
                <w:highlight w:val="none"/>
              </w:rPr>
            </w:pPr>
            <w:r>
              <w:rPr>
                <w:rFonts w:hint="eastAsia"/>
                <w:color w:val="auto"/>
                <w:sz w:val="24"/>
                <w:szCs w:val="24"/>
                <w:highlight w:val="none"/>
              </w:rPr>
              <w:t>人数</w:t>
            </w:r>
          </w:p>
        </w:tc>
        <w:tc>
          <w:tcPr>
            <w:tcW w:w="2208" w:type="pct"/>
            <w:vAlign w:val="center"/>
          </w:tcPr>
          <w:p w14:paraId="6377661C">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color w:val="auto"/>
                <w:sz w:val="24"/>
                <w:szCs w:val="24"/>
                <w:highlight w:val="none"/>
              </w:rPr>
            </w:pPr>
            <w:r>
              <w:rPr>
                <w:rFonts w:hint="eastAsia"/>
                <w:color w:val="auto"/>
                <w:sz w:val="24"/>
                <w:szCs w:val="24"/>
                <w:highlight w:val="none"/>
              </w:rPr>
              <w:t>资格条件</w:t>
            </w:r>
          </w:p>
        </w:tc>
        <w:tc>
          <w:tcPr>
            <w:tcW w:w="676" w:type="pct"/>
            <w:vAlign w:val="center"/>
          </w:tcPr>
          <w:p w14:paraId="3D849594">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color w:val="auto"/>
                <w:sz w:val="24"/>
                <w:szCs w:val="24"/>
                <w:highlight w:val="none"/>
              </w:rPr>
            </w:pPr>
            <w:r>
              <w:rPr>
                <w:rFonts w:hint="eastAsia"/>
                <w:color w:val="auto"/>
                <w:sz w:val="24"/>
                <w:szCs w:val="24"/>
                <w:highlight w:val="none"/>
              </w:rPr>
              <w:t>过程</w:t>
            </w:r>
          </w:p>
        </w:tc>
        <w:tc>
          <w:tcPr>
            <w:tcW w:w="758" w:type="pct"/>
            <w:vAlign w:val="center"/>
          </w:tcPr>
          <w:p w14:paraId="4022D207">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color w:val="auto"/>
                <w:sz w:val="24"/>
                <w:szCs w:val="24"/>
                <w:highlight w:val="none"/>
              </w:rPr>
            </w:pPr>
            <w:r>
              <w:rPr>
                <w:rFonts w:hint="eastAsia"/>
                <w:color w:val="auto"/>
                <w:sz w:val="24"/>
                <w:szCs w:val="24"/>
                <w:highlight w:val="none"/>
              </w:rPr>
              <w:t>备注</w:t>
            </w:r>
          </w:p>
        </w:tc>
      </w:tr>
      <w:tr w14:paraId="1BCE5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exact"/>
        </w:trPr>
        <w:tc>
          <w:tcPr>
            <w:tcW w:w="5000" w:type="pct"/>
            <w:gridSpan w:val="5"/>
            <w:vAlign w:val="center"/>
          </w:tcPr>
          <w:p w14:paraId="6BC93501">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eastAsia="仿宋"/>
                <w:color w:val="auto"/>
                <w:sz w:val="24"/>
                <w:szCs w:val="24"/>
                <w:highlight w:val="none"/>
                <w:lang w:eastAsia="zh-CN"/>
              </w:rPr>
            </w:pPr>
            <w:r>
              <w:rPr>
                <w:rFonts w:hint="eastAsia"/>
                <w:b/>
                <w:bCs/>
                <w:color w:val="auto"/>
                <w:sz w:val="24"/>
                <w:szCs w:val="24"/>
                <w:highlight w:val="none"/>
                <w:lang w:eastAsia="zh-CN"/>
              </w:rPr>
              <w:t>管理人员</w:t>
            </w:r>
          </w:p>
        </w:tc>
      </w:tr>
      <w:tr w14:paraId="03E171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exact"/>
        </w:trPr>
        <w:tc>
          <w:tcPr>
            <w:tcW w:w="903" w:type="pct"/>
            <w:tcBorders>
              <w:right w:val="single" w:color="auto" w:sz="4" w:space="0"/>
            </w:tcBorders>
            <w:vAlign w:val="center"/>
          </w:tcPr>
          <w:p w14:paraId="118C8AA9">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color w:val="auto"/>
                <w:sz w:val="24"/>
                <w:szCs w:val="24"/>
                <w:highlight w:val="none"/>
              </w:rPr>
            </w:pPr>
            <w:r>
              <w:rPr>
                <w:rFonts w:hint="eastAsia"/>
                <w:color w:val="auto"/>
                <w:sz w:val="24"/>
                <w:szCs w:val="24"/>
                <w:highlight w:val="none"/>
              </w:rPr>
              <w:t>项目负责人</w:t>
            </w:r>
          </w:p>
        </w:tc>
        <w:tc>
          <w:tcPr>
            <w:tcW w:w="453" w:type="pct"/>
            <w:tcBorders>
              <w:left w:val="single" w:color="auto" w:sz="4" w:space="0"/>
            </w:tcBorders>
            <w:vAlign w:val="center"/>
          </w:tcPr>
          <w:p w14:paraId="3E2475D5">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color w:val="auto"/>
                <w:sz w:val="24"/>
                <w:szCs w:val="24"/>
                <w:highlight w:val="none"/>
              </w:rPr>
            </w:pPr>
            <w:r>
              <w:rPr>
                <w:rFonts w:hint="eastAsia"/>
                <w:color w:val="auto"/>
                <w:sz w:val="24"/>
                <w:szCs w:val="24"/>
                <w:highlight w:val="none"/>
              </w:rPr>
              <w:t>1人</w:t>
            </w:r>
          </w:p>
        </w:tc>
        <w:tc>
          <w:tcPr>
            <w:tcW w:w="2208" w:type="pct"/>
            <w:vAlign w:val="center"/>
          </w:tcPr>
          <w:p w14:paraId="55669C11">
            <w:pPr>
              <w:keepNext w:val="0"/>
              <w:keepLines w:val="0"/>
              <w:pageBreakBefore w:val="0"/>
              <w:widowControl/>
              <w:suppressLineNumbers w:val="0"/>
              <w:kinsoku w:val="0"/>
              <w:wordWrap/>
              <w:overflowPunct/>
              <w:topLinePunct w:val="0"/>
              <w:autoSpaceDE w:val="0"/>
              <w:autoSpaceDN w:val="0"/>
              <w:bidi w:val="0"/>
              <w:adjustRightInd w:val="0"/>
              <w:snapToGrid w:val="0"/>
              <w:spacing w:line="300" w:lineRule="exact"/>
              <w:jc w:val="center"/>
              <w:textAlignment w:val="baseline"/>
              <w:rPr>
                <w:rFonts w:hint="default" w:ascii="仿宋" w:hAnsi="仿宋" w:eastAsia="仿宋" w:cs="仿宋"/>
                <w:snapToGrid w:val="0"/>
                <w:color w:val="auto"/>
                <w:sz w:val="24"/>
                <w:szCs w:val="24"/>
                <w:highlight w:val="none"/>
                <w:lang w:val="en-US" w:eastAsia="zh-CN" w:bidi="zh-CN"/>
              </w:rPr>
            </w:pPr>
            <w:r>
              <w:rPr>
                <w:rFonts w:ascii="仿宋" w:hAnsi="仿宋" w:eastAsia="仿宋" w:cs="仿宋"/>
                <w:snapToGrid w:val="0"/>
                <w:color w:val="auto"/>
                <w:kern w:val="0"/>
                <w:sz w:val="24"/>
                <w:szCs w:val="24"/>
                <w:highlight w:val="none"/>
                <w:lang w:val="en-US" w:eastAsia="zh-CN" w:bidi="ar"/>
              </w:rPr>
              <w:t>具有</w:t>
            </w:r>
            <w:r>
              <w:rPr>
                <w:rFonts w:hint="eastAsia" w:ascii="仿宋" w:hAnsi="仿宋" w:eastAsia="仿宋" w:cs="仿宋"/>
                <w:snapToGrid w:val="0"/>
                <w:color w:val="auto"/>
                <w:kern w:val="0"/>
                <w:sz w:val="24"/>
                <w:szCs w:val="24"/>
                <w:highlight w:val="none"/>
                <w:lang w:val="en-US" w:eastAsia="zh-CN" w:bidi="ar"/>
              </w:rPr>
              <w:t>注册一级建造师</w:t>
            </w:r>
            <w:r>
              <w:rPr>
                <w:rFonts w:ascii="仿宋" w:hAnsi="仿宋" w:eastAsia="仿宋" w:cs="仿宋"/>
                <w:snapToGrid w:val="0"/>
                <w:color w:val="auto"/>
                <w:kern w:val="0"/>
                <w:sz w:val="24"/>
                <w:szCs w:val="24"/>
                <w:highlight w:val="none"/>
                <w:lang w:val="en-US" w:eastAsia="zh-CN" w:bidi="ar"/>
              </w:rPr>
              <w:t>（</w:t>
            </w:r>
            <w:r>
              <w:rPr>
                <w:rFonts w:hint="eastAsia" w:ascii="仿宋" w:hAnsi="仿宋" w:eastAsia="仿宋" w:cs="仿宋"/>
                <w:snapToGrid w:val="0"/>
                <w:color w:val="auto"/>
                <w:kern w:val="0"/>
                <w:sz w:val="24"/>
                <w:szCs w:val="24"/>
                <w:highlight w:val="none"/>
                <w:lang w:val="en-US" w:eastAsia="zh-CN" w:bidi="ar"/>
              </w:rPr>
              <w:t>市政公用</w:t>
            </w:r>
            <w:r>
              <w:rPr>
                <w:rFonts w:ascii="仿宋" w:hAnsi="仿宋" w:eastAsia="仿宋" w:cs="仿宋"/>
                <w:snapToGrid w:val="0"/>
                <w:color w:val="auto"/>
                <w:kern w:val="0"/>
                <w:sz w:val="24"/>
                <w:szCs w:val="24"/>
                <w:highlight w:val="none"/>
                <w:lang w:val="en-US" w:eastAsia="zh-CN" w:bidi="ar"/>
              </w:rPr>
              <w:t>工程）</w:t>
            </w:r>
            <w:r>
              <w:rPr>
                <w:rFonts w:hint="eastAsia" w:ascii="仿宋" w:hAnsi="仿宋" w:eastAsia="仿宋" w:cs="仿宋"/>
                <w:snapToGrid w:val="0"/>
                <w:color w:val="auto"/>
                <w:kern w:val="0"/>
                <w:sz w:val="24"/>
                <w:szCs w:val="24"/>
                <w:highlight w:val="none"/>
                <w:lang w:val="en-US" w:eastAsia="zh-CN" w:bidi="ar"/>
              </w:rPr>
              <w:t>职业资格证书</w:t>
            </w:r>
          </w:p>
        </w:tc>
        <w:tc>
          <w:tcPr>
            <w:tcW w:w="676" w:type="pct"/>
            <w:vAlign w:val="center"/>
          </w:tcPr>
          <w:p w14:paraId="2D7663CC">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color w:val="auto"/>
                <w:sz w:val="24"/>
                <w:szCs w:val="24"/>
                <w:highlight w:val="none"/>
              </w:rPr>
            </w:pPr>
            <w:r>
              <w:rPr>
                <w:rFonts w:hint="eastAsia"/>
                <w:color w:val="auto"/>
                <w:sz w:val="24"/>
                <w:szCs w:val="24"/>
                <w:highlight w:val="none"/>
              </w:rPr>
              <w:t>全过程</w:t>
            </w:r>
          </w:p>
        </w:tc>
        <w:tc>
          <w:tcPr>
            <w:tcW w:w="758" w:type="pct"/>
            <w:vAlign w:val="center"/>
          </w:tcPr>
          <w:p w14:paraId="0FD7E4DF">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color w:val="auto"/>
                <w:sz w:val="24"/>
                <w:szCs w:val="24"/>
                <w:highlight w:val="none"/>
              </w:rPr>
            </w:pPr>
            <w:r>
              <w:rPr>
                <w:rFonts w:hint="eastAsia" w:ascii="仿宋" w:hAnsi="仿宋" w:eastAsia="仿宋" w:cs="仿宋"/>
                <w:snapToGrid w:val="0"/>
                <w:color w:val="auto"/>
                <w:sz w:val="24"/>
                <w:szCs w:val="24"/>
                <w:highlight w:val="none"/>
                <w:lang w:val="zh-CN" w:eastAsia="zh-CN" w:bidi="zh-CN"/>
              </w:rPr>
              <w:t>现场服务</w:t>
            </w:r>
          </w:p>
        </w:tc>
      </w:tr>
      <w:tr w14:paraId="36AE16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exact"/>
        </w:trPr>
        <w:tc>
          <w:tcPr>
            <w:tcW w:w="903" w:type="pct"/>
            <w:tcBorders>
              <w:right w:val="single" w:color="auto" w:sz="4" w:space="0"/>
            </w:tcBorders>
            <w:shd w:val="clear" w:color="auto" w:fill="auto"/>
            <w:vAlign w:val="center"/>
          </w:tcPr>
          <w:p w14:paraId="641A4299">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总监理工程师</w:t>
            </w:r>
          </w:p>
        </w:tc>
        <w:tc>
          <w:tcPr>
            <w:tcW w:w="453" w:type="pct"/>
            <w:tcBorders>
              <w:left w:val="single" w:color="auto" w:sz="4" w:space="0"/>
            </w:tcBorders>
            <w:shd w:val="clear" w:color="auto" w:fill="auto"/>
            <w:vAlign w:val="center"/>
          </w:tcPr>
          <w:p w14:paraId="6A260A49">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ascii="仿宋" w:hAnsi="仿宋" w:eastAsia="仿宋" w:cs="仿宋"/>
                <w:snapToGrid w:val="0"/>
                <w:color w:val="auto"/>
                <w:sz w:val="24"/>
                <w:szCs w:val="24"/>
                <w:highlight w:val="none"/>
                <w:lang w:val="en-US" w:eastAsia="zh-CN" w:bidi="zh-CN"/>
              </w:rPr>
            </w:pPr>
            <w:r>
              <w:rPr>
                <w:rFonts w:hint="eastAsia" w:ascii="仿宋" w:hAnsi="仿宋" w:eastAsia="仿宋" w:cs="仿宋"/>
                <w:snapToGrid w:val="0"/>
                <w:color w:val="auto"/>
                <w:sz w:val="24"/>
                <w:szCs w:val="24"/>
                <w:highlight w:val="none"/>
                <w:lang w:val="en-US" w:eastAsia="zh-CN" w:bidi="zh-CN"/>
              </w:rPr>
              <w:t>1人</w:t>
            </w:r>
          </w:p>
        </w:tc>
        <w:tc>
          <w:tcPr>
            <w:tcW w:w="2208" w:type="pct"/>
            <w:shd w:val="clear" w:color="auto" w:fill="auto"/>
            <w:vAlign w:val="center"/>
          </w:tcPr>
          <w:p w14:paraId="52EA7279">
            <w:pPr>
              <w:keepNext w:val="0"/>
              <w:keepLines w:val="0"/>
              <w:pageBreakBefore w:val="0"/>
              <w:widowControl/>
              <w:suppressLineNumbers w:val="0"/>
              <w:kinsoku w:val="0"/>
              <w:wordWrap/>
              <w:overflowPunct/>
              <w:topLinePunct w:val="0"/>
              <w:autoSpaceDE w:val="0"/>
              <w:autoSpaceDN w:val="0"/>
              <w:bidi w:val="0"/>
              <w:adjustRightInd w:val="0"/>
              <w:snapToGrid w:val="0"/>
              <w:spacing w:line="300" w:lineRule="exact"/>
              <w:jc w:val="center"/>
              <w:textAlignment w:val="baseline"/>
              <w:rPr>
                <w:rFonts w:hint="default" w:ascii="仿宋" w:hAnsi="仿宋" w:eastAsia="仿宋" w:cs="仿宋"/>
                <w:snapToGrid w:val="0"/>
                <w:color w:val="auto"/>
                <w:sz w:val="24"/>
                <w:szCs w:val="24"/>
                <w:highlight w:val="none"/>
                <w:lang w:val="en-US" w:eastAsia="zh-CN" w:bidi="zh-CN"/>
              </w:rPr>
            </w:pPr>
            <w:r>
              <w:rPr>
                <w:rFonts w:ascii="仿宋" w:hAnsi="仿宋" w:eastAsia="仿宋" w:cs="仿宋"/>
                <w:snapToGrid w:val="0"/>
                <w:color w:val="auto"/>
                <w:kern w:val="0"/>
                <w:sz w:val="24"/>
                <w:szCs w:val="24"/>
                <w:highlight w:val="none"/>
                <w:lang w:val="en-US" w:eastAsia="zh-CN" w:bidi="ar"/>
              </w:rPr>
              <w:t>具有注册监理工程师（</w:t>
            </w:r>
            <w:r>
              <w:rPr>
                <w:rFonts w:hint="eastAsia" w:ascii="仿宋" w:hAnsi="仿宋" w:eastAsia="仿宋" w:cs="仿宋"/>
                <w:snapToGrid w:val="0"/>
                <w:color w:val="auto"/>
                <w:kern w:val="0"/>
                <w:sz w:val="24"/>
                <w:szCs w:val="24"/>
                <w:highlight w:val="none"/>
                <w:lang w:val="en-US" w:eastAsia="zh-CN" w:bidi="ar"/>
              </w:rPr>
              <w:t>市政公用</w:t>
            </w:r>
            <w:r>
              <w:rPr>
                <w:rFonts w:ascii="仿宋" w:hAnsi="仿宋" w:eastAsia="仿宋" w:cs="仿宋"/>
                <w:snapToGrid w:val="0"/>
                <w:color w:val="auto"/>
                <w:kern w:val="0"/>
                <w:sz w:val="24"/>
                <w:szCs w:val="24"/>
                <w:highlight w:val="none"/>
                <w:lang w:val="en-US" w:eastAsia="zh-CN" w:bidi="ar"/>
              </w:rPr>
              <w:t>工程）</w:t>
            </w:r>
            <w:r>
              <w:rPr>
                <w:rFonts w:hint="eastAsia" w:ascii="仿宋" w:hAnsi="仿宋" w:eastAsia="仿宋" w:cs="仿宋"/>
                <w:snapToGrid w:val="0"/>
                <w:color w:val="auto"/>
                <w:kern w:val="0"/>
                <w:sz w:val="24"/>
                <w:szCs w:val="24"/>
                <w:highlight w:val="none"/>
                <w:lang w:val="en-US" w:eastAsia="zh-CN" w:bidi="ar"/>
              </w:rPr>
              <w:t>职业资格证书</w:t>
            </w:r>
          </w:p>
        </w:tc>
        <w:tc>
          <w:tcPr>
            <w:tcW w:w="676" w:type="pct"/>
            <w:shd w:val="clear" w:color="auto" w:fill="auto"/>
            <w:vAlign w:val="center"/>
          </w:tcPr>
          <w:p w14:paraId="3A8F7132">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施工阶段</w:t>
            </w:r>
          </w:p>
        </w:tc>
        <w:tc>
          <w:tcPr>
            <w:tcW w:w="758" w:type="pct"/>
            <w:shd w:val="clear" w:color="auto" w:fill="auto"/>
            <w:vAlign w:val="center"/>
          </w:tcPr>
          <w:p w14:paraId="077D5FC6">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现场服务</w:t>
            </w:r>
          </w:p>
        </w:tc>
      </w:tr>
      <w:tr w14:paraId="2AD6C3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exact"/>
        </w:trPr>
        <w:tc>
          <w:tcPr>
            <w:tcW w:w="903" w:type="pct"/>
            <w:tcBorders>
              <w:right w:val="single" w:color="auto" w:sz="4" w:space="0"/>
            </w:tcBorders>
            <w:shd w:val="clear" w:color="auto" w:fill="auto"/>
            <w:vAlign w:val="center"/>
          </w:tcPr>
          <w:p w14:paraId="049E8E24">
            <w:pPr>
              <w:keepNext w:val="0"/>
              <w:keepLines w:val="0"/>
              <w:pageBreakBefore w:val="0"/>
              <w:widowControl/>
              <w:suppressLineNumbers w:val="0"/>
              <w:kinsoku w:val="0"/>
              <w:wordWrap/>
              <w:overflowPunct/>
              <w:topLinePunct w:val="0"/>
              <w:autoSpaceDE w:val="0"/>
              <w:autoSpaceDN w:val="0"/>
              <w:bidi w:val="0"/>
              <w:adjustRightInd w:val="0"/>
              <w:snapToGrid w:val="0"/>
              <w:spacing w:line="300" w:lineRule="exact"/>
              <w:jc w:val="center"/>
              <w:textAlignment w:val="baseline"/>
              <w:rPr>
                <w:rFonts w:hint="default" w:ascii="仿宋" w:hAnsi="仿宋" w:eastAsia="仿宋" w:cs="仿宋"/>
                <w:snapToGrid w:val="0"/>
                <w:color w:val="auto"/>
                <w:kern w:val="0"/>
                <w:sz w:val="24"/>
                <w:szCs w:val="24"/>
                <w:highlight w:val="none"/>
                <w:lang w:val="en-US" w:eastAsia="zh-CN" w:bidi="ar"/>
              </w:rPr>
            </w:pPr>
            <w:r>
              <w:rPr>
                <w:rFonts w:hint="eastAsia" w:ascii="仿宋" w:hAnsi="仿宋" w:eastAsia="仿宋" w:cs="仿宋"/>
                <w:snapToGrid w:val="0"/>
                <w:color w:val="auto"/>
                <w:kern w:val="0"/>
                <w:sz w:val="24"/>
                <w:szCs w:val="24"/>
                <w:highlight w:val="none"/>
                <w:lang w:val="en-US" w:eastAsia="zh-CN" w:bidi="ar"/>
              </w:rPr>
              <w:t>勘察负责人</w:t>
            </w:r>
          </w:p>
        </w:tc>
        <w:tc>
          <w:tcPr>
            <w:tcW w:w="453" w:type="pct"/>
            <w:tcBorders>
              <w:left w:val="single" w:color="auto" w:sz="4" w:space="0"/>
            </w:tcBorders>
            <w:shd w:val="clear" w:color="auto" w:fill="auto"/>
            <w:vAlign w:val="center"/>
          </w:tcPr>
          <w:p w14:paraId="5F17DEFD">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ascii="仿宋" w:hAnsi="仿宋" w:eastAsia="仿宋" w:cs="仿宋"/>
                <w:snapToGrid w:val="0"/>
                <w:color w:val="auto"/>
                <w:sz w:val="24"/>
                <w:szCs w:val="24"/>
                <w:highlight w:val="none"/>
                <w:lang w:val="en-US" w:eastAsia="zh-CN" w:bidi="zh-CN"/>
              </w:rPr>
            </w:pPr>
            <w:r>
              <w:rPr>
                <w:rFonts w:hint="eastAsia" w:ascii="仿宋" w:hAnsi="仿宋" w:eastAsia="仿宋" w:cs="仿宋"/>
                <w:snapToGrid w:val="0"/>
                <w:color w:val="auto"/>
                <w:sz w:val="24"/>
                <w:szCs w:val="24"/>
                <w:highlight w:val="none"/>
                <w:lang w:val="en-US" w:eastAsia="zh-CN" w:bidi="zh-CN"/>
              </w:rPr>
              <w:t>1人</w:t>
            </w:r>
          </w:p>
        </w:tc>
        <w:tc>
          <w:tcPr>
            <w:tcW w:w="2208" w:type="pct"/>
            <w:shd w:val="clear" w:color="auto" w:fill="auto"/>
            <w:vAlign w:val="center"/>
          </w:tcPr>
          <w:p w14:paraId="7DC9A4E7">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default" w:ascii="仿宋" w:hAnsi="仿宋" w:eastAsia="仿宋" w:cs="仿宋"/>
                <w:snapToGrid w:val="0"/>
                <w:color w:val="auto"/>
                <w:sz w:val="24"/>
                <w:szCs w:val="24"/>
                <w:highlight w:val="none"/>
                <w:lang w:val="en-US" w:eastAsia="zh-CN" w:bidi="zh-CN"/>
              </w:rPr>
            </w:pPr>
            <w:r>
              <w:rPr>
                <w:rFonts w:hint="eastAsia" w:ascii="仿宋" w:hAnsi="仿宋" w:eastAsia="仿宋" w:cs="仿宋"/>
                <w:snapToGrid w:val="0"/>
                <w:color w:val="auto"/>
                <w:kern w:val="0"/>
                <w:sz w:val="24"/>
                <w:szCs w:val="24"/>
                <w:highlight w:val="none"/>
                <w:lang w:val="en-US" w:eastAsia="zh-CN" w:bidi="ar"/>
              </w:rPr>
              <w:t>具有注册岩土工程师</w:t>
            </w:r>
            <w:r>
              <w:rPr>
                <w:rFonts w:hint="eastAsia" w:cs="仿宋"/>
                <w:snapToGrid w:val="0"/>
                <w:color w:val="auto"/>
                <w:kern w:val="0"/>
                <w:sz w:val="24"/>
                <w:szCs w:val="24"/>
                <w:highlight w:val="none"/>
                <w:lang w:val="en-US" w:eastAsia="zh-CN" w:bidi="ar"/>
              </w:rPr>
              <w:t>职业资格证书</w:t>
            </w:r>
          </w:p>
        </w:tc>
        <w:tc>
          <w:tcPr>
            <w:tcW w:w="676" w:type="pct"/>
            <w:shd w:val="clear" w:color="auto" w:fill="auto"/>
            <w:vAlign w:val="center"/>
          </w:tcPr>
          <w:p w14:paraId="78797AEB">
            <w:pPr>
              <w:keepNext w:val="0"/>
              <w:keepLines w:val="0"/>
              <w:pageBreakBefore w:val="0"/>
              <w:widowControl/>
              <w:kinsoku w:val="0"/>
              <w:wordWrap/>
              <w:overflowPunct/>
              <w:topLinePunct w:val="0"/>
              <w:autoSpaceDE w:val="0"/>
              <w:autoSpaceDN w:val="0"/>
              <w:bidi w:val="0"/>
              <w:adjustRightInd w:val="0"/>
              <w:snapToGrid w:val="0"/>
              <w:spacing w:line="300" w:lineRule="exact"/>
              <w:ind w:left="0" w:leftChars="0"/>
              <w:jc w:val="center"/>
              <w:textAlignment w:val="baseline"/>
              <w:rPr>
                <w:rFonts w:ascii="仿宋" w:hAnsi="仿宋" w:eastAsia="仿宋" w:cs="仿宋"/>
                <w:snapToGrid w:val="0"/>
                <w:color w:val="auto"/>
                <w:kern w:val="0"/>
                <w:sz w:val="24"/>
                <w:szCs w:val="24"/>
                <w:highlight w:val="none"/>
                <w:lang w:val="en-US" w:eastAsia="zh-CN" w:bidi="ar"/>
              </w:rPr>
            </w:pPr>
            <w:r>
              <w:rPr>
                <w:rFonts w:hint="eastAsia" w:ascii="仿宋" w:hAnsi="仿宋" w:eastAsia="仿宋" w:cs="仿宋"/>
                <w:snapToGrid w:val="0"/>
                <w:color w:val="auto"/>
                <w:kern w:val="0"/>
                <w:sz w:val="24"/>
                <w:szCs w:val="24"/>
                <w:highlight w:val="none"/>
                <w:lang w:val="en-US" w:eastAsia="zh-CN" w:bidi="ar"/>
              </w:rPr>
              <w:t>勘察阶段</w:t>
            </w:r>
          </w:p>
        </w:tc>
        <w:tc>
          <w:tcPr>
            <w:tcW w:w="758" w:type="pct"/>
            <w:shd w:val="clear" w:color="auto" w:fill="auto"/>
            <w:vAlign w:val="center"/>
          </w:tcPr>
          <w:p w14:paraId="7C7C4CFC">
            <w:pPr>
              <w:keepNext w:val="0"/>
              <w:keepLines w:val="0"/>
              <w:pageBreakBefore w:val="0"/>
              <w:widowControl/>
              <w:kinsoku w:val="0"/>
              <w:wordWrap/>
              <w:overflowPunct/>
              <w:topLinePunct w:val="0"/>
              <w:autoSpaceDE w:val="0"/>
              <w:autoSpaceDN w:val="0"/>
              <w:bidi w:val="0"/>
              <w:adjustRightInd w:val="0"/>
              <w:snapToGrid w:val="0"/>
              <w:spacing w:line="30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后台服务</w:t>
            </w:r>
          </w:p>
        </w:tc>
      </w:tr>
      <w:tr w14:paraId="6B625C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3" w:hRule="exact"/>
        </w:trPr>
        <w:tc>
          <w:tcPr>
            <w:tcW w:w="5000" w:type="pct"/>
            <w:gridSpan w:val="5"/>
            <w:vAlign w:val="center"/>
          </w:tcPr>
          <w:p w14:paraId="7D0358DA">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default" w:ascii="仿宋" w:hAnsi="仿宋" w:eastAsia="仿宋" w:cs="仿宋"/>
                <w:snapToGrid w:val="0"/>
                <w:color w:val="auto"/>
                <w:sz w:val="24"/>
                <w:szCs w:val="24"/>
                <w:highlight w:val="none"/>
                <w:lang w:val="en-US" w:eastAsia="zh-CN" w:bidi="zh-CN"/>
              </w:rPr>
            </w:pPr>
            <w:r>
              <w:rPr>
                <w:rFonts w:hint="eastAsia" w:cs="仿宋"/>
                <w:b/>
                <w:bCs/>
                <w:snapToGrid w:val="0"/>
                <w:color w:val="auto"/>
                <w:sz w:val="24"/>
                <w:szCs w:val="24"/>
                <w:highlight w:val="none"/>
                <w:lang w:val="en-US" w:eastAsia="zh-CN" w:bidi="zh-CN"/>
              </w:rPr>
              <w:t>其他人员</w:t>
            </w:r>
          </w:p>
        </w:tc>
      </w:tr>
      <w:tr w14:paraId="006E57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5" w:hRule="exact"/>
        </w:trPr>
        <w:tc>
          <w:tcPr>
            <w:tcW w:w="903" w:type="pct"/>
            <w:tcBorders>
              <w:right w:val="single" w:color="auto" w:sz="4" w:space="0"/>
            </w:tcBorders>
            <w:shd w:val="clear" w:color="auto" w:fill="auto"/>
            <w:vAlign w:val="center"/>
          </w:tcPr>
          <w:p w14:paraId="2DB6943A">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en-US" w:eastAsia="zh-CN" w:bidi="zh-CN"/>
              </w:rPr>
              <w:t>项目</w:t>
            </w:r>
            <w:r>
              <w:rPr>
                <w:rFonts w:hint="eastAsia" w:cs="仿宋"/>
                <w:snapToGrid w:val="0"/>
                <w:color w:val="auto"/>
                <w:sz w:val="24"/>
                <w:szCs w:val="24"/>
                <w:highlight w:val="none"/>
                <w:lang w:val="en-US" w:eastAsia="zh-CN" w:bidi="zh-CN"/>
              </w:rPr>
              <w:t>现场</w:t>
            </w:r>
            <w:r>
              <w:rPr>
                <w:rFonts w:hint="eastAsia" w:ascii="仿宋" w:hAnsi="仿宋" w:eastAsia="仿宋" w:cs="仿宋"/>
                <w:snapToGrid w:val="0"/>
                <w:color w:val="auto"/>
                <w:sz w:val="24"/>
                <w:szCs w:val="24"/>
                <w:highlight w:val="none"/>
                <w:lang w:val="en-US" w:eastAsia="zh-CN" w:bidi="zh-CN"/>
              </w:rPr>
              <w:t>管理人员</w:t>
            </w:r>
          </w:p>
        </w:tc>
        <w:tc>
          <w:tcPr>
            <w:tcW w:w="453" w:type="pct"/>
            <w:tcBorders>
              <w:left w:val="single" w:color="auto" w:sz="4" w:space="0"/>
            </w:tcBorders>
            <w:shd w:val="clear" w:color="auto" w:fill="auto"/>
            <w:vAlign w:val="center"/>
          </w:tcPr>
          <w:p w14:paraId="5B0EE115">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en-US" w:eastAsia="zh-CN" w:bidi="zh-CN"/>
              </w:rPr>
              <w:t>2人</w:t>
            </w:r>
          </w:p>
        </w:tc>
        <w:tc>
          <w:tcPr>
            <w:tcW w:w="2208" w:type="pct"/>
            <w:shd w:val="clear" w:color="auto" w:fill="auto"/>
            <w:vAlign w:val="center"/>
          </w:tcPr>
          <w:p w14:paraId="78CCF1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b w:val="0"/>
                <w:bCs w:val="0"/>
                <w:color w:val="auto"/>
                <w:spacing w:val="-11"/>
                <w:sz w:val="24"/>
                <w:szCs w:val="24"/>
                <w:highlight w:val="none"/>
                <w:lang w:val="en-US" w:eastAsia="zh-CN"/>
              </w:rPr>
              <w:t>具有国家注册类资格证书</w:t>
            </w:r>
            <w:r>
              <w:rPr>
                <w:rFonts w:hint="eastAsia" w:ascii="仿宋" w:hAnsi="仿宋" w:eastAsia="仿宋" w:cs="仿宋"/>
                <w:snapToGrid w:val="0"/>
                <w:color w:val="auto"/>
                <w:kern w:val="0"/>
                <w:sz w:val="24"/>
                <w:szCs w:val="24"/>
                <w:highlight w:val="none"/>
                <w:lang w:val="en-US" w:eastAsia="zh-CN" w:bidi="ar"/>
              </w:rPr>
              <w:t>或工程类中级及以上职称</w:t>
            </w:r>
          </w:p>
        </w:tc>
        <w:tc>
          <w:tcPr>
            <w:tcW w:w="676" w:type="pct"/>
            <w:shd w:val="clear" w:color="auto" w:fill="auto"/>
            <w:vAlign w:val="center"/>
          </w:tcPr>
          <w:p w14:paraId="40C8F060">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color w:val="auto"/>
                <w:sz w:val="24"/>
                <w:szCs w:val="24"/>
                <w:highlight w:val="none"/>
              </w:rPr>
              <w:t>全过程</w:t>
            </w:r>
          </w:p>
        </w:tc>
        <w:tc>
          <w:tcPr>
            <w:tcW w:w="758" w:type="pct"/>
            <w:shd w:val="clear" w:color="auto" w:fill="auto"/>
            <w:vAlign w:val="center"/>
          </w:tcPr>
          <w:p w14:paraId="2B2F99B4">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现场服务</w:t>
            </w:r>
          </w:p>
        </w:tc>
      </w:tr>
      <w:tr w14:paraId="4D0ACA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5" w:hRule="exact"/>
        </w:trPr>
        <w:tc>
          <w:tcPr>
            <w:tcW w:w="903" w:type="pct"/>
            <w:tcBorders>
              <w:right w:val="single" w:color="auto" w:sz="4" w:space="0"/>
            </w:tcBorders>
            <w:shd w:val="clear" w:color="auto" w:fill="auto"/>
            <w:vAlign w:val="center"/>
          </w:tcPr>
          <w:p w14:paraId="386808D5">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cs="仿宋"/>
                <w:snapToGrid w:val="0"/>
                <w:color w:val="auto"/>
                <w:sz w:val="24"/>
                <w:szCs w:val="24"/>
                <w:highlight w:val="none"/>
                <w:lang w:val="en-US" w:eastAsia="zh-CN" w:bidi="zh-CN"/>
              </w:rPr>
              <w:t>专业监理工程师</w:t>
            </w:r>
          </w:p>
        </w:tc>
        <w:tc>
          <w:tcPr>
            <w:tcW w:w="453" w:type="pct"/>
            <w:tcBorders>
              <w:left w:val="single" w:color="auto" w:sz="4" w:space="0"/>
            </w:tcBorders>
            <w:shd w:val="clear" w:color="auto" w:fill="auto"/>
            <w:vAlign w:val="center"/>
          </w:tcPr>
          <w:p w14:paraId="656B034C">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cs="仿宋"/>
                <w:snapToGrid w:val="0"/>
                <w:color w:val="auto"/>
                <w:sz w:val="24"/>
                <w:szCs w:val="24"/>
                <w:highlight w:val="none"/>
                <w:lang w:val="en-US" w:eastAsia="zh-CN" w:bidi="zh-CN"/>
              </w:rPr>
              <w:t>2</w:t>
            </w:r>
            <w:r>
              <w:rPr>
                <w:rFonts w:hint="eastAsia" w:ascii="仿宋" w:hAnsi="仿宋" w:eastAsia="仿宋" w:cs="仿宋"/>
                <w:snapToGrid w:val="0"/>
                <w:color w:val="auto"/>
                <w:sz w:val="24"/>
                <w:szCs w:val="24"/>
                <w:highlight w:val="none"/>
                <w:lang w:val="zh-CN" w:eastAsia="zh-CN" w:bidi="zh-CN"/>
              </w:rPr>
              <w:t>人</w:t>
            </w:r>
          </w:p>
        </w:tc>
        <w:tc>
          <w:tcPr>
            <w:tcW w:w="2208" w:type="pct"/>
            <w:shd w:val="clear" w:color="auto" w:fill="auto"/>
            <w:vAlign w:val="center"/>
          </w:tcPr>
          <w:p w14:paraId="043DD0F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exact"/>
              <w:jc w:val="center"/>
              <w:textAlignment w:val="baseline"/>
              <w:rPr>
                <w:rFonts w:hint="eastAsia"/>
                <w:color w:val="auto"/>
                <w:highlight w:val="none"/>
                <w:lang w:val="zh-CN" w:eastAsia="zh-CN"/>
              </w:rPr>
            </w:pPr>
            <w:r>
              <w:rPr>
                <w:rFonts w:hint="eastAsia" w:ascii="仿宋" w:hAnsi="仿宋" w:eastAsia="仿宋" w:cs="仿宋"/>
                <w:b w:val="0"/>
                <w:bCs w:val="0"/>
                <w:color w:val="auto"/>
                <w:spacing w:val="-11"/>
                <w:sz w:val="24"/>
                <w:szCs w:val="24"/>
                <w:highlight w:val="none"/>
                <w:lang w:val="en-US" w:eastAsia="zh-CN"/>
              </w:rPr>
              <w:t>具有国家注册类资格证书</w:t>
            </w:r>
            <w:r>
              <w:rPr>
                <w:rFonts w:hint="eastAsia" w:ascii="仿宋" w:hAnsi="仿宋" w:eastAsia="仿宋" w:cs="仿宋"/>
                <w:snapToGrid w:val="0"/>
                <w:color w:val="auto"/>
                <w:kern w:val="0"/>
                <w:sz w:val="24"/>
                <w:szCs w:val="24"/>
                <w:highlight w:val="none"/>
                <w:lang w:val="en-US" w:eastAsia="zh-CN" w:bidi="ar"/>
              </w:rPr>
              <w:t>或工程类中级及以上职称</w:t>
            </w:r>
          </w:p>
        </w:tc>
        <w:tc>
          <w:tcPr>
            <w:tcW w:w="676" w:type="pct"/>
            <w:shd w:val="clear" w:color="auto" w:fill="auto"/>
            <w:vAlign w:val="center"/>
          </w:tcPr>
          <w:p w14:paraId="0BAD91FF">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施工阶段</w:t>
            </w:r>
          </w:p>
        </w:tc>
        <w:tc>
          <w:tcPr>
            <w:tcW w:w="758" w:type="pct"/>
            <w:shd w:val="clear" w:color="auto" w:fill="auto"/>
            <w:vAlign w:val="center"/>
          </w:tcPr>
          <w:p w14:paraId="3EF14736">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现场服务</w:t>
            </w:r>
          </w:p>
        </w:tc>
      </w:tr>
      <w:tr w14:paraId="51B7A6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exact"/>
        </w:trPr>
        <w:tc>
          <w:tcPr>
            <w:tcW w:w="903" w:type="pct"/>
            <w:tcBorders>
              <w:right w:val="single" w:color="auto" w:sz="4" w:space="0"/>
            </w:tcBorders>
            <w:shd w:val="clear" w:color="auto" w:fill="auto"/>
            <w:vAlign w:val="center"/>
          </w:tcPr>
          <w:p w14:paraId="6B923B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exact"/>
              <w:jc w:val="center"/>
              <w:textAlignment w:val="baseline"/>
              <w:rPr>
                <w:rFonts w:hint="eastAsia" w:ascii="仿宋" w:hAnsi="仿宋" w:eastAsia="仿宋" w:cs="仿宋"/>
                <w:snapToGrid w:val="0"/>
                <w:color w:val="auto"/>
                <w:kern w:val="0"/>
                <w:sz w:val="24"/>
                <w:szCs w:val="24"/>
                <w:highlight w:val="none"/>
                <w:lang w:val="en-US" w:eastAsia="zh-CN" w:bidi="ar"/>
              </w:rPr>
            </w:pPr>
            <w:r>
              <w:rPr>
                <w:rFonts w:hint="eastAsia" w:ascii="仿宋" w:hAnsi="仿宋" w:eastAsia="仿宋" w:cs="仿宋"/>
                <w:snapToGrid w:val="0"/>
                <w:color w:val="auto"/>
                <w:kern w:val="0"/>
                <w:sz w:val="24"/>
                <w:szCs w:val="24"/>
                <w:highlight w:val="none"/>
                <w:lang w:val="en-US" w:eastAsia="zh-CN" w:bidi="ar"/>
              </w:rPr>
              <w:t>专业勘察人员</w:t>
            </w:r>
          </w:p>
        </w:tc>
        <w:tc>
          <w:tcPr>
            <w:tcW w:w="453" w:type="pct"/>
            <w:tcBorders>
              <w:left w:val="single" w:color="auto" w:sz="4" w:space="0"/>
            </w:tcBorders>
            <w:shd w:val="clear" w:color="auto" w:fill="auto"/>
            <w:vAlign w:val="center"/>
          </w:tcPr>
          <w:p w14:paraId="49C6C2ED">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Arial" w:hAnsi="Arial" w:eastAsia="Arial" w:cs="仿宋"/>
                <w:snapToGrid w:val="0"/>
                <w:color w:val="auto"/>
                <w:sz w:val="24"/>
                <w:szCs w:val="24"/>
                <w:highlight w:val="none"/>
                <w:lang w:val="en-US" w:eastAsia="zh-CN" w:bidi="zh-CN"/>
              </w:rPr>
            </w:pPr>
            <w:r>
              <w:rPr>
                <w:rFonts w:hint="eastAsia" w:ascii="仿宋" w:hAnsi="仿宋" w:eastAsia="仿宋" w:cs="仿宋"/>
                <w:snapToGrid w:val="0"/>
                <w:color w:val="auto"/>
                <w:sz w:val="24"/>
                <w:szCs w:val="24"/>
                <w:highlight w:val="none"/>
                <w:lang w:val="en-US" w:eastAsia="zh-CN" w:bidi="zh-CN"/>
              </w:rPr>
              <w:t>2人</w:t>
            </w:r>
          </w:p>
        </w:tc>
        <w:tc>
          <w:tcPr>
            <w:tcW w:w="2208" w:type="pct"/>
            <w:shd w:val="clear" w:color="auto" w:fill="auto"/>
            <w:vAlign w:val="center"/>
          </w:tcPr>
          <w:p w14:paraId="476AA909">
            <w:pPr>
              <w:pStyle w:val="18"/>
              <w:keepNext w:val="0"/>
              <w:keepLines w:val="0"/>
              <w:pageBreakBefore w:val="0"/>
              <w:framePr w:hSpace="0" w:wrap="auto" w:vAnchor="margin" w:hAnchor="text" w:xAlign="left" w:yAlign="inline"/>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en-US" w:eastAsia="zh-CN" w:bidi="zh-CN"/>
              </w:rPr>
            </w:pPr>
            <w:r>
              <w:rPr>
                <w:rFonts w:hint="eastAsia" w:ascii="仿宋" w:hAnsi="仿宋" w:eastAsia="仿宋" w:cs="仿宋"/>
                <w:snapToGrid w:val="0"/>
                <w:color w:val="auto"/>
                <w:kern w:val="0"/>
                <w:sz w:val="24"/>
                <w:szCs w:val="24"/>
                <w:highlight w:val="none"/>
                <w:lang w:val="en-US" w:eastAsia="zh-CN" w:bidi="ar"/>
              </w:rPr>
              <w:t>具有测绘类相关专业</w:t>
            </w:r>
            <w:r>
              <w:rPr>
                <w:rFonts w:hint="eastAsia" w:cs="仿宋"/>
                <w:snapToGrid w:val="0"/>
                <w:color w:val="auto"/>
                <w:kern w:val="0"/>
                <w:sz w:val="24"/>
                <w:szCs w:val="24"/>
                <w:highlight w:val="none"/>
                <w:lang w:val="en-US" w:eastAsia="zh-CN" w:bidi="ar"/>
              </w:rPr>
              <w:t>中</w:t>
            </w:r>
            <w:r>
              <w:rPr>
                <w:rFonts w:hint="eastAsia" w:ascii="仿宋" w:hAnsi="仿宋" w:eastAsia="仿宋" w:cs="仿宋"/>
                <w:snapToGrid w:val="0"/>
                <w:color w:val="auto"/>
                <w:kern w:val="0"/>
                <w:sz w:val="24"/>
                <w:szCs w:val="24"/>
                <w:highlight w:val="none"/>
                <w:lang w:val="en-US" w:eastAsia="zh-CN" w:bidi="ar"/>
              </w:rPr>
              <w:t>级</w:t>
            </w:r>
            <w:r>
              <w:rPr>
                <w:rFonts w:hint="eastAsia" w:cs="仿宋"/>
                <w:snapToGrid w:val="0"/>
                <w:color w:val="auto"/>
                <w:kern w:val="0"/>
                <w:sz w:val="24"/>
                <w:szCs w:val="24"/>
                <w:highlight w:val="none"/>
                <w:lang w:val="en-US" w:eastAsia="zh-CN" w:bidi="ar"/>
              </w:rPr>
              <w:t>及以上</w:t>
            </w:r>
            <w:r>
              <w:rPr>
                <w:rFonts w:hint="eastAsia" w:ascii="仿宋" w:hAnsi="仿宋" w:eastAsia="仿宋" w:cs="仿宋"/>
                <w:snapToGrid w:val="0"/>
                <w:color w:val="auto"/>
                <w:kern w:val="0"/>
                <w:sz w:val="24"/>
                <w:szCs w:val="24"/>
                <w:highlight w:val="none"/>
                <w:lang w:val="en-US" w:eastAsia="zh-CN" w:bidi="ar"/>
              </w:rPr>
              <w:t>职称</w:t>
            </w:r>
          </w:p>
        </w:tc>
        <w:tc>
          <w:tcPr>
            <w:tcW w:w="676" w:type="pct"/>
            <w:shd w:val="clear" w:color="auto" w:fill="auto"/>
            <w:vAlign w:val="center"/>
          </w:tcPr>
          <w:p w14:paraId="269BC979">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kern w:val="0"/>
                <w:sz w:val="24"/>
                <w:szCs w:val="24"/>
                <w:highlight w:val="none"/>
                <w:lang w:val="zh-CN" w:eastAsia="zh-CN" w:bidi="ar"/>
              </w:rPr>
            </w:pPr>
            <w:r>
              <w:rPr>
                <w:rFonts w:hint="eastAsia" w:ascii="仿宋" w:hAnsi="仿宋" w:eastAsia="仿宋" w:cs="仿宋"/>
                <w:snapToGrid w:val="0"/>
                <w:color w:val="auto"/>
                <w:kern w:val="0"/>
                <w:sz w:val="24"/>
                <w:szCs w:val="24"/>
                <w:highlight w:val="none"/>
                <w:lang w:val="en-US" w:eastAsia="zh-CN" w:bidi="ar"/>
              </w:rPr>
              <w:t>勘察阶段</w:t>
            </w:r>
          </w:p>
        </w:tc>
        <w:tc>
          <w:tcPr>
            <w:tcW w:w="758" w:type="pct"/>
            <w:shd w:val="clear" w:color="auto" w:fill="auto"/>
            <w:vAlign w:val="center"/>
          </w:tcPr>
          <w:p w14:paraId="625F5F3B">
            <w:pPr>
              <w:keepNext w:val="0"/>
              <w:keepLines w:val="0"/>
              <w:pageBreakBefore w:val="0"/>
              <w:widowControl/>
              <w:kinsoku w:val="0"/>
              <w:wordWrap/>
              <w:overflowPunct/>
              <w:topLinePunct w:val="0"/>
              <w:autoSpaceDE w:val="0"/>
              <w:autoSpaceDN w:val="0"/>
              <w:bidi w:val="0"/>
              <w:adjustRightInd w:val="0"/>
              <w:snapToGrid w:val="0"/>
              <w:spacing w:line="360" w:lineRule="exact"/>
              <w:ind w:left="0" w:leftChars="0"/>
              <w:jc w:val="center"/>
              <w:textAlignment w:val="baseline"/>
              <w:rPr>
                <w:rFonts w:hint="eastAsia" w:ascii="仿宋" w:hAnsi="仿宋" w:eastAsia="仿宋" w:cs="仿宋"/>
                <w:snapToGrid w:val="0"/>
                <w:color w:val="auto"/>
                <w:sz w:val="24"/>
                <w:szCs w:val="24"/>
                <w:highlight w:val="none"/>
                <w:lang w:val="zh-CN" w:eastAsia="zh-CN" w:bidi="zh-CN"/>
              </w:rPr>
            </w:pPr>
            <w:r>
              <w:rPr>
                <w:rFonts w:hint="eastAsia" w:ascii="仿宋" w:hAnsi="仿宋" w:eastAsia="仿宋" w:cs="仿宋"/>
                <w:snapToGrid w:val="0"/>
                <w:color w:val="auto"/>
                <w:sz w:val="24"/>
                <w:szCs w:val="24"/>
                <w:highlight w:val="none"/>
                <w:lang w:val="zh-CN" w:eastAsia="zh-CN" w:bidi="zh-CN"/>
              </w:rPr>
              <w:t>现场服务</w:t>
            </w:r>
          </w:p>
        </w:tc>
      </w:tr>
      <w:tr w14:paraId="18AC68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29" w:hRule="atLeast"/>
        </w:trPr>
        <w:tc>
          <w:tcPr>
            <w:tcW w:w="5000" w:type="pct"/>
            <w:gridSpan w:val="5"/>
            <w:vAlign w:val="center"/>
          </w:tcPr>
          <w:p w14:paraId="5EF2D7E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exact"/>
              <w:jc w:val="left"/>
              <w:textAlignment w:val="baseline"/>
              <w:rPr>
                <w:rFonts w:ascii="仿宋" w:hAnsi="仿宋" w:eastAsia="仿宋" w:cs="仿宋"/>
                <w:snapToGrid w:val="0"/>
                <w:color w:val="auto"/>
                <w:kern w:val="0"/>
                <w:sz w:val="24"/>
                <w:szCs w:val="24"/>
                <w:highlight w:val="none"/>
                <w:lang w:val="en-US" w:eastAsia="zh-CN" w:bidi="ar"/>
              </w:rPr>
            </w:pPr>
            <w:r>
              <w:rPr>
                <w:rFonts w:ascii="仿宋" w:hAnsi="仿宋" w:eastAsia="仿宋" w:cs="仿宋"/>
                <w:snapToGrid w:val="0"/>
                <w:color w:val="auto"/>
                <w:kern w:val="0"/>
                <w:sz w:val="24"/>
                <w:szCs w:val="24"/>
                <w:highlight w:val="none"/>
                <w:lang w:val="en-US" w:eastAsia="zh-CN" w:bidi="ar"/>
              </w:rPr>
              <w:t>注：</w:t>
            </w:r>
          </w:p>
          <w:p w14:paraId="31DCE17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exact"/>
              <w:ind w:firstLine="480" w:firstLineChars="200"/>
              <w:jc w:val="left"/>
              <w:textAlignment w:val="baseline"/>
              <w:rPr>
                <w:color w:val="auto"/>
                <w:sz w:val="24"/>
                <w:szCs w:val="24"/>
                <w:highlight w:val="none"/>
              </w:rPr>
            </w:pPr>
            <w:r>
              <w:rPr>
                <w:rFonts w:ascii="仿宋" w:hAnsi="仿宋" w:eastAsia="仿宋" w:cs="仿宋"/>
                <w:snapToGrid w:val="0"/>
                <w:color w:val="auto"/>
                <w:kern w:val="0"/>
                <w:sz w:val="24"/>
                <w:szCs w:val="24"/>
                <w:highlight w:val="none"/>
                <w:lang w:val="en-US" w:eastAsia="zh-CN" w:bidi="ar"/>
              </w:rPr>
              <w:t>1</w:t>
            </w:r>
            <w:r>
              <w:rPr>
                <w:rFonts w:hint="eastAsia" w:ascii="仿宋" w:hAnsi="仿宋" w:eastAsia="仿宋" w:cs="仿宋"/>
                <w:snapToGrid w:val="0"/>
                <w:color w:val="auto"/>
                <w:kern w:val="0"/>
                <w:sz w:val="24"/>
                <w:szCs w:val="24"/>
                <w:highlight w:val="none"/>
                <w:lang w:val="en-US" w:eastAsia="zh-CN" w:bidi="ar"/>
              </w:rPr>
              <w:t>.</w:t>
            </w:r>
            <w:r>
              <w:rPr>
                <w:rFonts w:ascii="仿宋" w:hAnsi="仿宋" w:eastAsia="仿宋" w:cs="仿宋"/>
                <w:snapToGrid w:val="0"/>
                <w:color w:val="auto"/>
                <w:kern w:val="0"/>
                <w:sz w:val="24"/>
                <w:szCs w:val="24"/>
                <w:highlight w:val="none"/>
                <w:lang w:val="en-US" w:eastAsia="zh-CN" w:bidi="ar"/>
              </w:rPr>
              <w:t>所有人员提供开标当月前（不含开标当月）六个月</w:t>
            </w:r>
            <w:r>
              <w:rPr>
                <w:rFonts w:hint="eastAsia" w:ascii="仿宋" w:hAnsi="仿宋" w:eastAsia="仿宋" w:cs="仿宋"/>
                <w:snapToGrid w:val="0"/>
                <w:color w:val="auto"/>
                <w:kern w:val="0"/>
                <w:sz w:val="24"/>
                <w:szCs w:val="24"/>
                <w:highlight w:val="none"/>
                <w:lang w:val="en-US" w:eastAsia="zh-CN" w:bidi="ar"/>
              </w:rPr>
              <w:t>任意一个月本单位</w:t>
            </w:r>
            <w:r>
              <w:rPr>
                <w:rFonts w:ascii="仿宋" w:hAnsi="仿宋" w:eastAsia="仿宋" w:cs="仿宋"/>
                <w:snapToGrid w:val="0"/>
                <w:color w:val="auto"/>
                <w:kern w:val="0"/>
                <w:sz w:val="24"/>
                <w:szCs w:val="24"/>
                <w:highlight w:val="none"/>
                <w:lang w:val="en-US" w:eastAsia="zh-CN" w:bidi="ar"/>
              </w:rPr>
              <w:t>为其缴纳</w:t>
            </w:r>
            <w:r>
              <w:rPr>
                <w:rFonts w:hint="eastAsia" w:ascii="仿宋" w:hAnsi="仿宋" w:eastAsia="仿宋" w:cs="仿宋"/>
                <w:snapToGrid w:val="0"/>
                <w:color w:val="auto"/>
                <w:kern w:val="0"/>
                <w:sz w:val="24"/>
                <w:szCs w:val="24"/>
                <w:highlight w:val="none"/>
                <w:lang w:val="en-US" w:eastAsia="zh-CN" w:bidi="ar"/>
              </w:rPr>
              <w:t xml:space="preserve">的养老保险证明材料（若为退休人员，则须提供退休证明及返聘合同，返聘期不得短于本项目服务周期），上述证件均须提供原件扫描件加盖公章。以上现场人员可根据项目实际进展安排进场。 </w:t>
            </w:r>
          </w:p>
          <w:p w14:paraId="395303A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exact"/>
              <w:ind w:firstLine="480" w:firstLineChars="200"/>
              <w:jc w:val="left"/>
              <w:textAlignment w:val="baseline"/>
              <w:rPr>
                <w:rFonts w:hint="eastAsia"/>
                <w:color w:val="auto"/>
                <w:highlight w:val="none"/>
              </w:rPr>
            </w:pPr>
            <w:r>
              <w:rPr>
                <w:rFonts w:hint="eastAsia" w:ascii="仿宋" w:hAnsi="仿宋" w:eastAsia="仿宋" w:cs="仿宋"/>
                <w:snapToGrid w:val="0"/>
                <w:color w:val="auto"/>
                <w:kern w:val="0"/>
                <w:sz w:val="24"/>
                <w:szCs w:val="24"/>
                <w:highlight w:val="none"/>
                <w:lang w:val="en-US" w:eastAsia="zh-CN" w:bidi="ar"/>
              </w:rPr>
              <w:t xml:space="preserve">2.拟派本项目人员须一人一岗，不得一人多岗，所有人员须遵循建设单位管理制度。 </w:t>
            </w:r>
          </w:p>
        </w:tc>
      </w:tr>
    </w:tbl>
    <w:p w14:paraId="42838F9F">
      <w:pPr>
        <w:keepNext w:val="0"/>
        <w:keepLines w:val="0"/>
        <w:pageBreakBefore w:val="0"/>
        <w:widowControl w:val="0"/>
        <w:kinsoku/>
        <w:wordWrap/>
        <w:overflowPunct/>
        <w:topLinePunct w:val="0"/>
        <w:autoSpaceDE/>
        <w:autoSpaceDN/>
        <w:bidi w:val="0"/>
        <w:adjustRightInd/>
        <w:snapToGrid w:val="0"/>
        <w:spacing w:line="440" w:lineRule="exact"/>
        <w:jc w:val="both"/>
        <w:textAlignment w:val="auto"/>
        <w:rPr>
          <w:rFonts w:hint="eastAsia" w:ascii="仿宋" w:hAnsi="仿宋" w:eastAsia="仿宋" w:cs="仿宋"/>
          <w:b/>
          <w:bCs/>
          <w:snapToGrid/>
          <w:color w:val="auto"/>
          <w:kern w:val="2"/>
          <w:sz w:val="24"/>
          <w:szCs w:val="24"/>
          <w:highlight w:val="none"/>
          <w:lang w:val="en-US" w:eastAsia="zh-CN"/>
        </w:rPr>
      </w:pPr>
      <w:r>
        <w:rPr>
          <w:rFonts w:hint="eastAsia" w:ascii="仿宋" w:hAnsi="仿宋" w:eastAsia="仿宋" w:cs="仿宋"/>
          <w:b/>
          <w:bCs/>
          <w:color w:val="auto"/>
          <w:sz w:val="24"/>
          <w:szCs w:val="24"/>
          <w:highlight w:val="none"/>
          <w:lang w:val="en-US" w:eastAsia="zh-CN"/>
        </w:rPr>
        <w:br w:type="textWrapping"/>
      </w:r>
      <w:r>
        <w:rPr>
          <w:rFonts w:hint="eastAsia" w:ascii="仿宋" w:hAnsi="仿宋" w:eastAsia="仿宋" w:cs="仿宋"/>
          <w:b/>
          <w:bCs/>
          <w:snapToGrid w:val="0"/>
          <w:color w:val="auto"/>
          <w:kern w:val="0"/>
          <w:sz w:val="24"/>
          <w:szCs w:val="24"/>
          <w:highlight w:val="none"/>
          <w:lang w:val="en-US" w:eastAsia="zh-CN" w:bidi="ar"/>
        </w:rPr>
        <w:t>四、全过程咨询服务管理目标</w:t>
      </w:r>
      <w:r>
        <w:rPr>
          <w:rFonts w:hint="eastAsia" w:ascii="仿宋" w:hAnsi="仿宋" w:eastAsia="仿宋" w:cs="仿宋"/>
          <w:b/>
          <w:bCs/>
          <w:snapToGrid/>
          <w:color w:val="auto"/>
          <w:kern w:val="2"/>
          <w:sz w:val="24"/>
          <w:szCs w:val="24"/>
          <w:highlight w:val="none"/>
          <w:lang w:val="en-US" w:eastAsia="zh-CN"/>
        </w:rPr>
        <w:t xml:space="preserve"> </w:t>
      </w:r>
    </w:p>
    <w:p w14:paraId="0587884B">
      <w:pPr>
        <w:keepNext w:val="0"/>
        <w:keepLines w:val="0"/>
        <w:pageBreakBefore w:val="0"/>
        <w:wordWrap/>
        <w:overflowPunct/>
        <w:topLinePunct w:val="0"/>
        <w:bidi w:val="0"/>
        <w:snapToGrid w:val="0"/>
        <w:spacing w:line="440" w:lineRule="exact"/>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 xml:space="preserve">1.投资管理目标：项目总投资控制在10236.85万元之内 ； </w:t>
      </w:r>
    </w:p>
    <w:p w14:paraId="71A62CF4">
      <w:pPr>
        <w:keepNext w:val="0"/>
        <w:keepLines w:val="0"/>
        <w:pageBreakBefore w:val="0"/>
        <w:wordWrap/>
        <w:overflowPunct/>
        <w:topLinePunct w:val="0"/>
        <w:bidi w:val="0"/>
        <w:snapToGrid w:val="0"/>
        <w:spacing w:line="440" w:lineRule="exact"/>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 xml:space="preserve">2.质量管理目标：合格及以上； </w:t>
      </w:r>
    </w:p>
    <w:p w14:paraId="16D6F017">
      <w:pPr>
        <w:keepNext w:val="0"/>
        <w:keepLines w:val="0"/>
        <w:pageBreakBefore w:val="0"/>
        <w:wordWrap/>
        <w:overflowPunct/>
        <w:topLinePunct w:val="0"/>
        <w:bidi w:val="0"/>
        <w:snapToGrid w:val="0"/>
        <w:spacing w:line="440" w:lineRule="exact"/>
        <w:ind w:firstLine="480" w:firstLineChars="200"/>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3.进度管理目标：</w:t>
      </w:r>
      <w:r>
        <w:rPr>
          <w:rFonts w:hint="default" w:ascii="仿宋" w:hAnsi="仿宋" w:eastAsia="仿宋" w:cs="仿宋"/>
          <w:color w:val="auto"/>
          <w:sz w:val="24"/>
          <w:szCs w:val="24"/>
          <w:highlight w:val="none"/>
          <w:lang w:val="en-US" w:eastAsia="zh-CN"/>
        </w:rPr>
        <w:t>严格按计划推进，资源高效调配确保工期目标。</w:t>
      </w:r>
    </w:p>
    <w:p w14:paraId="5196F33E">
      <w:pPr>
        <w:keepNext w:val="0"/>
        <w:keepLines w:val="0"/>
        <w:pageBreakBefore w:val="0"/>
        <w:wordWrap/>
        <w:overflowPunct/>
        <w:topLinePunct w:val="0"/>
        <w:bidi w:val="0"/>
        <w:snapToGrid w:val="0"/>
        <w:spacing w:line="440" w:lineRule="exact"/>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 xml:space="preserve">4.安全文明管理目标：杜绝死亡重伤事故，扬尘噪声达标，文明施工合规。 </w:t>
      </w:r>
    </w:p>
    <w:p w14:paraId="209CE153">
      <w:pPr>
        <w:keepNext w:val="0"/>
        <w:keepLines w:val="0"/>
        <w:pageBreakBefore w:val="0"/>
        <w:widowControl w:val="0"/>
        <w:wordWrap/>
        <w:overflowPunct/>
        <w:topLinePunct w:val="0"/>
        <w:bidi w:val="0"/>
        <w:snapToGrid w:val="0"/>
        <w:spacing w:line="440" w:lineRule="exact"/>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b/>
          <w:bCs/>
          <w:snapToGrid w:val="0"/>
          <w:color w:val="auto"/>
          <w:kern w:val="0"/>
          <w:sz w:val="24"/>
          <w:szCs w:val="24"/>
          <w:highlight w:val="none"/>
          <w:lang w:val="en-US" w:eastAsia="zh-CN" w:bidi="ar"/>
        </w:rPr>
        <w:t>五、质量要求：</w:t>
      </w:r>
      <w:r>
        <w:rPr>
          <w:rFonts w:hint="eastAsia" w:ascii="仿宋" w:hAnsi="仿宋" w:eastAsia="仿宋" w:cs="仿宋"/>
          <w:color w:val="auto"/>
          <w:kern w:val="0"/>
          <w:sz w:val="24"/>
          <w:szCs w:val="24"/>
          <w:highlight w:val="none"/>
          <w:lang w:val="en-US" w:eastAsia="zh-CN" w:bidi="ar"/>
        </w:rPr>
        <w:t>合格及以上。</w:t>
      </w:r>
    </w:p>
    <w:p w14:paraId="5FD5C1A8">
      <w:pPr>
        <w:rPr>
          <w:rFonts w:hint="eastAsia"/>
          <w:lang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C5F77B"/>
    <w:multiLevelType w:val="singleLevel"/>
    <w:tmpl w:val="D3C5F77B"/>
    <w:lvl w:ilvl="0" w:tentative="0">
      <w:start w:val="5"/>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9A7A12"/>
    <w:rsid w:val="49E859B4"/>
    <w:rsid w:val="58A76245"/>
    <w:rsid w:val="613B4F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a heading"/>
    <w:basedOn w:val="1"/>
    <w:next w:val="1"/>
    <w:unhideWhenUsed/>
    <w:qFormat/>
    <w:uiPriority w:val="99"/>
    <w:rPr>
      <w:rFonts w:ascii="Arial" w:hAnsi="Arial"/>
    </w:rPr>
  </w:style>
  <w:style w:type="paragraph" w:styleId="3">
    <w:name w:val="Body Text"/>
    <w:basedOn w:val="1"/>
    <w:semiHidden/>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paragraph" w:styleId="5">
    <w:name w:val="Body Text First Indent"/>
    <w:basedOn w:val="3"/>
    <w:qFormat/>
    <w:uiPriority w:val="0"/>
    <w:pPr>
      <w:ind w:firstLine="420" w:firstLineChars="100"/>
    </w:p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标准段落正文"/>
    <w:basedOn w:val="10"/>
    <w:qFormat/>
    <w:uiPriority w:val="0"/>
    <w:pPr>
      <w:ind w:firstLine="480"/>
    </w:pPr>
  </w:style>
  <w:style w:type="paragraph" w:customStyle="1" w:styleId="10">
    <w:name w:val="单括号小标题"/>
    <w:basedOn w:val="1"/>
    <w:qFormat/>
    <w:uiPriority w:val="0"/>
    <w:pPr>
      <w:spacing w:beforeLines="50" w:afterLines="100" w:line="360" w:lineRule="auto"/>
      <w:ind w:left="567"/>
      <w:jc w:val="left"/>
    </w:pPr>
    <w:rPr>
      <w:rFonts w:eastAsia="黑体"/>
      <w:sz w:val="24"/>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style>
  <w:style w:type="character" w:customStyle="1" w:styleId="13">
    <w:name w:val="font81"/>
    <w:basedOn w:val="8"/>
    <w:qFormat/>
    <w:uiPriority w:val="0"/>
    <w:rPr>
      <w:rFonts w:hint="eastAsia" w:ascii="宋体" w:hAnsi="宋体" w:eastAsia="宋体" w:cs="宋体"/>
      <w:color w:val="FF0000"/>
      <w:sz w:val="40"/>
      <w:szCs w:val="40"/>
      <w:u w:val="none"/>
    </w:rPr>
  </w:style>
  <w:style w:type="character" w:customStyle="1" w:styleId="14">
    <w:name w:val="font121"/>
    <w:basedOn w:val="8"/>
    <w:qFormat/>
    <w:uiPriority w:val="0"/>
    <w:rPr>
      <w:rFonts w:hint="eastAsia" w:ascii="宋体" w:hAnsi="宋体" w:eastAsia="宋体" w:cs="宋体"/>
      <w:color w:val="000000"/>
      <w:sz w:val="40"/>
      <w:szCs w:val="40"/>
      <w:u w:val="none"/>
    </w:rPr>
  </w:style>
  <w:style w:type="character" w:customStyle="1" w:styleId="15">
    <w:name w:val="font61"/>
    <w:basedOn w:val="8"/>
    <w:qFormat/>
    <w:uiPriority w:val="0"/>
    <w:rPr>
      <w:rFonts w:hint="eastAsia" w:ascii="宋体" w:hAnsi="宋体" w:eastAsia="宋体" w:cs="宋体"/>
      <w:color w:val="000000"/>
      <w:sz w:val="40"/>
      <w:szCs w:val="40"/>
      <w:u w:val="none"/>
    </w:rPr>
  </w:style>
  <w:style w:type="character" w:customStyle="1" w:styleId="16">
    <w:name w:val="font101"/>
    <w:basedOn w:val="8"/>
    <w:qFormat/>
    <w:uiPriority w:val="0"/>
    <w:rPr>
      <w:rFonts w:hint="eastAsia" w:ascii="宋体" w:hAnsi="宋体" w:eastAsia="宋体" w:cs="宋体"/>
      <w:color w:val="000000"/>
      <w:sz w:val="40"/>
      <w:szCs w:val="40"/>
      <w:u w:val="none"/>
    </w:rPr>
  </w:style>
  <w:style w:type="character" w:customStyle="1" w:styleId="17">
    <w:name w:val="font71"/>
    <w:basedOn w:val="8"/>
    <w:qFormat/>
    <w:uiPriority w:val="0"/>
    <w:rPr>
      <w:rFonts w:hint="eastAsia" w:ascii="宋体" w:hAnsi="宋体" w:eastAsia="宋体" w:cs="宋体"/>
      <w:color w:val="000000"/>
      <w:sz w:val="40"/>
      <w:szCs w:val="40"/>
      <w:u w:val="none"/>
    </w:rPr>
  </w:style>
  <w:style w:type="paragraph" w:customStyle="1" w:styleId="18">
    <w:name w:val="Table Paragraph"/>
    <w:basedOn w:val="1"/>
    <w:qFormat/>
    <w:uiPriority w:val="1"/>
    <w:pPr>
      <w:framePr w:hSpace="180" w:wrap="around" w:vAnchor="text" w:hAnchor="page" w:xAlign="center" w:y="88"/>
    </w:pPr>
    <w:rPr>
      <w:rFonts w:ascii="仿宋" w:hAnsi="仿宋" w:eastAsia="仿宋" w:cs="仿宋"/>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4766</Words>
  <Characters>5105</Characters>
  <Lines>0</Lines>
  <Paragraphs>0</Paragraphs>
  <TotalTime>0</TotalTime>
  <ScaleCrop>false</ScaleCrop>
  <LinksUpToDate>false</LinksUpToDate>
  <CharactersWithSpaces>5156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2025-11-25T06:53:00Z</dcterms:created>
  <dc:creator>Administrator</dc:creator>
  <cp:lastModifiedBy>影子</cp:lastModifiedBy>
  <dcterms:modified xsi:type="dcterms:W3CDTF">2026-06-24T15:53:05Z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eyJoZGlkIjoiMzcyZTBmYzFiYzVlMGM3ZTk2NDU4YjE4MzAyNmNlNWIiLCJ1c2VySWQiOiIzNDQyODE4MjUifQ==</vt:lpwstr>
  </property>
  <property fmtid="{D5CDD505-2E9C-101B-9397-08002B2CF9AE}" pid="4" name="ICV">
    <vt:lpwstr>817A1E87F8794D39AB5E9A29A17CB1D7_12</vt:lpwstr>
  </property>
</Properties>
</file>