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715D4D">
      <w:pPr>
        <w:jc w:val="center"/>
        <w:rPr>
          <w:rFonts w:hint="default" w:hAnsi="宋体" w:eastAsia="宋体" w:cs="宋体"/>
          <w:b/>
          <w:bCs/>
          <w:color w:val="auto"/>
          <w:kern w:val="0"/>
          <w:sz w:val="30"/>
          <w:szCs w:val="30"/>
          <w:highlight w:val="none"/>
          <w:lang w:val="en-US" w:eastAsia="zh-CN"/>
        </w:rPr>
      </w:pPr>
      <w:r>
        <w:rPr>
          <w:rFonts w:hint="eastAsia" w:ascii="Calibri" w:hAnsi="宋体" w:eastAsia="宋体" w:cs="宋体"/>
          <w:b/>
          <w:bCs/>
          <w:color w:val="auto"/>
          <w:kern w:val="0"/>
          <w:sz w:val="30"/>
          <w:szCs w:val="30"/>
          <w:lang w:val="en-US" w:eastAsia="zh-CN" w:bidi="ar-SA"/>
        </w:rPr>
        <w:t>二、</w:t>
      </w:r>
      <w:r>
        <w:rPr>
          <w:rFonts w:hint="eastAsia" w:hAnsi="宋体" w:cs="宋体"/>
          <w:b/>
          <w:bCs/>
          <w:color w:val="auto"/>
          <w:kern w:val="0"/>
          <w:sz w:val="30"/>
          <w:szCs w:val="30"/>
          <w:highlight w:val="none"/>
        </w:rPr>
        <w:t>采购要求</w:t>
      </w:r>
      <w:r>
        <w:rPr>
          <w:rFonts w:hint="eastAsia" w:hAnsi="宋体" w:cs="宋体"/>
          <w:b/>
          <w:bCs/>
          <w:color w:val="auto"/>
          <w:kern w:val="0"/>
          <w:sz w:val="30"/>
          <w:szCs w:val="30"/>
          <w:highlight w:val="none"/>
          <w:lang w:val="en-US" w:eastAsia="zh-CN"/>
        </w:rPr>
        <w:t xml:space="preserve">     </w:t>
      </w:r>
    </w:p>
    <w:p w14:paraId="1A81628B">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hint="eastAsia" w:ascii="宋体" w:hAnsi="宋体" w:eastAsia="宋体" w:cs="宋体"/>
          <w:b/>
          <w:bCs/>
          <w:color w:val="auto"/>
          <w:sz w:val="21"/>
          <w:szCs w:val="21"/>
          <w:highlight w:val="none"/>
          <w:lang w:val="en-US" w:eastAsia="zh-CN"/>
        </w:rPr>
      </w:pPr>
      <w:bookmarkStart w:id="0" w:name="_Toc6361"/>
      <w:bookmarkStart w:id="1" w:name="_Toc218715575"/>
      <w:bookmarkStart w:id="2" w:name="_Toc18719"/>
      <w:bookmarkStart w:id="3" w:name="_Toc17239"/>
      <w:r>
        <w:rPr>
          <w:rFonts w:hint="eastAsia" w:ascii="宋体" w:hAnsi="宋体" w:eastAsia="宋体" w:cs="宋体"/>
          <w:b/>
          <w:bCs/>
          <w:color w:val="auto"/>
          <w:sz w:val="21"/>
          <w:szCs w:val="21"/>
          <w:highlight w:val="none"/>
          <w:lang w:val="en-US" w:eastAsia="zh-CN"/>
        </w:rPr>
        <w:t>1、</w:t>
      </w:r>
      <w:bookmarkEnd w:id="0"/>
      <w:bookmarkEnd w:id="1"/>
      <w:bookmarkEnd w:id="2"/>
      <w:bookmarkEnd w:id="3"/>
      <w:r>
        <w:rPr>
          <w:rFonts w:hint="eastAsia" w:ascii="宋体" w:hAnsi="宋体" w:eastAsia="宋体" w:cs="宋体"/>
          <w:b/>
          <w:bCs/>
          <w:color w:val="auto"/>
          <w:sz w:val="21"/>
          <w:szCs w:val="21"/>
          <w:highlight w:val="none"/>
          <w:lang w:val="en-US" w:eastAsia="zh-CN"/>
        </w:rPr>
        <w:t>采购需求及技术服务要求</w:t>
      </w:r>
    </w:p>
    <w:tbl>
      <w:tblPr>
        <w:tblStyle w:val="23"/>
        <w:tblW w:w="86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2467"/>
        <w:gridCol w:w="3235"/>
        <w:gridCol w:w="988"/>
        <w:gridCol w:w="1243"/>
      </w:tblGrid>
      <w:tr w14:paraId="6A758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750" w:type="dxa"/>
            <w:noWrap w:val="0"/>
            <w:vAlign w:val="center"/>
          </w:tcPr>
          <w:p w14:paraId="29AB20BC">
            <w:pPr>
              <w:spacing w:line="360" w:lineRule="auto"/>
              <w:jc w:val="center"/>
              <w:textAlignment w:val="center"/>
              <w:rPr>
                <w:rFonts w:hint="eastAsia" w:ascii="宋体" w:hAnsi="宋体" w:eastAsia="宋体" w:cs="宋体"/>
                <w:b/>
                <w:bCs/>
                <w:color w:val="000000"/>
                <w:sz w:val="21"/>
                <w:szCs w:val="21"/>
              </w:rPr>
            </w:pPr>
            <w:r>
              <w:rPr>
                <w:rFonts w:hint="eastAsia" w:ascii="宋体" w:hAnsi="宋体" w:eastAsia="宋体" w:cs="宋体"/>
                <w:b/>
                <w:bCs/>
                <w:color w:val="000000"/>
                <w:sz w:val="21"/>
                <w:szCs w:val="21"/>
                <w:lang w:bidi="ar"/>
              </w:rPr>
              <w:t>序号</w:t>
            </w:r>
          </w:p>
        </w:tc>
        <w:tc>
          <w:tcPr>
            <w:tcW w:w="2467" w:type="dxa"/>
            <w:noWrap w:val="0"/>
            <w:vAlign w:val="center"/>
          </w:tcPr>
          <w:p w14:paraId="49B49054">
            <w:pPr>
              <w:spacing w:line="360" w:lineRule="auto"/>
              <w:jc w:val="center"/>
              <w:textAlignment w:val="center"/>
              <w:rPr>
                <w:rFonts w:hint="eastAsia" w:ascii="宋体" w:hAnsi="宋体" w:eastAsia="宋体" w:cs="宋体"/>
                <w:b/>
                <w:bCs/>
                <w:color w:val="000000"/>
                <w:sz w:val="21"/>
                <w:szCs w:val="21"/>
              </w:rPr>
            </w:pPr>
            <w:r>
              <w:rPr>
                <w:rFonts w:hint="eastAsia" w:ascii="宋体" w:hAnsi="宋体" w:eastAsia="宋体" w:cs="宋体"/>
                <w:b/>
                <w:bCs/>
                <w:color w:val="000000"/>
                <w:sz w:val="21"/>
                <w:szCs w:val="21"/>
                <w:lang w:bidi="ar"/>
              </w:rPr>
              <w:t>名称</w:t>
            </w:r>
          </w:p>
        </w:tc>
        <w:tc>
          <w:tcPr>
            <w:tcW w:w="3235" w:type="dxa"/>
            <w:noWrap w:val="0"/>
            <w:vAlign w:val="center"/>
          </w:tcPr>
          <w:p w14:paraId="29C63BEA">
            <w:pPr>
              <w:spacing w:line="360" w:lineRule="auto"/>
              <w:jc w:val="center"/>
              <w:textAlignment w:val="center"/>
              <w:rPr>
                <w:rFonts w:hint="eastAsia" w:ascii="宋体" w:hAnsi="宋体" w:eastAsia="宋体" w:cs="宋体"/>
                <w:b/>
                <w:bCs/>
                <w:color w:val="000000"/>
                <w:sz w:val="21"/>
                <w:szCs w:val="21"/>
                <w:lang w:val="en-US" w:eastAsia="zh-CN" w:bidi="ar"/>
              </w:rPr>
            </w:pPr>
            <w:r>
              <w:rPr>
                <w:rFonts w:hint="eastAsia" w:ascii="宋体" w:hAnsi="宋体" w:eastAsia="宋体" w:cs="宋体"/>
                <w:b/>
                <w:bCs/>
                <w:color w:val="000000"/>
                <w:sz w:val="21"/>
                <w:szCs w:val="21"/>
                <w:lang w:val="en-US" w:eastAsia="zh-CN" w:bidi="ar"/>
              </w:rPr>
              <w:t>用量</w:t>
            </w:r>
          </w:p>
        </w:tc>
        <w:tc>
          <w:tcPr>
            <w:tcW w:w="988" w:type="dxa"/>
            <w:noWrap w:val="0"/>
            <w:vAlign w:val="center"/>
          </w:tcPr>
          <w:p w14:paraId="0A00996F">
            <w:pPr>
              <w:spacing w:line="360" w:lineRule="auto"/>
              <w:jc w:val="center"/>
              <w:textAlignment w:val="center"/>
              <w:rPr>
                <w:rFonts w:hint="eastAsia" w:ascii="宋体" w:hAnsi="宋体" w:eastAsia="宋体" w:cs="宋体"/>
                <w:b/>
                <w:bCs/>
                <w:color w:val="000000"/>
                <w:sz w:val="21"/>
                <w:szCs w:val="21"/>
              </w:rPr>
            </w:pPr>
            <w:r>
              <w:rPr>
                <w:rFonts w:hint="eastAsia" w:ascii="宋体" w:hAnsi="宋体" w:eastAsia="宋体" w:cs="宋体"/>
                <w:b/>
                <w:bCs/>
                <w:color w:val="000000"/>
                <w:sz w:val="21"/>
                <w:szCs w:val="21"/>
                <w:lang w:bidi="ar"/>
              </w:rPr>
              <w:t>单位</w:t>
            </w:r>
          </w:p>
        </w:tc>
        <w:tc>
          <w:tcPr>
            <w:tcW w:w="1243" w:type="dxa"/>
            <w:noWrap w:val="0"/>
            <w:vAlign w:val="center"/>
          </w:tcPr>
          <w:p w14:paraId="37A2195E">
            <w:pPr>
              <w:spacing w:line="360" w:lineRule="auto"/>
              <w:jc w:val="center"/>
              <w:textAlignment w:val="center"/>
              <w:rPr>
                <w:rFonts w:hint="eastAsia" w:ascii="宋体" w:hAnsi="宋体" w:eastAsia="宋体" w:cs="宋体"/>
                <w:b/>
                <w:bCs/>
                <w:color w:val="000000"/>
                <w:sz w:val="21"/>
                <w:szCs w:val="21"/>
              </w:rPr>
            </w:pPr>
            <w:r>
              <w:rPr>
                <w:rFonts w:hint="eastAsia" w:ascii="宋体" w:hAnsi="宋体" w:eastAsia="宋体" w:cs="宋体"/>
                <w:b/>
                <w:bCs/>
                <w:color w:val="000000"/>
                <w:sz w:val="21"/>
                <w:szCs w:val="21"/>
                <w:lang w:bidi="ar"/>
              </w:rPr>
              <w:t>数量</w:t>
            </w:r>
          </w:p>
        </w:tc>
      </w:tr>
      <w:tr w14:paraId="0CDDF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0" w:hRule="atLeast"/>
          <w:jc w:val="center"/>
        </w:trPr>
        <w:tc>
          <w:tcPr>
            <w:tcW w:w="750" w:type="dxa"/>
            <w:vMerge w:val="restart"/>
            <w:noWrap w:val="0"/>
            <w:vAlign w:val="center"/>
          </w:tcPr>
          <w:p w14:paraId="0E50EB06">
            <w:pPr>
              <w:spacing w:line="360" w:lineRule="auto"/>
              <w:jc w:val="center"/>
              <w:textAlignment w:val="center"/>
              <w:rPr>
                <w:rFonts w:hint="eastAsia" w:ascii="宋体" w:hAnsi="宋体" w:eastAsia="宋体" w:cs="宋体"/>
                <w:color w:val="000000"/>
                <w:sz w:val="21"/>
                <w:szCs w:val="21"/>
                <w:lang w:val="en-US" w:eastAsia="zh-CN"/>
              </w:rPr>
            </w:pPr>
            <w:r>
              <w:rPr>
                <w:rFonts w:hint="eastAsia" w:ascii="宋体" w:hAnsi="宋体" w:cs="宋体"/>
                <w:color w:val="000000"/>
                <w:sz w:val="21"/>
                <w:szCs w:val="21"/>
                <w:lang w:val="en-US" w:eastAsia="zh-CN"/>
              </w:rPr>
              <w:t>1</w:t>
            </w:r>
          </w:p>
        </w:tc>
        <w:tc>
          <w:tcPr>
            <w:tcW w:w="2467" w:type="dxa"/>
            <w:vMerge w:val="restart"/>
            <w:noWrap w:val="0"/>
            <w:vAlign w:val="center"/>
          </w:tcPr>
          <w:p w14:paraId="37A0DA5F">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土壤</w:t>
            </w:r>
            <w:r>
              <w:rPr>
                <w:rFonts w:hint="eastAsia" w:ascii="宋体" w:hAnsi="宋体" w:eastAsia="宋体" w:cs="宋体"/>
                <w:color w:val="000000"/>
                <w:sz w:val="21"/>
                <w:szCs w:val="21"/>
                <w:lang w:bidi="ar"/>
              </w:rPr>
              <w:t>钝化剂采购</w:t>
            </w:r>
            <w:r>
              <w:rPr>
                <w:rFonts w:hint="eastAsia" w:ascii="宋体" w:hAnsi="宋体" w:eastAsia="宋体" w:cs="宋体"/>
                <w:color w:val="000000"/>
                <w:sz w:val="21"/>
                <w:szCs w:val="21"/>
                <w:lang w:eastAsia="zh-CN" w:bidi="ar"/>
              </w:rPr>
              <w:t>（包含撒施）</w:t>
            </w:r>
          </w:p>
        </w:tc>
        <w:tc>
          <w:tcPr>
            <w:tcW w:w="3235" w:type="dxa"/>
            <w:noWrap w:val="0"/>
            <w:vAlign w:val="center"/>
          </w:tcPr>
          <w:p w14:paraId="2FE7D96C">
            <w:pPr>
              <w:spacing w:line="360" w:lineRule="auto"/>
              <w:jc w:val="center"/>
              <w:textAlignment w:val="center"/>
              <w:rPr>
                <w:rFonts w:hint="eastAsia" w:ascii="宋体" w:hAnsi="宋体" w:eastAsia="宋体" w:cs="宋体"/>
                <w:color w:val="000000"/>
                <w:sz w:val="21"/>
                <w:szCs w:val="21"/>
                <w:lang w:bidi="ar"/>
              </w:rPr>
            </w:pPr>
            <w:r>
              <w:rPr>
                <w:rFonts w:hint="eastAsia" w:ascii="宋体" w:hAnsi="宋体" w:eastAsia="宋体" w:cs="宋体"/>
                <w:b w:val="0"/>
                <w:bCs w:val="0"/>
                <w:color w:val="000000"/>
                <w:kern w:val="0"/>
                <w:sz w:val="21"/>
                <w:szCs w:val="21"/>
                <w:lang w:bidi="ar"/>
              </w:rPr>
              <w:t>Ⅰ类安全利用</w:t>
            </w:r>
            <w:r>
              <w:rPr>
                <w:rFonts w:hint="eastAsia" w:ascii="宋体" w:hAnsi="宋体" w:eastAsia="宋体" w:cs="宋体"/>
                <w:b w:val="0"/>
                <w:bCs w:val="0"/>
                <w:color w:val="000000"/>
                <w:sz w:val="21"/>
                <w:szCs w:val="21"/>
              </w:rPr>
              <w:t>区</w:t>
            </w:r>
            <w:r>
              <w:rPr>
                <w:rFonts w:hint="eastAsia" w:ascii="宋体" w:hAnsi="宋体" w:eastAsia="宋体" w:cs="宋体"/>
                <w:b w:val="0"/>
                <w:bCs w:val="0"/>
                <w:color w:val="000000"/>
                <w:sz w:val="21"/>
                <w:szCs w:val="21"/>
                <w:lang w:eastAsia="zh-CN"/>
              </w:rPr>
              <w:t>施用</w:t>
            </w:r>
            <w:r>
              <w:rPr>
                <w:rFonts w:hint="eastAsia" w:ascii="宋体" w:hAnsi="宋体" w:eastAsia="宋体" w:cs="宋体"/>
                <w:b w:val="0"/>
                <w:bCs w:val="0"/>
                <w:color w:val="000000"/>
                <w:sz w:val="21"/>
                <w:szCs w:val="21"/>
                <w:lang w:val="en-US" w:eastAsia="zh-CN"/>
              </w:rPr>
              <w:t>5</w:t>
            </w:r>
            <w:r>
              <w:rPr>
                <w:rFonts w:hint="eastAsia" w:ascii="宋体" w:hAnsi="宋体" w:eastAsia="宋体" w:cs="宋体"/>
                <w:b w:val="0"/>
                <w:bCs w:val="0"/>
                <w:color w:val="000000"/>
                <w:sz w:val="21"/>
                <w:szCs w:val="21"/>
              </w:rPr>
              <w:t>0kg/亩</w:t>
            </w:r>
            <w:r>
              <w:rPr>
                <w:rFonts w:hint="eastAsia" w:ascii="宋体" w:hAnsi="宋体" w:eastAsia="宋体" w:cs="宋体"/>
                <w:b w:val="0"/>
                <w:bCs w:val="0"/>
                <w:color w:val="000000"/>
                <w:sz w:val="21"/>
                <w:szCs w:val="21"/>
                <w:lang w:eastAsia="zh-CN"/>
              </w:rPr>
              <w:t>、</w:t>
            </w:r>
            <w:r>
              <w:rPr>
                <w:rFonts w:hint="eastAsia" w:ascii="宋体" w:hAnsi="宋体" w:eastAsia="宋体" w:cs="宋体"/>
                <w:b w:val="0"/>
                <w:bCs w:val="0"/>
                <w:color w:val="000000"/>
                <w:sz w:val="21"/>
                <w:szCs w:val="21"/>
              </w:rPr>
              <w:t>Ⅱ类</w:t>
            </w:r>
            <w:r>
              <w:rPr>
                <w:rFonts w:hint="eastAsia" w:ascii="宋体" w:hAnsi="宋体" w:eastAsia="宋体" w:cs="宋体"/>
                <w:b w:val="0"/>
                <w:bCs w:val="0"/>
                <w:color w:val="000000"/>
                <w:sz w:val="21"/>
                <w:szCs w:val="21"/>
                <w:lang w:eastAsia="zh-CN"/>
              </w:rPr>
              <w:t>施用</w:t>
            </w:r>
            <w:r>
              <w:rPr>
                <w:rFonts w:hint="eastAsia" w:ascii="宋体" w:hAnsi="宋体" w:eastAsia="宋体" w:cs="宋体"/>
                <w:b w:val="0"/>
                <w:bCs w:val="0"/>
                <w:color w:val="000000"/>
                <w:sz w:val="21"/>
                <w:szCs w:val="21"/>
                <w:lang w:val="en-US" w:eastAsia="zh-CN"/>
              </w:rPr>
              <w:t>10</w:t>
            </w:r>
            <w:r>
              <w:rPr>
                <w:rFonts w:hint="eastAsia" w:ascii="宋体" w:hAnsi="宋体" w:eastAsia="宋体" w:cs="宋体"/>
                <w:b w:val="0"/>
                <w:bCs w:val="0"/>
                <w:color w:val="000000"/>
                <w:sz w:val="21"/>
                <w:szCs w:val="21"/>
              </w:rPr>
              <w:t>0kg/亩</w:t>
            </w:r>
            <w:r>
              <w:rPr>
                <w:rFonts w:hint="eastAsia" w:ascii="宋体" w:hAnsi="宋体" w:eastAsia="宋体" w:cs="宋体"/>
                <w:b w:val="0"/>
                <w:bCs w:val="0"/>
                <w:color w:val="000000"/>
                <w:sz w:val="21"/>
                <w:szCs w:val="21"/>
                <w:lang w:eastAsia="zh-CN"/>
              </w:rPr>
              <w:t>、</w:t>
            </w:r>
            <w:r>
              <w:rPr>
                <w:rFonts w:hint="eastAsia" w:ascii="宋体" w:hAnsi="宋体" w:eastAsia="宋体" w:cs="宋体"/>
                <w:b w:val="0"/>
                <w:bCs w:val="0"/>
                <w:color w:val="000000"/>
                <w:sz w:val="21"/>
                <w:szCs w:val="21"/>
              </w:rPr>
              <w:t>Ⅲ类</w:t>
            </w:r>
            <w:r>
              <w:rPr>
                <w:rFonts w:hint="eastAsia" w:ascii="宋体" w:hAnsi="宋体" w:eastAsia="宋体" w:cs="宋体"/>
                <w:b w:val="0"/>
                <w:bCs w:val="0"/>
                <w:color w:val="000000"/>
                <w:sz w:val="21"/>
                <w:szCs w:val="21"/>
                <w:lang w:eastAsia="zh-CN"/>
              </w:rPr>
              <w:t>施用</w:t>
            </w:r>
            <w:r>
              <w:rPr>
                <w:rFonts w:hint="eastAsia" w:ascii="宋体" w:hAnsi="宋体" w:eastAsia="宋体" w:cs="宋体"/>
                <w:b w:val="0"/>
                <w:bCs w:val="0"/>
                <w:color w:val="000000"/>
                <w:sz w:val="21"/>
                <w:szCs w:val="21"/>
                <w:lang w:val="en-US" w:eastAsia="zh-CN"/>
              </w:rPr>
              <w:t>20</w:t>
            </w:r>
            <w:r>
              <w:rPr>
                <w:rFonts w:hint="eastAsia" w:ascii="宋体" w:hAnsi="宋体" w:eastAsia="宋体" w:cs="宋体"/>
                <w:b w:val="0"/>
                <w:bCs w:val="0"/>
                <w:color w:val="000000"/>
                <w:sz w:val="21"/>
                <w:szCs w:val="21"/>
              </w:rPr>
              <w:t>0kg/亩</w:t>
            </w:r>
          </w:p>
        </w:tc>
        <w:tc>
          <w:tcPr>
            <w:tcW w:w="988" w:type="dxa"/>
            <w:vMerge w:val="restart"/>
            <w:noWrap w:val="0"/>
            <w:vAlign w:val="center"/>
          </w:tcPr>
          <w:p w14:paraId="657E7C43">
            <w:pPr>
              <w:spacing w:line="360" w:lineRule="auto"/>
              <w:jc w:val="center"/>
              <w:textAlignment w:val="center"/>
              <w:rPr>
                <w:rFonts w:hint="eastAsia" w:ascii="宋体" w:hAnsi="宋体" w:eastAsia="宋体" w:cs="宋体"/>
                <w:color w:val="000000"/>
                <w:sz w:val="21"/>
                <w:szCs w:val="21"/>
                <w:lang w:eastAsia="zh-CN"/>
              </w:rPr>
            </w:pPr>
            <w:r>
              <w:rPr>
                <w:rFonts w:hint="eastAsia" w:ascii="宋体" w:hAnsi="宋体" w:cs="宋体"/>
                <w:color w:val="000000"/>
                <w:sz w:val="21"/>
                <w:szCs w:val="21"/>
                <w:lang w:eastAsia="zh-CN"/>
              </w:rPr>
              <w:t>吨</w:t>
            </w:r>
          </w:p>
        </w:tc>
        <w:tc>
          <w:tcPr>
            <w:tcW w:w="1243" w:type="dxa"/>
            <w:noWrap w:val="0"/>
            <w:vAlign w:val="center"/>
          </w:tcPr>
          <w:p w14:paraId="32112D11">
            <w:pPr>
              <w:spacing w:line="360" w:lineRule="auto"/>
              <w:jc w:val="center"/>
              <w:textAlignment w:val="center"/>
              <w:rPr>
                <w:rFonts w:hint="eastAsia" w:ascii="宋体" w:hAnsi="宋体" w:eastAsia="宋体" w:cs="宋体"/>
                <w:color w:val="000000"/>
                <w:sz w:val="21"/>
                <w:szCs w:val="21"/>
                <w:lang w:val="en-US" w:eastAsia="zh-CN" w:bidi="ar"/>
              </w:rPr>
            </w:pPr>
            <w:r>
              <w:rPr>
                <w:rFonts w:hint="eastAsia" w:ascii="宋体" w:hAnsi="宋体" w:eastAsia="宋体" w:cs="宋体"/>
                <w:color w:val="000000"/>
                <w:sz w:val="21"/>
                <w:szCs w:val="21"/>
                <w:lang w:val="en-US" w:eastAsia="zh-CN"/>
              </w:rPr>
              <w:t>402</w:t>
            </w:r>
          </w:p>
        </w:tc>
      </w:tr>
      <w:tr w14:paraId="38FC6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jc w:val="center"/>
        </w:trPr>
        <w:tc>
          <w:tcPr>
            <w:tcW w:w="750" w:type="dxa"/>
            <w:noWrap w:val="0"/>
            <w:vAlign w:val="center"/>
          </w:tcPr>
          <w:p w14:paraId="2D3D0C80">
            <w:pPr>
              <w:spacing w:line="360" w:lineRule="auto"/>
              <w:jc w:val="center"/>
              <w:textAlignment w:val="center"/>
              <w:rPr>
                <w:rFonts w:hint="eastAsia" w:ascii="宋体" w:hAnsi="宋体" w:eastAsia="宋体" w:cs="宋体"/>
                <w:color w:val="000000"/>
                <w:sz w:val="21"/>
                <w:szCs w:val="21"/>
                <w:lang w:val="en-US" w:eastAsia="zh-CN" w:bidi="ar"/>
              </w:rPr>
            </w:pPr>
          </w:p>
          <w:p w14:paraId="668C6AD5">
            <w:pPr>
              <w:spacing w:line="360" w:lineRule="auto"/>
              <w:jc w:val="center"/>
              <w:textAlignment w:val="center"/>
              <w:rPr>
                <w:rFonts w:hint="default" w:ascii="宋体" w:hAnsi="宋体" w:eastAsia="宋体" w:cs="宋体"/>
                <w:color w:val="000000"/>
                <w:sz w:val="21"/>
                <w:szCs w:val="21"/>
                <w:lang w:val="en-US" w:eastAsia="zh-CN" w:bidi="ar"/>
              </w:rPr>
            </w:pPr>
            <w:r>
              <w:rPr>
                <w:rFonts w:hint="eastAsia" w:ascii="宋体" w:hAnsi="宋体" w:cs="宋体"/>
                <w:color w:val="000000"/>
                <w:sz w:val="21"/>
                <w:szCs w:val="21"/>
                <w:lang w:val="en-US" w:eastAsia="zh-CN" w:bidi="ar"/>
              </w:rPr>
              <w:t>2</w:t>
            </w:r>
          </w:p>
          <w:p w14:paraId="72D93F85">
            <w:pPr>
              <w:spacing w:line="360" w:lineRule="auto"/>
              <w:jc w:val="center"/>
              <w:textAlignment w:val="center"/>
              <w:rPr>
                <w:rFonts w:hint="eastAsia" w:ascii="宋体" w:hAnsi="宋体" w:eastAsia="宋体" w:cs="宋体"/>
                <w:color w:val="000000"/>
                <w:sz w:val="21"/>
                <w:szCs w:val="21"/>
              </w:rPr>
            </w:pPr>
          </w:p>
        </w:tc>
        <w:tc>
          <w:tcPr>
            <w:tcW w:w="2467" w:type="dxa"/>
            <w:noWrap w:val="0"/>
            <w:vAlign w:val="center"/>
          </w:tcPr>
          <w:p w14:paraId="01802076">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叶面阻控剂</w:t>
            </w:r>
            <w:r>
              <w:rPr>
                <w:rFonts w:hint="eastAsia" w:ascii="宋体" w:hAnsi="宋体" w:eastAsia="宋体" w:cs="宋体"/>
                <w:color w:val="000000"/>
                <w:sz w:val="21"/>
                <w:szCs w:val="21"/>
                <w:lang w:eastAsia="zh-CN" w:bidi="ar"/>
              </w:rPr>
              <w:t>采购、喷施</w:t>
            </w:r>
          </w:p>
        </w:tc>
        <w:tc>
          <w:tcPr>
            <w:tcW w:w="3235" w:type="dxa"/>
            <w:noWrap w:val="0"/>
            <w:vAlign w:val="center"/>
          </w:tcPr>
          <w:p w14:paraId="4C266552">
            <w:pPr>
              <w:spacing w:line="360" w:lineRule="auto"/>
              <w:jc w:val="center"/>
              <w:rPr>
                <w:rFonts w:hint="eastAsia" w:ascii="宋体" w:hAnsi="宋体" w:eastAsia="宋体" w:cs="宋体"/>
                <w:color w:val="000000"/>
                <w:sz w:val="21"/>
                <w:szCs w:val="21"/>
                <w:lang w:val="en-US" w:eastAsia="zh-CN"/>
              </w:rPr>
            </w:pPr>
            <w:r>
              <w:rPr>
                <w:rFonts w:hint="eastAsia" w:ascii="宋体" w:hAnsi="宋体" w:eastAsia="宋体" w:cs="宋体"/>
                <w:b w:val="0"/>
                <w:bCs w:val="0"/>
                <w:color w:val="000000"/>
                <w:kern w:val="0"/>
                <w:sz w:val="21"/>
                <w:szCs w:val="21"/>
                <w:lang w:bidi="ar"/>
              </w:rPr>
              <w:t>Ⅰ类安全利用</w:t>
            </w:r>
            <w:r>
              <w:rPr>
                <w:rFonts w:hint="eastAsia" w:ascii="宋体" w:hAnsi="宋体" w:eastAsia="宋体" w:cs="宋体"/>
                <w:b w:val="0"/>
                <w:bCs w:val="0"/>
                <w:color w:val="000000"/>
                <w:sz w:val="21"/>
                <w:szCs w:val="21"/>
              </w:rPr>
              <w:t>区</w:t>
            </w:r>
            <w:r>
              <w:rPr>
                <w:rFonts w:hint="eastAsia" w:ascii="宋体" w:hAnsi="宋体" w:eastAsia="宋体" w:cs="宋体"/>
                <w:b w:val="0"/>
                <w:bCs w:val="0"/>
                <w:color w:val="000000"/>
                <w:sz w:val="21"/>
                <w:szCs w:val="21"/>
                <w:lang w:eastAsia="zh-CN"/>
              </w:rPr>
              <w:t>施用</w:t>
            </w:r>
            <w:r>
              <w:rPr>
                <w:rFonts w:hint="eastAsia" w:ascii="宋体" w:hAnsi="宋体" w:eastAsia="宋体" w:cs="宋体"/>
                <w:color w:val="000000"/>
                <w:sz w:val="21"/>
                <w:szCs w:val="21"/>
                <w:lang w:val="en-US" w:eastAsia="zh-CN"/>
              </w:rPr>
              <w:t>250ml/亩/次</w:t>
            </w:r>
            <w:r>
              <w:rPr>
                <w:rFonts w:hint="eastAsia" w:ascii="宋体" w:hAnsi="宋体" w:eastAsia="宋体" w:cs="宋体"/>
                <w:b w:val="0"/>
                <w:bCs w:val="0"/>
                <w:color w:val="000000"/>
                <w:sz w:val="21"/>
                <w:szCs w:val="21"/>
                <w:lang w:eastAsia="zh-CN"/>
              </w:rPr>
              <w:t>、</w:t>
            </w:r>
            <w:r>
              <w:rPr>
                <w:rFonts w:hint="eastAsia" w:ascii="宋体" w:hAnsi="宋体" w:eastAsia="宋体" w:cs="宋体"/>
                <w:b w:val="0"/>
                <w:bCs w:val="0"/>
                <w:color w:val="000000"/>
                <w:sz w:val="21"/>
                <w:szCs w:val="21"/>
              </w:rPr>
              <w:t>Ⅱ类</w:t>
            </w:r>
            <w:r>
              <w:rPr>
                <w:rFonts w:hint="eastAsia" w:ascii="宋体" w:hAnsi="宋体" w:eastAsia="宋体" w:cs="宋体"/>
                <w:b w:val="0"/>
                <w:bCs w:val="0"/>
                <w:color w:val="000000"/>
                <w:sz w:val="21"/>
                <w:szCs w:val="21"/>
                <w:lang w:eastAsia="zh-CN"/>
              </w:rPr>
              <w:t>施用</w:t>
            </w:r>
            <w:r>
              <w:rPr>
                <w:rFonts w:hint="eastAsia" w:ascii="宋体" w:hAnsi="宋体" w:eastAsia="宋体" w:cs="宋体"/>
                <w:color w:val="000000"/>
                <w:sz w:val="21"/>
                <w:szCs w:val="21"/>
                <w:lang w:val="en-US" w:eastAsia="zh-CN"/>
              </w:rPr>
              <w:t>300ml/亩/次</w:t>
            </w:r>
            <w:r>
              <w:rPr>
                <w:rFonts w:hint="eastAsia" w:ascii="宋体" w:hAnsi="宋体" w:eastAsia="宋体" w:cs="宋体"/>
                <w:b w:val="0"/>
                <w:bCs w:val="0"/>
                <w:color w:val="000000"/>
                <w:sz w:val="21"/>
                <w:szCs w:val="21"/>
                <w:lang w:eastAsia="zh-CN"/>
              </w:rPr>
              <w:t>、</w:t>
            </w:r>
            <w:r>
              <w:rPr>
                <w:rFonts w:hint="eastAsia" w:ascii="宋体" w:hAnsi="宋体" w:eastAsia="宋体" w:cs="宋体"/>
                <w:b w:val="0"/>
                <w:bCs w:val="0"/>
                <w:color w:val="000000"/>
                <w:sz w:val="21"/>
                <w:szCs w:val="21"/>
              </w:rPr>
              <w:t>Ⅲ类</w:t>
            </w:r>
            <w:r>
              <w:rPr>
                <w:rFonts w:hint="eastAsia" w:ascii="宋体" w:hAnsi="宋体" w:eastAsia="宋体" w:cs="宋体"/>
                <w:b w:val="0"/>
                <w:bCs w:val="0"/>
                <w:color w:val="000000"/>
                <w:sz w:val="21"/>
                <w:szCs w:val="21"/>
                <w:lang w:eastAsia="zh-CN"/>
              </w:rPr>
              <w:t>施用</w:t>
            </w:r>
            <w:r>
              <w:rPr>
                <w:rFonts w:hint="eastAsia" w:ascii="宋体" w:hAnsi="宋体" w:eastAsia="宋体" w:cs="宋体"/>
                <w:b w:val="0"/>
                <w:bCs w:val="0"/>
                <w:color w:val="000000"/>
                <w:sz w:val="21"/>
                <w:szCs w:val="21"/>
                <w:lang w:val="en-US" w:eastAsia="zh-CN"/>
              </w:rPr>
              <w:t>4</w:t>
            </w:r>
            <w:r>
              <w:rPr>
                <w:rFonts w:hint="eastAsia" w:ascii="宋体" w:hAnsi="宋体" w:eastAsia="宋体" w:cs="宋体"/>
                <w:color w:val="000000"/>
                <w:sz w:val="21"/>
                <w:szCs w:val="21"/>
                <w:lang w:val="en-US" w:eastAsia="zh-CN"/>
              </w:rPr>
              <w:t>00ml/亩/次，每季两次</w:t>
            </w:r>
          </w:p>
          <w:p w14:paraId="2C0A79E2">
            <w:pPr>
              <w:spacing w:line="360" w:lineRule="auto"/>
              <w:jc w:val="center"/>
              <w:rPr>
                <w:rFonts w:hint="eastAsia" w:ascii="宋体" w:hAnsi="宋体" w:eastAsia="宋体" w:cs="宋体"/>
                <w:color w:val="000000"/>
                <w:sz w:val="21"/>
                <w:szCs w:val="21"/>
                <w:lang w:val="en-US" w:eastAsia="zh-CN"/>
              </w:rPr>
            </w:pPr>
          </w:p>
        </w:tc>
        <w:tc>
          <w:tcPr>
            <w:tcW w:w="988" w:type="dxa"/>
            <w:noWrap w:val="0"/>
            <w:vAlign w:val="center"/>
          </w:tcPr>
          <w:p w14:paraId="34927369">
            <w:pPr>
              <w:spacing w:line="360" w:lineRule="auto"/>
              <w:jc w:val="center"/>
              <w:rPr>
                <w:rFonts w:hint="eastAsia" w:ascii="宋体" w:hAnsi="宋体" w:eastAsia="宋体" w:cs="宋体"/>
                <w:color w:val="000000"/>
                <w:sz w:val="21"/>
                <w:szCs w:val="21"/>
                <w:lang w:val="en-US" w:eastAsia="zh-CN"/>
              </w:rPr>
            </w:pPr>
            <w:r>
              <w:rPr>
                <w:rFonts w:hint="eastAsia" w:ascii="宋体" w:hAnsi="宋体" w:cs="宋体"/>
                <w:color w:val="000000"/>
                <w:sz w:val="21"/>
                <w:szCs w:val="21"/>
                <w:lang w:val="en-US" w:eastAsia="zh-CN"/>
              </w:rPr>
              <w:t>升</w:t>
            </w:r>
          </w:p>
        </w:tc>
        <w:tc>
          <w:tcPr>
            <w:tcW w:w="1243" w:type="dxa"/>
            <w:noWrap w:val="0"/>
            <w:vAlign w:val="center"/>
          </w:tcPr>
          <w:p w14:paraId="767A614E">
            <w:pPr>
              <w:jc w:val="center"/>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3796</w:t>
            </w:r>
          </w:p>
        </w:tc>
      </w:tr>
      <w:tr w14:paraId="42AB9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jc w:val="center"/>
        </w:trPr>
        <w:tc>
          <w:tcPr>
            <w:tcW w:w="750" w:type="dxa"/>
            <w:noWrap/>
            <w:vAlign w:val="center"/>
          </w:tcPr>
          <w:p w14:paraId="6D352364">
            <w:pPr>
              <w:spacing w:line="360" w:lineRule="auto"/>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3</w:t>
            </w:r>
          </w:p>
        </w:tc>
        <w:tc>
          <w:tcPr>
            <w:tcW w:w="2467" w:type="dxa"/>
            <w:shd w:val="clear" w:color="auto" w:fill="auto"/>
            <w:noWrap/>
            <w:vAlign w:val="center"/>
          </w:tcPr>
          <w:p w14:paraId="27817DD9">
            <w:pPr>
              <w:spacing w:line="360" w:lineRule="auto"/>
              <w:jc w:val="center"/>
              <w:textAlignment w:val="center"/>
              <w:rPr>
                <w:rFonts w:hint="eastAsia" w:ascii="宋体" w:hAnsi="宋体" w:eastAsia="宋体" w:cs="宋体"/>
                <w:color w:val="000000"/>
                <w:kern w:val="0"/>
                <w:sz w:val="21"/>
                <w:szCs w:val="21"/>
                <w:lang w:val="zh-CN" w:eastAsia="zh-CN" w:bidi="zh-CN"/>
              </w:rPr>
            </w:pPr>
            <w:r>
              <w:rPr>
                <w:rFonts w:hint="eastAsia" w:ascii="宋体" w:hAnsi="宋体" w:eastAsia="宋体" w:cs="宋体"/>
                <w:color w:val="000000"/>
                <w:sz w:val="21"/>
                <w:szCs w:val="21"/>
                <w:lang w:bidi="ar"/>
              </w:rPr>
              <w:t>结构调整区有机肥（含运费）</w:t>
            </w:r>
          </w:p>
        </w:tc>
        <w:tc>
          <w:tcPr>
            <w:tcW w:w="3235" w:type="dxa"/>
            <w:shd w:val="clear" w:color="auto" w:fill="auto"/>
            <w:noWrap/>
            <w:vAlign w:val="center"/>
          </w:tcPr>
          <w:p w14:paraId="7903D228">
            <w:pPr>
              <w:spacing w:line="360" w:lineRule="auto"/>
              <w:jc w:val="center"/>
              <w:textAlignment w:val="center"/>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sz w:val="21"/>
                <w:szCs w:val="21"/>
                <w:lang w:val="en-US" w:eastAsia="zh-CN" w:bidi="ar"/>
              </w:rPr>
              <w:t>8</w:t>
            </w:r>
            <w:r>
              <w:rPr>
                <w:rFonts w:hint="eastAsia" w:ascii="宋体" w:hAnsi="宋体" w:eastAsia="宋体" w:cs="宋体"/>
                <w:color w:val="000000"/>
                <w:sz w:val="21"/>
                <w:szCs w:val="21"/>
                <w:lang w:val="en-US" w:bidi="ar"/>
              </w:rPr>
              <w:t>0kg/亩</w:t>
            </w:r>
          </w:p>
        </w:tc>
        <w:tc>
          <w:tcPr>
            <w:tcW w:w="988" w:type="dxa"/>
            <w:shd w:val="clear" w:color="auto" w:fill="auto"/>
            <w:noWrap/>
            <w:vAlign w:val="center"/>
          </w:tcPr>
          <w:p w14:paraId="4D423AB3">
            <w:pPr>
              <w:spacing w:line="360" w:lineRule="auto"/>
              <w:jc w:val="center"/>
              <w:textAlignment w:val="center"/>
              <w:rPr>
                <w:rFonts w:hint="eastAsia" w:ascii="宋体" w:hAnsi="宋体" w:eastAsia="宋体" w:cs="宋体"/>
                <w:color w:val="000000"/>
                <w:kern w:val="0"/>
                <w:sz w:val="21"/>
                <w:szCs w:val="21"/>
                <w:lang w:val="zh-CN" w:eastAsia="zh-CN" w:bidi="zh-CN"/>
              </w:rPr>
            </w:pPr>
            <w:r>
              <w:rPr>
                <w:rFonts w:hint="eastAsia" w:ascii="宋体" w:hAnsi="宋体" w:eastAsia="宋体" w:cs="宋体"/>
                <w:color w:val="000000"/>
                <w:sz w:val="21"/>
                <w:szCs w:val="21"/>
                <w:lang w:eastAsia="zh-CN"/>
              </w:rPr>
              <w:t>吨</w:t>
            </w:r>
          </w:p>
        </w:tc>
        <w:tc>
          <w:tcPr>
            <w:tcW w:w="1243" w:type="dxa"/>
            <w:shd w:val="clear" w:color="auto" w:fill="auto"/>
            <w:noWrap/>
            <w:vAlign w:val="center"/>
          </w:tcPr>
          <w:p w14:paraId="7F2BCA6C">
            <w:pPr>
              <w:jc w:val="center"/>
              <w:textAlignment w:val="center"/>
              <w:rPr>
                <w:rFonts w:hint="eastAsia" w:ascii="宋体" w:hAnsi="宋体" w:eastAsia="宋体" w:cs="宋体"/>
                <w:color w:val="000000"/>
                <w:kern w:val="0"/>
                <w:sz w:val="21"/>
                <w:szCs w:val="21"/>
                <w:lang w:val="en-US" w:eastAsia="zh-CN" w:bidi="zh-CN"/>
              </w:rPr>
            </w:pPr>
            <w:r>
              <w:rPr>
                <w:rFonts w:hint="eastAsia" w:ascii="宋体" w:hAnsi="宋体" w:eastAsia="宋体" w:cs="宋体"/>
                <w:color w:val="000000"/>
                <w:sz w:val="21"/>
                <w:szCs w:val="21"/>
                <w:lang w:val="en-US" w:eastAsia="zh-CN"/>
              </w:rPr>
              <w:t>224.6</w:t>
            </w:r>
          </w:p>
        </w:tc>
      </w:tr>
      <w:tr w14:paraId="42391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750" w:type="dxa"/>
            <w:noWrap/>
            <w:vAlign w:val="center"/>
          </w:tcPr>
          <w:p w14:paraId="78C77A9B">
            <w:pPr>
              <w:spacing w:line="360" w:lineRule="auto"/>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4</w:t>
            </w:r>
          </w:p>
        </w:tc>
        <w:tc>
          <w:tcPr>
            <w:tcW w:w="2467" w:type="dxa"/>
            <w:noWrap/>
            <w:vAlign w:val="center"/>
          </w:tcPr>
          <w:p w14:paraId="069ABA12">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严格管控</w:t>
            </w:r>
          </w:p>
        </w:tc>
        <w:tc>
          <w:tcPr>
            <w:tcW w:w="3235" w:type="dxa"/>
            <w:noWrap/>
            <w:vAlign w:val="center"/>
          </w:tcPr>
          <w:p w14:paraId="0BCE7CAA">
            <w:pPr>
              <w:spacing w:line="360" w:lineRule="auto"/>
              <w:jc w:val="center"/>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val="en-US" w:eastAsia="zh-CN" w:bidi="ar"/>
              </w:rPr>
              <w:t>/</w:t>
            </w:r>
          </w:p>
        </w:tc>
        <w:tc>
          <w:tcPr>
            <w:tcW w:w="988" w:type="dxa"/>
            <w:noWrap/>
            <w:vAlign w:val="center"/>
          </w:tcPr>
          <w:p w14:paraId="65D1D0B9">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项</w:t>
            </w:r>
          </w:p>
        </w:tc>
        <w:tc>
          <w:tcPr>
            <w:tcW w:w="1243" w:type="dxa"/>
            <w:noWrap/>
            <w:vAlign w:val="center"/>
          </w:tcPr>
          <w:p w14:paraId="624E6A14">
            <w:pPr>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1</w:t>
            </w:r>
          </w:p>
        </w:tc>
      </w:tr>
      <w:tr w14:paraId="2B165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750" w:type="dxa"/>
            <w:noWrap w:val="0"/>
            <w:vAlign w:val="center"/>
          </w:tcPr>
          <w:p w14:paraId="1A0EA699">
            <w:pPr>
              <w:spacing w:line="360" w:lineRule="auto"/>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5</w:t>
            </w:r>
          </w:p>
        </w:tc>
        <w:tc>
          <w:tcPr>
            <w:tcW w:w="2467" w:type="dxa"/>
            <w:noWrap w:val="0"/>
            <w:vAlign w:val="center"/>
          </w:tcPr>
          <w:p w14:paraId="53F3EB24">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实施方案编制</w:t>
            </w:r>
          </w:p>
        </w:tc>
        <w:tc>
          <w:tcPr>
            <w:tcW w:w="3235" w:type="dxa"/>
            <w:noWrap w:val="0"/>
            <w:vAlign w:val="center"/>
          </w:tcPr>
          <w:p w14:paraId="62DAA46D">
            <w:pPr>
              <w:spacing w:line="360" w:lineRule="auto"/>
              <w:jc w:val="center"/>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val="en-US" w:eastAsia="zh-CN" w:bidi="ar"/>
              </w:rPr>
              <w:t>/</w:t>
            </w:r>
          </w:p>
        </w:tc>
        <w:tc>
          <w:tcPr>
            <w:tcW w:w="988" w:type="dxa"/>
            <w:noWrap w:val="0"/>
            <w:vAlign w:val="center"/>
          </w:tcPr>
          <w:p w14:paraId="3ED6112B">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项</w:t>
            </w:r>
          </w:p>
        </w:tc>
        <w:tc>
          <w:tcPr>
            <w:tcW w:w="1243" w:type="dxa"/>
            <w:noWrap w:val="0"/>
            <w:vAlign w:val="center"/>
          </w:tcPr>
          <w:p w14:paraId="3101ABB1">
            <w:pPr>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1</w:t>
            </w:r>
          </w:p>
        </w:tc>
      </w:tr>
      <w:tr w14:paraId="42554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750" w:type="dxa"/>
            <w:noWrap w:val="0"/>
            <w:vAlign w:val="center"/>
          </w:tcPr>
          <w:p w14:paraId="763D18CD">
            <w:pPr>
              <w:spacing w:line="360" w:lineRule="auto"/>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6</w:t>
            </w:r>
          </w:p>
        </w:tc>
        <w:tc>
          <w:tcPr>
            <w:tcW w:w="2467" w:type="dxa"/>
            <w:noWrap w:val="0"/>
            <w:vAlign w:val="center"/>
          </w:tcPr>
          <w:p w14:paraId="09ECA302">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投入品取样检测费</w:t>
            </w:r>
          </w:p>
        </w:tc>
        <w:tc>
          <w:tcPr>
            <w:tcW w:w="3235" w:type="dxa"/>
            <w:noWrap w:val="0"/>
            <w:vAlign w:val="center"/>
          </w:tcPr>
          <w:p w14:paraId="28EBBD8C">
            <w:pPr>
              <w:spacing w:line="360" w:lineRule="auto"/>
              <w:jc w:val="center"/>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val="en-US" w:eastAsia="zh-CN" w:bidi="ar"/>
              </w:rPr>
              <w:t>/</w:t>
            </w:r>
          </w:p>
        </w:tc>
        <w:tc>
          <w:tcPr>
            <w:tcW w:w="988" w:type="dxa"/>
            <w:noWrap w:val="0"/>
            <w:vAlign w:val="center"/>
          </w:tcPr>
          <w:p w14:paraId="6357C073">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个</w:t>
            </w:r>
          </w:p>
        </w:tc>
        <w:tc>
          <w:tcPr>
            <w:tcW w:w="1243" w:type="dxa"/>
            <w:noWrap w:val="0"/>
            <w:vAlign w:val="center"/>
          </w:tcPr>
          <w:p w14:paraId="7645A47A">
            <w:pPr>
              <w:jc w:val="center"/>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6</w:t>
            </w:r>
          </w:p>
        </w:tc>
      </w:tr>
      <w:tr w14:paraId="01A20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750" w:type="dxa"/>
            <w:noWrap w:val="0"/>
            <w:vAlign w:val="center"/>
          </w:tcPr>
          <w:p w14:paraId="74D1F816">
            <w:pPr>
              <w:spacing w:line="360" w:lineRule="auto"/>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7</w:t>
            </w:r>
          </w:p>
        </w:tc>
        <w:tc>
          <w:tcPr>
            <w:tcW w:w="2467" w:type="dxa"/>
            <w:noWrap w:val="0"/>
            <w:vAlign w:val="center"/>
          </w:tcPr>
          <w:p w14:paraId="1170A4C6">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灌溉水取样检测费</w:t>
            </w:r>
          </w:p>
        </w:tc>
        <w:tc>
          <w:tcPr>
            <w:tcW w:w="3235" w:type="dxa"/>
            <w:noWrap w:val="0"/>
            <w:vAlign w:val="center"/>
          </w:tcPr>
          <w:p w14:paraId="186EC4D5">
            <w:pPr>
              <w:spacing w:line="360" w:lineRule="auto"/>
              <w:jc w:val="center"/>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val="en-US" w:eastAsia="zh-CN" w:bidi="ar"/>
              </w:rPr>
              <w:t>/</w:t>
            </w:r>
          </w:p>
        </w:tc>
        <w:tc>
          <w:tcPr>
            <w:tcW w:w="988" w:type="dxa"/>
            <w:noWrap w:val="0"/>
            <w:vAlign w:val="center"/>
          </w:tcPr>
          <w:p w14:paraId="7DDCAB61">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个</w:t>
            </w:r>
          </w:p>
        </w:tc>
        <w:tc>
          <w:tcPr>
            <w:tcW w:w="1243" w:type="dxa"/>
            <w:noWrap w:val="0"/>
            <w:vAlign w:val="center"/>
          </w:tcPr>
          <w:p w14:paraId="1CCB9D7B">
            <w:pPr>
              <w:jc w:val="center"/>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6</w:t>
            </w:r>
          </w:p>
        </w:tc>
      </w:tr>
      <w:tr w14:paraId="1065E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750" w:type="dxa"/>
            <w:noWrap w:val="0"/>
            <w:vAlign w:val="center"/>
          </w:tcPr>
          <w:p w14:paraId="3D1BB133">
            <w:pPr>
              <w:spacing w:line="360" w:lineRule="auto"/>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8</w:t>
            </w:r>
          </w:p>
        </w:tc>
        <w:tc>
          <w:tcPr>
            <w:tcW w:w="2467" w:type="dxa"/>
            <w:noWrap w:val="0"/>
            <w:vAlign w:val="center"/>
          </w:tcPr>
          <w:p w14:paraId="341D1FC3">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eastAsia="zh-CN" w:bidi="ar"/>
              </w:rPr>
              <w:t>水</w:t>
            </w:r>
            <w:r>
              <w:rPr>
                <w:rFonts w:hint="eastAsia" w:ascii="宋体" w:hAnsi="宋体" w:eastAsia="宋体" w:cs="宋体"/>
                <w:color w:val="000000"/>
                <w:sz w:val="21"/>
                <w:szCs w:val="21"/>
                <w:lang w:bidi="ar"/>
              </w:rPr>
              <w:t>稻</w:t>
            </w:r>
            <w:r>
              <w:rPr>
                <w:rFonts w:hint="eastAsia" w:ascii="宋体" w:hAnsi="宋体" w:eastAsia="宋体" w:cs="宋体"/>
                <w:color w:val="000000"/>
                <w:sz w:val="21"/>
                <w:szCs w:val="21"/>
                <w:lang w:eastAsia="zh-CN" w:bidi="ar"/>
              </w:rPr>
              <w:t>取样检测</w:t>
            </w:r>
          </w:p>
        </w:tc>
        <w:tc>
          <w:tcPr>
            <w:tcW w:w="3235" w:type="dxa"/>
            <w:noWrap w:val="0"/>
            <w:vAlign w:val="center"/>
          </w:tcPr>
          <w:p w14:paraId="35E50767">
            <w:pPr>
              <w:spacing w:line="360" w:lineRule="auto"/>
              <w:jc w:val="center"/>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val="en-US" w:eastAsia="zh-CN" w:bidi="ar"/>
              </w:rPr>
              <w:t>/</w:t>
            </w:r>
          </w:p>
        </w:tc>
        <w:tc>
          <w:tcPr>
            <w:tcW w:w="988" w:type="dxa"/>
            <w:noWrap w:val="0"/>
            <w:vAlign w:val="center"/>
          </w:tcPr>
          <w:p w14:paraId="5BAD09F7">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个</w:t>
            </w:r>
          </w:p>
        </w:tc>
        <w:tc>
          <w:tcPr>
            <w:tcW w:w="1243" w:type="dxa"/>
            <w:noWrap w:val="0"/>
            <w:vAlign w:val="center"/>
          </w:tcPr>
          <w:p w14:paraId="3A9EBD56">
            <w:pPr>
              <w:jc w:val="center"/>
              <w:textAlignment w:val="center"/>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w:t>
            </w:r>
            <w:r>
              <w:rPr>
                <w:rFonts w:hint="eastAsia" w:ascii="宋体" w:hAnsi="宋体" w:cs="宋体"/>
                <w:color w:val="000000"/>
                <w:sz w:val="21"/>
                <w:szCs w:val="21"/>
                <w:lang w:val="en-US" w:eastAsia="zh-CN"/>
              </w:rPr>
              <w:t>99</w:t>
            </w:r>
          </w:p>
        </w:tc>
      </w:tr>
      <w:tr w14:paraId="6CCB0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750" w:type="dxa"/>
            <w:noWrap w:val="0"/>
            <w:vAlign w:val="center"/>
          </w:tcPr>
          <w:p w14:paraId="1ECA8C8D">
            <w:pPr>
              <w:spacing w:line="360" w:lineRule="auto"/>
              <w:jc w:val="center"/>
              <w:textAlignment w:val="center"/>
              <w:rPr>
                <w:rFonts w:hint="default" w:ascii="宋体" w:hAnsi="宋体" w:eastAsia="宋体" w:cs="宋体"/>
                <w:color w:val="000000"/>
                <w:sz w:val="21"/>
                <w:szCs w:val="21"/>
                <w:lang w:val="en-US" w:eastAsia="zh-CN" w:bidi="ar"/>
              </w:rPr>
            </w:pPr>
            <w:r>
              <w:rPr>
                <w:rFonts w:hint="eastAsia" w:ascii="宋体" w:hAnsi="宋体" w:cs="宋体"/>
                <w:color w:val="000000"/>
                <w:sz w:val="21"/>
                <w:szCs w:val="21"/>
                <w:lang w:val="en-US" w:eastAsia="zh-CN" w:bidi="ar"/>
              </w:rPr>
              <w:t>9</w:t>
            </w:r>
          </w:p>
        </w:tc>
        <w:tc>
          <w:tcPr>
            <w:tcW w:w="2467" w:type="dxa"/>
            <w:noWrap w:val="0"/>
            <w:vAlign w:val="center"/>
          </w:tcPr>
          <w:p w14:paraId="16736944">
            <w:pPr>
              <w:spacing w:line="360" w:lineRule="auto"/>
              <w:jc w:val="center"/>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结构调整区取样检测费</w:t>
            </w:r>
          </w:p>
        </w:tc>
        <w:tc>
          <w:tcPr>
            <w:tcW w:w="3235" w:type="dxa"/>
            <w:noWrap w:val="0"/>
            <w:vAlign w:val="center"/>
          </w:tcPr>
          <w:p w14:paraId="7F2D5F19">
            <w:pPr>
              <w:spacing w:line="360" w:lineRule="auto"/>
              <w:jc w:val="center"/>
              <w:textAlignment w:val="center"/>
              <w:rPr>
                <w:rFonts w:hint="eastAsia" w:ascii="宋体" w:hAnsi="宋体" w:eastAsia="宋体" w:cs="宋体"/>
                <w:color w:val="000000"/>
                <w:sz w:val="21"/>
                <w:szCs w:val="21"/>
                <w:lang w:val="en-US" w:eastAsia="zh-CN" w:bidi="ar"/>
              </w:rPr>
            </w:pPr>
            <w:r>
              <w:rPr>
                <w:rFonts w:hint="eastAsia" w:ascii="宋体" w:hAnsi="宋体" w:eastAsia="宋体" w:cs="宋体"/>
                <w:color w:val="000000"/>
                <w:sz w:val="21"/>
                <w:szCs w:val="21"/>
                <w:lang w:val="en-US" w:eastAsia="zh-CN" w:bidi="ar"/>
              </w:rPr>
              <w:t>/</w:t>
            </w:r>
          </w:p>
        </w:tc>
        <w:tc>
          <w:tcPr>
            <w:tcW w:w="988" w:type="dxa"/>
            <w:noWrap w:val="0"/>
            <w:vAlign w:val="center"/>
          </w:tcPr>
          <w:p w14:paraId="67F4A64F">
            <w:pPr>
              <w:spacing w:line="360" w:lineRule="auto"/>
              <w:jc w:val="center"/>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个</w:t>
            </w:r>
          </w:p>
        </w:tc>
        <w:tc>
          <w:tcPr>
            <w:tcW w:w="1243" w:type="dxa"/>
            <w:noWrap w:val="0"/>
            <w:vAlign w:val="center"/>
          </w:tcPr>
          <w:p w14:paraId="5B149B11">
            <w:pPr>
              <w:jc w:val="center"/>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14</w:t>
            </w:r>
          </w:p>
        </w:tc>
      </w:tr>
      <w:tr w14:paraId="43307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750" w:type="dxa"/>
            <w:noWrap w:val="0"/>
            <w:vAlign w:val="center"/>
          </w:tcPr>
          <w:p w14:paraId="6D2C1BC6">
            <w:pPr>
              <w:spacing w:line="360" w:lineRule="auto"/>
              <w:jc w:val="center"/>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bidi="ar"/>
              </w:rPr>
              <w:t>1</w:t>
            </w:r>
            <w:r>
              <w:rPr>
                <w:rFonts w:hint="eastAsia" w:ascii="宋体" w:hAnsi="宋体" w:cs="宋体"/>
                <w:color w:val="000000"/>
                <w:sz w:val="21"/>
                <w:szCs w:val="21"/>
                <w:lang w:val="en-US" w:eastAsia="zh-CN" w:bidi="ar"/>
              </w:rPr>
              <w:t>0</w:t>
            </w:r>
          </w:p>
        </w:tc>
        <w:tc>
          <w:tcPr>
            <w:tcW w:w="2467" w:type="dxa"/>
            <w:noWrap w:val="0"/>
            <w:vAlign w:val="center"/>
          </w:tcPr>
          <w:p w14:paraId="66EC4382">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水稻测产</w:t>
            </w:r>
          </w:p>
        </w:tc>
        <w:tc>
          <w:tcPr>
            <w:tcW w:w="3235" w:type="dxa"/>
            <w:noWrap w:val="0"/>
            <w:vAlign w:val="center"/>
          </w:tcPr>
          <w:p w14:paraId="61C62CAA">
            <w:pPr>
              <w:spacing w:line="360" w:lineRule="auto"/>
              <w:jc w:val="center"/>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val="en-US" w:eastAsia="zh-CN" w:bidi="ar"/>
              </w:rPr>
              <w:t>/</w:t>
            </w:r>
          </w:p>
        </w:tc>
        <w:tc>
          <w:tcPr>
            <w:tcW w:w="988" w:type="dxa"/>
            <w:noWrap w:val="0"/>
            <w:vAlign w:val="center"/>
          </w:tcPr>
          <w:p w14:paraId="2B763D12">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项</w:t>
            </w:r>
          </w:p>
        </w:tc>
        <w:tc>
          <w:tcPr>
            <w:tcW w:w="1243" w:type="dxa"/>
            <w:noWrap w:val="0"/>
            <w:vAlign w:val="center"/>
          </w:tcPr>
          <w:p w14:paraId="6F0ECB68">
            <w:pPr>
              <w:jc w:val="center"/>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5</w:t>
            </w:r>
          </w:p>
        </w:tc>
      </w:tr>
      <w:tr w14:paraId="46D35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750" w:type="dxa"/>
            <w:noWrap w:val="0"/>
            <w:vAlign w:val="center"/>
          </w:tcPr>
          <w:p w14:paraId="0D3D8499">
            <w:pPr>
              <w:spacing w:line="360" w:lineRule="auto"/>
              <w:jc w:val="center"/>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bidi="ar"/>
              </w:rPr>
              <w:t>1</w:t>
            </w:r>
            <w:r>
              <w:rPr>
                <w:rFonts w:hint="eastAsia" w:ascii="宋体" w:hAnsi="宋体" w:cs="宋体"/>
                <w:color w:val="000000"/>
                <w:sz w:val="21"/>
                <w:szCs w:val="21"/>
                <w:lang w:val="en-US" w:eastAsia="zh-CN" w:bidi="ar"/>
              </w:rPr>
              <w:t>1</w:t>
            </w:r>
          </w:p>
        </w:tc>
        <w:tc>
          <w:tcPr>
            <w:tcW w:w="2467" w:type="dxa"/>
            <w:noWrap w:val="0"/>
            <w:vAlign w:val="center"/>
          </w:tcPr>
          <w:p w14:paraId="51526EE1">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台账建设费</w:t>
            </w:r>
          </w:p>
        </w:tc>
        <w:tc>
          <w:tcPr>
            <w:tcW w:w="3235" w:type="dxa"/>
            <w:noWrap w:val="0"/>
            <w:vAlign w:val="center"/>
          </w:tcPr>
          <w:p w14:paraId="2BB0D4FB">
            <w:pPr>
              <w:spacing w:line="360" w:lineRule="auto"/>
              <w:jc w:val="center"/>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val="en-US" w:eastAsia="zh-CN" w:bidi="ar"/>
              </w:rPr>
              <w:t>/</w:t>
            </w:r>
          </w:p>
        </w:tc>
        <w:tc>
          <w:tcPr>
            <w:tcW w:w="988" w:type="dxa"/>
            <w:noWrap w:val="0"/>
            <w:vAlign w:val="center"/>
          </w:tcPr>
          <w:p w14:paraId="6BA4FF42">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项</w:t>
            </w:r>
          </w:p>
        </w:tc>
        <w:tc>
          <w:tcPr>
            <w:tcW w:w="1243" w:type="dxa"/>
            <w:noWrap w:val="0"/>
            <w:vAlign w:val="center"/>
          </w:tcPr>
          <w:p w14:paraId="2BB8EFD4">
            <w:pPr>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1</w:t>
            </w:r>
          </w:p>
        </w:tc>
      </w:tr>
      <w:tr w14:paraId="343AF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750" w:type="dxa"/>
            <w:noWrap w:val="0"/>
            <w:vAlign w:val="center"/>
          </w:tcPr>
          <w:p w14:paraId="7528C0B8">
            <w:pPr>
              <w:spacing w:line="360" w:lineRule="auto"/>
              <w:jc w:val="center"/>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bidi="ar"/>
              </w:rPr>
              <w:t>1</w:t>
            </w:r>
            <w:r>
              <w:rPr>
                <w:rFonts w:hint="eastAsia" w:ascii="宋体" w:hAnsi="宋体" w:cs="宋体"/>
                <w:color w:val="000000"/>
                <w:sz w:val="21"/>
                <w:szCs w:val="21"/>
                <w:lang w:val="en-US" w:eastAsia="zh-CN" w:bidi="ar"/>
              </w:rPr>
              <w:t>2</w:t>
            </w:r>
          </w:p>
        </w:tc>
        <w:tc>
          <w:tcPr>
            <w:tcW w:w="2467" w:type="dxa"/>
            <w:noWrap w:val="0"/>
            <w:vAlign w:val="center"/>
          </w:tcPr>
          <w:p w14:paraId="78E09ABF">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效果评估及宣传培训</w:t>
            </w:r>
          </w:p>
        </w:tc>
        <w:tc>
          <w:tcPr>
            <w:tcW w:w="3235" w:type="dxa"/>
            <w:noWrap w:val="0"/>
            <w:vAlign w:val="center"/>
          </w:tcPr>
          <w:p w14:paraId="431412B6">
            <w:pPr>
              <w:spacing w:line="360" w:lineRule="auto"/>
              <w:jc w:val="center"/>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val="en-US" w:eastAsia="zh-CN" w:bidi="ar"/>
              </w:rPr>
              <w:t>/</w:t>
            </w:r>
          </w:p>
        </w:tc>
        <w:tc>
          <w:tcPr>
            <w:tcW w:w="988" w:type="dxa"/>
            <w:noWrap w:val="0"/>
            <w:vAlign w:val="center"/>
          </w:tcPr>
          <w:p w14:paraId="39478941">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项</w:t>
            </w:r>
          </w:p>
        </w:tc>
        <w:tc>
          <w:tcPr>
            <w:tcW w:w="1243" w:type="dxa"/>
            <w:noWrap w:val="0"/>
            <w:vAlign w:val="center"/>
          </w:tcPr>
          <w:p w14:paraId="7988DD74">
            <w:pPr>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1</w:t>
            </w:r>
          </w:p>
        </w:tc>
      </w:tr>
      <w:tr w14:paraId="6A79E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750" w:type="dxa"/>
            <w:noWrap w:val="0"/>
            <w:vAlign w:val="center"/>
          </w:tcPr>
          <w:p w14:paraId="027B9E3A">
            <w:pPr>
              <w:spacing w:line="360" w:lineRule="auto"/>
              <w:jc w:val="center"/>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bidi="ar"/>
              </w:rPr>
              <w:t>1</w:t>
            </w:r>
            <w:r>
              <w:rPr>
                <w:rFonts w:hint="eastAsia" w:ascii="宋体" w:hAnsi="宋体" w:cs="宋体"/>
                <w:color w:val="000000"/>
                <w:sz w:val="21"/>
                <w:szCs w:val="21"/>
                <w:lang w:val="en-US" w:eastAsia="zh-CN" w:bidi="ar"/>
              </w:rPr>
              <w:t>3</w:t>
            </w:r>
          </w:p>
        </w:tc>
        <w:tc>
          <w:tcPr>
            <w:tcW w:w="2467" w:type="dxa"/>
            <w:noWrap w:val="0"/>
            <w:vAlign w:val="center"/>
          </w:tcPr>
          <w:p w14:paraId="5BBEEDE9">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项目验收费</w:t>
            </w:r>
          </w:p>
        </w:tc>
        <w:tc>
          <w:tcPr>
            <w:tcW w:w="3235" w:type="dxa"/>
            <w:noWrap w:val="0"/>
            <w:vAlign w:val="center"/>
          </w:tcPr>
          <w:p w14:paraId="4B0351B8">
            <w:pPr>
              <w:spacing w:line="360" w:lineRule="auto"/>
              <w:jc w:val="center"/>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val="en-US" w:eastAsia="zh-CN" w:bidi="ar"/>
              </w:rPr>
              <w:t>/</w:t>
            </w:r>
          </w:p>
        </w:tc>
        <w:tc>
          <w:tcPr>
            <w:tcW w:w="988" w:type="dxa"/>
            <w:noWrap w:val="0"/>
            <w:vAlign w:val="center"/>
          </w:tcPr>
          <w:p w14:paraId="3A529081">
            <w:pPr>
              <w:spacing w:line="360" w:lineRule="auto"/>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项</w:t>
            </w:r>
          </w:p>
        </w:tc>
        <w:tc>
          <w:tcPr>
            <w:tcW w:w="1243" w:type="dxa"/>
            <w:noWrap w:val="0"/>
            <w:vAlign w:val="center"/>
          </w:tcPr>
          <w:p w14:paraId="6ED32981">
            <w:pPr>
              <w:jc w:val="center"/>
              <w:textAlignment w:val="center"/>
              <w:rPr>
                <w:rFonts w:hint="eastAsia" w:ascii="宋体" w:hAnsi="宋体" w:eastAsia="宋体" w:cs="宋体"/>
                <w:color w:val="000000"/>
                <w:sz w:val="21"/>
                <w:szCs w:val="21"/>
              </w:rPr>
            </w:pPr>
            <w:r>
              <w:rPr>
                <w:rFonts w:hint="eastAsia" w:ascii="宋体" w:hAnsi="宋体" w:eastAsia="宋体" w:cs="宋体"/>
                <w:color w:val="000000"/>
                <w:sz w:val="21"/>
                <w:szCs w:val="21"/>
                <w:lang w:bidi="ar"/>
              </w:rPr>
              <w:t>1</w:t>
            </w:r>
          </w:p>
        </w:tc>
      </w:tr>
    </w:tbl>
    <w:p w14:paraId="7DB0B39A">
      <w:pPr>
        <w:numPr>
          <w:ilvl w:val="0"/>
          <w:numId w:val="0"/>
        </w:numPr>
        <w:spacing w:line="400" w:lineRule="exact"/>
        <w:ind w:firstLine="422" w:firstLineChars="200"/>
        <w:rPr>
          <w:rFonts w:hint="eastAsia" w:ascii="宋体" w:hAnsi="宋体" w:eastAsia="宋体" w:cs="宋体"/>
          <w:b/>
          <w:bCs/>
          <w:color w:val="auto"/>
          <w:kern w:val="0"/>
          <w:szCs w:val="21"/>
          <w:highlight w:val="none"/>
          <w:lang w:val="en-US" w:eastAsia="zh-CN"/>
        </w:rPr>
      </w:pPr>
      <w:r>
        <w:rPr>
          <w:rFonts w:hint="eastAsia" w:ascii="宋体" w:hAnsi="宋体" w:cs="宋体"/>
          <w:b/>
          <w:bCs/>
          <w:color w:val="auto"/>
          <w:kern w:val="0"/>
          <w:szCs w:val="21"/>
          <w:highlight w:val="none"/>
          <w:lang w:val="en-US" w:eastAsia="zh-CN"/>
        </w:rPr>
        <w:t>2</w:t>
      </w:r>
      <w:r>
        <w:rPr>
          <w:rFonts w:hint="eastAsia" w:ascii="宋体" w:hAnsi="宋体" w:eastAsia="宋体" w:cs="宋体"/>
          <w:b/>
          <w:bCs/>
          <w:color w:val="auto"/>
          <w:kern w:val="0"/>
          <w:szCs w:val="21"/>
          <w:highlight w:val="none"/>
          <w:lang w:val="en-US" w:eastAsia="zh-CN"/>
        </w:rPr>
        <w:t>、项目实施地点：</w:t>
      </w:r>
    </w:p>
    <w:p w14:paraId="27E8EDBA">
      <w:pPr>
        <w:numPr>
          <w:ilvl w:val="0"/>
          <w:numId w:val="0"/>
        </w:numPr>
        <w:spacing w:line="400" w:lineRule="exact"/>
        <w:ind w:firstLine="420" w:firstLineChars="200"/>
        <w:rPr>
          <w:rFonts w:hint="eastAsia" w:ascii="宋体" w:hAnsi="宋体" w:eastAsia="宋体" w:cs="宋体"/>
          <w:b w:val="0"/>
          <w:bCs w:val="0"/>
          <w:color w:val="auto"/>
          <w:kern w:val="0"/>
          <w:szCs w:val="21"/>
          <w:highlight w:val="none"/>
          <w:lang w:val="en-US" w:eastAsia="zh-CN"/>
        </w:rPr>
      </w:pPr>
      <w:r>
        <w:rPr>
          <w:rFonts w:hint="eastAsia" w:ascii="宋体" w:hAnsi="宋体" w:eastAsia="宋体" w:cs="宋体"/>
          <w:b w:val="0"/>
          <w:bCs w:val="0"/>
          <w:color w:val="auto"/>
          <w:kern w:val="0"/>
          <w:szCs w:val="21"/>
          <w:highlight w:val="none"/>
          <w:lang w:val="en-US" w:eastAsia="zh-CN"/>
        </w:rPr>
        <w:t>高安市2026年受污染耕地安全利用实施地点：华林山镇、灰埠镇、新街镇、相城镇、田南镇、建山镇、及瑞州街办等7个乡镇14个村，目标污染因子为镉和砷元素。</w:t>
      </w:r>
    </w:p>
    <w:p w14:paraId="7ED57390">
      <w:pPr>
        <w:numPr>
          <w:ilvl w:val="0"/>
          <w:numId w:val="0"/>
        </w:numPr>
        <w:spacing w:line="400" w:lineRule="exact"/>
        <w:ind w:firstLine="422" w:firstLineChars="200"/>
        <w:rPr>
          <w:rFonts w:hint="eastAsia" w:ascii="宋体" w:hAnsi="宋体" w:eastAsia="宋体" w:cs="宋体"/>
          <w:b/>
          <w:bCs/>
          <w:color w:val="auto"/>
          <w:kern w:val="0"/>
          <w:szCs w:val="21"/>
          <w:highlight w:val="none"/>
          <w:lang w:val="en-US" w:eastAsia="zh-CN"/>
        </w:rPr>
      </w:pPr>
      <w:r>
        <w:rPr>
          <w:rFonts w:hint="eastAsia" w:ascii="宋体" w:hAnsi="宋体" w:cs="宋体"/>
          <w:b/>
          <w:bCs/>
          <w:color w:val="auto"/>
          <w:kern w:val="0"/>
          <w:szCs w:val="21"/>
          <w:highlight w:val="none"/>
          <w:lang w:val="en-US" w:eastAsia="zh-CN"/>
        </w:rPr>
        <w:t>3、</w:t>
      </w:r>
      <w:r>
        <w:rPr>
          <w:rFonts w:hint="eastAsia" w:ascii="宋体" w:hAnsi="宋体" w:eastAsia="宋体" w:cs="宋体"/>
          <w:b/>
          <w:bCs/>
          <w:color w:val="auto"/>
          <w:kern w:val="0"/>
          <w:szCs w:val="21"/>
          <w:highlight w:val="none"/>
          <w:lang w:val="en-US" w:eastAsia="zh-CN"/>
        </w:rPr>
        <w:t>项目实施目标:</w:t>
      </w:r>
    </w:p>
    <w:p w14:paraId="63D93FED">
      <w:pPr>
        <w:numPr>
          <w:ilvl w:val="0"/>
          <w:numId w:val="0"/>
        </w:numPr>
        <w:spacing w:line="400" w:lineRule="exact"/>
        <w:ind w:firstLine="420" w:firstLineChars="200"/>
        <w:rPr>
          <w:rFonts w:hint="eastAsia" w:ascii="宋体" w:hAnsi="宋体" w:eastAsia="宋体" w:cs="宋体"/>
          <w:b w:val="0"/>
          <w:bCs w:val="0"/>
          <w:color w:val="auto"/>
          <w:kern w:val="0"/>
          <w:szCs w:val="21"/>
          <w:highlight w:val="none"/>
          <w:lang w:val="en-US" w:eastAsia="zh-CN"/>
        </w:rPr>
      </w:pPr>
      <w:r>
        <w:rPr>
          <w:rFonts w:hint="eastAsia" w:ascii="宋体" w:hAnsi="宋体" w:eastAsia="宋体" w:cs="宋体"/>
          <w:b w:val="0"/>
          <w:bCs w:val="0"/>
          <w:color w:val="auto"/>
          <w:kern w:val="0"/>
          <w:szCs w:val="21"/>
          <w:highlight w:val="none"/>
          <w:lang w:val="en-US" w:eastAsia="zh-CN"/>
        </w:rPr>
        <w:t>通过2026年项目的实施，达到以下的安全利用目标：</w:t>
      </w:r>
    </w:p>
    <w:p w14:paraId="6ECA576A">
      <w:pPr>
        <w:numPr>
          <w:ilvl w:val="0"/>
          <w:numId w:val="0"/>
        </w:numPr>
        <w:spacing w:line="400" w:lineRule="exact"/>
        <w:ind w:firstLine="420" w:firstLineChars="200"/>
        <w:rPr>
          <w:rFonts w:hint="eastAsia" w:ascii="宋体" w:hAnsi="宋体" w:eastAsia="宋体" w:cs="宋体"/>
          <w:b w:val="0"/>
          <w:bCs w:val="0"/>
          <w:color w:val="auto"/>
          <w:kern w:val="0"/>
          <w:szCs w:val="21"/>
          <w:highlight w:val="none"/>
          <w:lang w:val="en-US" w:eastAsia="zh-CN"/>
        </w:rPr>
      </w:pPr>
      <w:r>
        <w:rPr>
          <w:rFonts w:hint="eastAsia" w:ascii="宋体" w:hAnsi="宋体" w:eastAsia="宋体" w:cs="宋体"/>
          <w:b w:val="0"/>
          <w:bCs w:val="0"/>
          <w:color w:val="auto"/>
          <w:kern w:val="0"/>
          <w:szCs w:val="21"/>
          <w:highlight w:val="none"/>
          <w:lang w:val="en-US" w:eastAsia="zh-CN"/>
        </w:rPr>
        <w:t>（1）通过1年的治理安全利用，受污染耕地安全利用率达到93%；</w:t>
      </w:r>
    </w:p>
    <w:p w14:paraId="296D3EFD">
      <w:pPr>
        <w:numPr>
          <w:ilvl w:val="0"/>
          <w:numId w:val="0"/>
        </w:numPr>
        <w:spacing w:line="400" w:lineRule="exact"/>
        <w:ind w:firstLine="420" w:firstLineChars="200"/>
        <w:rPr>
          <w:rFonts w:hint="eastAsia" w:ascii="宋体" w:hAnsi="宋体" w:eastAsia="宋体" w:cs="宋体"/>
          <w:b w:val="0"/>
          <w:bCs w:val="0"/>
          <w:color w:val="auto"/>
          <w:kern w:val="0"/>
          <w:szCs w:val="21"/>
          <w:highlight w:val="none"/>
          <w:lang w:val="en-US" w:eastAsia="zh-CN"/>
        </w:rPr>
      </w:pPr>
      <w:r>
        <w:rPr>
          <w:rFonts w:hint="eastAsia" w:ascii="宋体" w:hAnsi="宋体" w:eastAsia="宋体" w:cs="宋体"/>
          <w:b w:val="0"/>
          <w:bCs w:val="0"/>
          <w:color w:val="auto"/>
          <w:kern w:val="0"/>
          <w:szCs w:val="21"/>
          <w:highlight w:val="none"/>
          <w:lang w:val="en-US" w:eastAsia="zh-CN"/>
        </w:rPr>
        <w:t>（2）水稻产量不低于当年当地亩产水平的90%。</w:t>
      </w:r>
    </w:p>
    <w:p w14:paraId="382D2DCA">
      <w:pPr>
        <w:numPr>
          <w:ilvl w:val="0"/>
          <w:numId w:val="0"/>
        </w:numPr>
        <w:spacing w:line="400" w:lineRule="exact"/>
        <w:ind w:firstLine="420" w:firstLineChars="200"/>
        <w:rPr>
          <w:rFonts w:hint="eastAsia" w:ascii="宋体" w:hAnsi="宋体" w:eastAsia="宋体" w:cs="宋体"/>
          <w:b w:val="0"/>
          <w:bCs w:val="0"/>
          <w:color w:val="auto"/>
          <w:kern w:val="0"/>
          <w:szCs w:val="21"/>
          <w:highlight w:val="none"/>
          <w:lang w:val="en-US" w:eastAsia="zh-CN"/>
        </w:rPr>
      </w:pPr>
      <w:r>
        <w:rPr>
          <w:rFonts w:hint="eastAsia" w:ascii="宋体" w:hAnsi="宋体" w:eastAsia="宋体" w:cs="宋体"/>
          <w:b w:val="0"/>
          <w:bCs w:val="0"/>
          <w:color w:val="auto"/>
          <w:kern w:val="0"/>
          <w:szCs w:val="21"/>
          <w:highlight w:val="none"/>
          <w:lang w:val="en-US" w:eastAsia="zh-CN"/>
        </w:rPr>
        <w:t>（3）所使用的治理产品对土壤不造成二次污染。</w:t>
      </w:r>
    </w:p>
    <w:p w14:paraId="66C25FFB">
      <w:pPr>
        <w:numPr>
          <w:ilvl w:val="0"/>
          <w:numId w:val="0"/>
        </w:numPr>
        <w:spacing w:line="400" w:lineRule="exact"/>
        <w:ind w:firstLine="422" w:firstLineChars="200"/>
        <w:rPr>
          <w:rFonts w:hint="eastAsia" w:ascii="宋体" w:hAnsi="宋体" w:eastAsia="宋体" w:cs="宋体"/>
          <w:b/>
          <w:bCs/>
          <w:color w:val="auto"/>
          <w:kern w:val="0"/>
          <w:szCs w:val="21"/>
          <w:highlight w:val="none"/>
          <w:lang w:val="en-US" w:eastAsia="zh-CN"/>
        </w:rPr>
      </w:pPr>
      <w:r>
        <w:rPr>
          <w:rFonts w:hint="eastAsia" w:ascii="宋体" w:hAnsi="宋体" w:cs="宋体"/>
          <w:b/>
          <w:bCs/>
          <w:color w:val="auto"/>
          <w:kern w:val="0"/>
          <w:szCs w:val="21"/>
          <w:highlight w:val="none"/>
          <w:lang w:val="en-US" w:eastAsia="zh-CN"/>
        </w:rPr>
        <w:t>4、</w:t>
      </w:r>
      <w:r>
        <w:rPr>
          <w:rFonts w:hint="eastAsia" w:ascii="宋体" w:hAnsi="宋体" w:eastAsia="宋体" w:cs="宋体"/>
          <w:b/>
          <w:bCs/>
          <w:color w:val="auto"/>
          <w:kern w:val="0"/>
          <w:szCs w:val="21"/>
          <w:highlight w:val="none"/>
          <w:lang w:val="en-US" w:eastAsia="zh-CN"/>
        </w:rPr>
        <w:t>项目实施期限</w:t>
      </w:r>
    </w:p>
    <w:p w14:paraId="2446DE82">
      <w:pPr>
        <w:numPr>
          <w:ilvl w:val="0"/>
          <w:numId w:val="0"/>
        </w:numPr>
        <w:spacing w:line="400" w:lineRule="exact"/>
        <w:ind w:firstLine="420" w:firstLineChars="200"/>
        <w:rPr>
          <w:rFonts w:hint="eastAsia" w:ascii="宋体" w:hAnsi="宋体" w:eastAsia="宋体" w:cs="宋体"/>
          <w:b/>
          <w:bCs/>
          <w:color w:val="auto"/>
          <w:kern w:val="0"/>
          <w:szCs w:val="21"/>
          <w:highlight w:val="none"/>
          <w:lang w:val="en-US" w:eastAsia="zh-CN"/>
        </w:rPr>
      </w:pPr>
      <w:r>
        <w:rPr>
          <w:rFonts w:hint="eastAsia" w:ascii="宋体" w:hAnsi="宋体" w:eastAsia="宋体" w:cs="宋体"/>
          <w:b w:val="0"/>
          <w:bCs w:val="0"/>
          <w:color w:val="auto"/>
          <w:kern w:val="0"/>
          <w:szCs w:val="21"/>
          <w:highlight w:val="none"/>
          <w:lang w:val="en-US" w:eastAsia="zh-CN"/>
        </w:rPr>
        <w:t>签订合同～2026年12月31日</w:t>
      </w:r>
    </w:p>
    <w:p w14:paraId="6B60E13C">
      <w:pPr>
        <w:numPr>
          <w:ilvl w:val="0"/>
          <w:numId w:val="0"/>
        </w:numPr>
        <w:spacing w:line="400" w:lineRule="exact"/>
        <w:ind w:firstLine="422" w:firstLineChars="200"/>
        <w:rPr>
          <w:rFonts w:hint="eastAsia" w:ascii="宋体" w:hAnsi="宋体" w:eastAsia="宋体" w:cs="宋体"/>
          <w:b/>
          <w:bCs/>
          <w:color w:val="auto"/>
          <w:kern w:val="0"/>
          <w:szCs w:val="21"/>
          <w:highlight w:val="none"/>
          <w:lang w:val="en-US" w:eastAsia="zh-CN"/>
        </w:rPr>
      </w:pPr>
      <w:bookmarkStart w:id="4" w:name="_Toc72171437"/>
      <w:r>
        <w:rPr>
          <w:rFonts w:hint="eastAsia" w:ascii="宋体" w:hAnsi="宋体" w:eastAsia="宋体" w:cs="宋体"/>
          <w:b/>
          <w:bCs/>
          <w:color w:val="auto"/>
          <w:kern w:val="0"/>
          <w:szCs w:val="21"/>
          <w:highlight w:val="none"/>
          <w:lang w:val="en-US" w:eastAsia="zh-CN"/>
        </w:rPr>
        <w:t>★5、采取的主要措施</w:t>
      </w:r>
    </w:p>
    <w:bookmarkEnd w:id="4"/>
    <w:p w14:paraId="662B4D5F">
      <w:pPr>
        <w:numPr>
          <w:ilvl w:val="0"/>
          <w:numId w:val="0"/>
        </w:numPr>
        <w:spacing w:line="400" w:lineRule="exact"/>
        <w:ind w:firstLine="420" w:firstLineChars="200"/>
        <w:rPr>
          <w:rFonts w:hint="eastAsia" w:ascii="宋体" w:hAnsi="宋体" w:eastAsia="宋体" w:cs="宋体"/>
          <w:b w:val="0"/>
          <w:bCs w:val="0"/>
          <w:color w:val="auto"/>
          <w:kern w:val="0"/>
          <w:szCs w:val="21"/>
          <w:highlight w:val="none"/>
          <w:lang w:val="en-US" w:eastAsia="zh-CN"/>
        </w:rPr>
      </w:pPr>
      <w:bookmarkStart w:id="5" w:name="5.1.4_水分调控技术"/>
      <w:bookmarkEnd w:id="5"/>
      <w:bookmarkStart w:id="6" w:name="_bookmark34"/>
      <w:bookmarkEnd w:id="6"/>
      <w:bookmarkStart w:id="7" w:name="_bookmark35"/>
      <w:bookmarkEnd w:id="7"/>
      <w:bookmarkStart w:id="8" w:name="5.1.3_叶面阻控技术"/>
      <w:bookmarkEnd w:id="8"/>
      <w:bookmarkStart w:id="9" w:name="_Toc37874180"/>
      <w:r>
        <w:rPr>
          <w:rFonts w:hint="eastAsia" w:ascii="宋体" w:hAnsi="宋体" w:eastAsia="宋体" w:cs="宋体"/>
          <w:b w:val="0"/>
          <w:bCs w:val="0"/>
          <w:color w:val="auto"/>
          <w:kern w:val="0"/>
          <w:szCs w:val="21"/>
          <w:highlight w:val="none"/>
          <w:lang w:val="en-US" w:eastAsia="zh-CN"/>
        </w:rPr>
        <w:t>本次开展高安市安全利用类耕地项目技术措施主要包括叶面阻控、土壤钝化、有机肥等。</w:t>
      </w:r>
      <w:bookmarkEnd w:id="9"/>
    </w:p>
    <w:p w14:paraId="737DC2C1">
      <w:pPr>
        <w:numPr>
          <w:ilvl w:val="0"/>
          <w:numId w:val="0"/>
        </w:numPr>
        <w:spacing w:line="400" w:lineRule="exact"/>
        <w:ind w:firstLine="420" w:firstLineChars="200"/>
        <w:rPr>
          <w:rFonts w:hint="eastAsia" w:ascii="宋体" w:hAnsi="宋体" w:eastAsia="宋体" w:cs="宋体"/>
          <w:b w:val="0"/>
          <w:bCs w:val="0"/>
          <w:color w:val="auto"/>
          <w:kern w:val="0"/>
          <w:szCs w:val="21"/>
          <w:highlight w:val="none"/>
          <w:lang w:val="en-US" w:eastAsia="zh-CN"/>
        </w:rPr>
      </w:pPr>
      <w:bookmarkStart w:id="10" w:name="_Toc26282"/>
      <w:bookmarkStart w:id="11" w:name="_Toc1968557194"/>
      <w:r>
        <w:rPr>
          <w:rFonts w:hint="eastAsia" w:ascii="宋体" w:hAnsi="宋体" w:eastAsia="宋体" w:cs="宋体"/>
          <w:b w:val="0"/>
          <w:bCs w:val="0"/>
          <w:color w:val="auto"/>
          <w:kern w:val="0"/>
          <w:szCs w:val="21"/>
          <w:highlight w:val="none"/>
          <w:lang w:val="en-US" w:eastAsia="zh-CN"/>
        </w:rPr>
        <w:t>（1）叶面阻控</w:t>
      </w:r>
      <w:bookmarkEnd w:id="10"/>
      <w:bookmarkEnd w:id="11"/>
      <w:r>
        <w:rPr>
          <w:rFonts w:hint="eastAsia" w:ascii="宋体" w:hAnsi="宋体" w:eastAsia="宋体" w:cs="宋体"/>
          <w:b w:val="0"/>
          <w:bCs w:val="0"/>
          <w:color w:val="auto"/>
          <w:kern w:val="0"/>
          <w:szCs w:val="21"/>
          <w:highlight w:val="none"/>
          <w:lang w:val="en-US" w:eastAsia="zh-CN"/>
        </w:rPr>
        <w:t>剂</w:t>
      </w:r>
    </w:p>
    <w:p w14:paraId="4766E5A1">
      <w:pPr>
        <w:numPr>
          <w:ilvl w:val="0"/>
          <w:numId w:val="0"/>
        </w:numPr>
        <w:spacing w:line="400" w:lineRule="exact"/>
        <w:ind w:firstLine="420" w:firstLineChars="200"/>
        <w:rPr>
          <w:rFonts w:hint="eastAsia" w:ascii="宋体" w:hAnsi="宋体" w:eastAsia="宋体" w:cs="宋体"/>
          <w:b w:val="0"/>
          <w:bCs w:val="0"/>
          <w:color w:val="auto"/>
          <w:kern w:val="0"/>
          <w:szCs w:val="21"/>
          <w:highlight w:val="none"/>
          <w:lang w:val="en-US" w:eastAsia="zh-CN"/>
        </w:rPr>
      </w:pPr>
      <w:r>
        <w:rPr>
          <w:rFonts w:hint="eastAsia" w:ascii="宋体" w:hAnsi="宋体" w:eastAsia="宋体" w:cs="宋体"/>
          <w:b w:val="0"/>
          <w:bCs w:val="0"/>
          <w:color w:val="auto"/>
          <w:kern w:val="0"/>
          <w:szCs w:val="21"/>
          <w:highlight w:val="none"/>
          <w:lang w:val="en-US" w:eastAsia="zh-CN"/>
        </w:rPr>
        <w:t>含硅、锌、硒等的中微量元素肥料可明显提高水稻对镉吸收积累的营养拮抗作用，从而可降低重金属镉在水稻植株（含籽粒）的积累。拟选择含硅的中量元素肥料或含硅水溶肥料作为水稻叶面喷施阻控其镉吸收的水稻营养拮抗材料。通过高安市农业农村局土肥部门提供数据，确定本方案采用含硅的叶面阻控剂进行受污染耕地安全利用措施，叶面阻控剂要求剂型为水剂，适用作物须包含水稻，需取得农业农村部肥料登记证，通用名称为中量元素肥料或含硅水溶肥料。</w:t>
      </w:r>
    </w:p>
    <w:p w14:paraId="189F9391">
      <w:pPr>
        <w:numPr>
          <w:ilvl w:val="0"/>
          <w:numId w:val="0"/>
        </w:numPr>
        <w:spacing w:line="400" w:lineRule="exact"/>
        <w:ind w:firstLine="420" w:firstLineChars="200"/>
        <w:rPr>
          <w:rFonts w:hint="eastAsia" w:ascii="宋体" w:hAnsi="宋体" w:eastAsia="宋体" w:cs="宋体"/>
          <w:b w:val="0"/>
          <w:bCs w:val="0"/>
          <w:color w:val="auto"/>
          <w:kern w:val="0"/>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叶面阻控剂技术指标：剂型：水剂，主要技术指标：Si≥150g/L，K20≥200g/L ，适用作物须包含水稻，需取得农业农村部肥料登记证，通用名称为中量元素肥料或含硅水溶肥料（以上以登记证上标注的为准，</w:t>
      </w:r>
      <w:r>
        <w:rPr>
          <w:rFonts w:hint="eastAsia" w:ascii="宋体" w:hAnsi="宋体" w:eastAsia="宋体" w:cs="宋体"/>
          <w:b/>
          <w:bCs/>
          <w:color w:val="auto"/>
          <w:kern w:val="0"/>
          <w:sz w:val="21"/>
          <w:szCs w:val="21"/>
          <w:highlight w:val="none"/>
          <w:lang w:val="en-US" w:eastAsia="zh-CN"/>
        </w:rPr>
        <w:t>投标文件中提供叶面阻控剂（中量元素肥料或含硅水溶肥料）肥料登记证原件扫描件佐证</w:t>
      </w:r>
      <w:r>
        <w:rPr>
          <w:rFonts w:hint="eastAsia" w:ascii="宋体" w:hAnsi="宋体" w:eastAsia="宋体" w:cs="宋体"/>
          <w:b w:val="0"/>
          <w:bCs w:val="0"/>
          <w:color w:val="auto"/>
          <w:kern w:val="0"/>
          <w:sz w:val="21"/>
          <w:szCs w:val="21"/>
          <w:highlight w:val="none"/>
          <w:lang w:val="en-US" w:eastAsia="zh-CN"/>
        </w:rPr>
        <w:t>），</w:t>
      </w:r>
      <w:r>
        <w:rPr>
          <w:rFonts w:hint="eastAsia" w:ascii="宋体" w:hAnsi="宋体" w:eastAsia="宋体" w:cs="宋体"/>
          <w:b w:val="0"/>
          <w:bCs w:val="0"/>
          <w:color w:val="auto"/>
          <w:kern w:val="0"/>
          <w:szCs w:val="21"/>
          <w:highlight w:val="none"/>
          <w:lang w:val="en-US" w:eastAsia="zh-CN"/>
        </w:rPr>
        <w:t>重金属含量符合国家标准的限量要求：全镉含量≤10mg/kg，全汞含量≤5mg/kg；全砷含量≤10mg/kg；全铅含量≤50mg/kg；全铬含量≤50mg/kg，</w:t>
      </w:r>
      <w:r>
        <w:rPr>
          <w:rFonts w:hint="eastAsia" w:ascii="宋体" w:hAnsi="宋体" w:eastAsia="宋体" w:cs="宋体"/>
          <w:b w:val="0"/>
          <w:bCs w:val="0"/>
          <w:color w:val="auto"/>
          <w:kern w:val="0"/>
          <w:sz w:val="21"/>
          <w:szCs w:val="21"/>
          <w:highlight w:val="none"/>
          <w:lang w:val="en-US" w:eastAsia="zh-CN"/>
        </w:rPr>
        <w:t>（重金属要求</w:t>
      </w:r>
      <w:r>
        <w:rPr>
          <w:rFonts w:hint="eastAsia" w:ascii="宋体" w:hAnsi="宋体" w:eastAsia="宋体" w:cs="宋体"/>
          <w:b/>
          <w:bCs/>
          <w:color w:val="auto"/>
          <w:kern w:val="0"/>
          <w:sz w:val="21"/>
          <w:szCs w:val="21"/>
          <w:highlight w:val="none"/>
          <w:lang w:val="en-US" w:eastAsia="zh-CN"/>
        </w:rPr>
        <w:t>投标文件中提供第三方检测机构出具的检测报告的原件扫描件佐证</w:t>
      </w:r>
      <w:r>
        <w:rPr>
          <w:rFonts w:hint="eastAsia" w:ascii="宋体" w:hAnsi="宋体" w:eastAsia="宋体" w:cs="宋体"/>
          <w:b w:val="0"/>
          <w:bCs w:val="0"/>
          <w:color w:val="auto"/>
          <w:kern w:val="0"/>
          <w:sz w:val="21"/>
          <w:szCs w:val="21"/>
          <w:highlight w:val="none"/>
          <w:lang w:val="en-US" w:eastAsia="zh-CN"/>
        </w:rPr>
        <w:t>）</w:t>
      </w:r>
      <w:r>
        <w:rPr>
          <w:rFonts w:hint="eastAsia" w:ascii="宋体" w:hAnsi="宋体" w:eastAsia="宋体" w:cs="宋体"/>
          <w:b/>
          <w:bCs/>
          <w:color w:val="auto"/>
          <w:kern w:val="0"/>
          <w:szCs w:val="21"/>
          <w:highlight w:val="none"/>
          <w:lang w:val="en-US" w:eastAsia="zh-CN"/>
        </w:rPr>
        <w:t>。</w:t>
      </w:r>
    </w:p>
    <w:p w14:paraId="7A028110">
      <w:pPr>
        <w:numPr>
          <w:ilvl w:val="0"/>
          <w:numId w:val="0"/>
        </w:numPr>
        <w:spacing w:line="400" w:lineRule="exact"/>
        <w:ind w:firstLine="420" w:firstLineChars="200"/>
        <w:rPr>
          <w:rFonts w:hint="eastAsia" w:ascii="宋体" w:hAnsi="宋体" w:eastAsia="宋体" w:cs="宋体"/>
          <w:b w:val="0"/>
          <w:bCs w:val="0"/>
          <w:color w:val="auto"/>
          <w:kern w:val="0"/>
          <w:szCs w:val="21"/>
          <w:highlight w:val="none"/>
          <w:lang w:val="en-US" w:eastAsia="zh-CN"/>
        </w:rPr>
      </w:pPr>
      <w:r>
        <w:rPr>
          <w:rFonts w:hint="eastAsia" w:ascii="宋体" w:hAnsi="宋体" w:eastAsia="宋体" w:cs="宋体"/>
          <w:b w:val="0"/>
          <w:bCs w:val="0"/>
          <w:color w:val="auto"/>
          <w:kern w:val="0"/>
          <w:szCs w:val="21"/>
          <w:highlight w:val="none"/>
          <w:lang w:val="en-US" w:eastAsia="zh-CN"/>
        </w:rPr>
        <w:t>（2）土壤钝化剂</w:t>
      </w:r>
    </w:p>
    <w:p w14:paraId="13C7F551">
      <w:pPr>
        <w:numPr>
          <w:ilvl w:val="0"/>
          <w:numId w:val="0"/>
        </w:numPr>
        <w:spacing w:line="400" w:lineRule="exact"/>
        <w:ind w:firstLine="420" w:firstLineChars="200"/>
        <w:rPr>
          <w:rFonts w:hint="eastAsia" w:ascii="宋体" w:hAnsi="宋体" w:eastAsia="宋体" w:cs="宋体"/>
          <w:b w:val="0"/>
          <w:bCs w:val="0"/>
          <w:color w:val="auto"/>
          <w:kern w:val="0"/>
          <w:szCs w:val="21"/>
          <w:highlight w:val="none"/>
          <w:lang w:val="en-US" w:eastAsia="zh-CN"/>
        </w:rPr>
      </w:pPr>
      <w:r>
        <w:rPr>
          <w:rFonts w:hint="eastAsia" w:ascii="宋体" w:hAnsi="宋体" w:eastAsia="宋体" w:cs="宋体"/>
          <w:b w:val="0"/>
          <w:bCs w:val="0"/>
          <w:color w:val="auto"/>
          <w:kern w:val="0"/>
          <w:szCs w:val="21"/>
          <w:highlight w:val="none"/>
          <w:lang w:val="en-US" w:eastAsia="zh-CN"/>
        </w:rPr>
        <w:t>向土壤投入土壤钝化剂，通过对重金属的吸附、氧化还原或沉淀等作用，以降低土壤重金属的生物有效性，即通过吸附或沉淀反应使得镉离子失去活性，无法被水稻吸收。该技术关键在于选择经济有效的钝化剂，针对南方酸性水稻田重金属镉、砷的生物有效性，常用的钝化材料有以碱渣、海泡石、蒙脱土、磷灰石、生物炭为原料制成的钝化剂等。注意事项：土壤调理剂应满足适用于降低土壤酸性，降低土壤镉的生物有效性，同时含有水稻生长营养元素；土壤调理剂应分批次监测重金属含量，检测方法参照GB/T39229，严禁施用没有取得登记证的产品，根据高安市实际情况，计划采购颗粒剂土壤调理剂。</w:t>
      </w:r>
    </w:p>
    <w:p w14:paraId="198C48E0">
      <w:pPr>
        <w:numPr>
          <w:ilvl w:val="0"/>
          <w:numId w:val="0"/>
        </w:numPr>
        <w:spacing w:line="400" w:lineRule="exact"/>
        <w:ind w:firstLine="420" w:firstLineChars="200"/>
        <w:rPr>
          <w:rFonts w:hint="eastAsia" w:ascii="宋体" w:hAnsi="宋体" w:eastAsia="宋体" w:cs="宋体"/>
          <w:b/>
          <w:bCs/>
          <w:color w:val="auto"/>
          <w:kern w:val="0"/>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土壤调理剂（技术参数及要求）：主要原料为贝壳类（生产原料不得含有生石灰、石灰石、白云石、硝酸磷肥副产品等其他工业附属品），产品形态：颗粒，主要技术指标：CaO≥30.0%、pH：8.0-10.0，适用于酸性土壤，通用名称为土壤调理剂（以上以登记证上标注的为准，</w:t>
      </w:r>
      <w:r>
        <w:rPr>
          <w:rFonts w:hint="eastAsia" w:ascii="宋体" w:hAnsi="宋体" w:eastAsia="宋体" w:cs="宋体"/>
          <w:b/>
          <w:bCs/>
          <w:color w:val="auto"/>
          <w:kern w:val="0"/>
          <w:sz w:val="21"/>
          <w:szCs w:val="21"/>
          <w:highlight w:val="none"/>
          <w:lang w:val="en-US" w:eastAsia="zh-CN"/>
        </w:rPr>
        <w:t>投标文件中提供土壤调理剂肥料登记证原件扫描件佐证</w:t>
      </w:r>
      <w:r>
        <w:rPr>
          <w:rFonts w:hint="eastAsia" w:ascii="宋体" w:hAnsi="宋体" w:eastAsia="宋体" w:cs="宋体"/>
          <w:b w:val="0"/>
          <w:bCs w:val="0"/>
          <w:color w:val="auto"/>
          <w:kern w:val="0"/>
          <w:sz w:val="21"/>
          <w:szCs w:val="21"/>
          <w:highlight w:val="none"/>
          <w:lang w:val="en-US" w:eastAsia="zh-CN"/>
        </w:rPr>
        <w:t>）。重金属含量不能超过GB15618-2018规定的筛选值，即砷（As）≤30mg/kg；镉（Cd）≤0.3mg/kg；铅（Pb）≤80mg/kg；铬（Cr）≤250mg/kg；汞（Hg）≤0.5mg/kg，（重金属要求</w:t>
      </w:r>
      <w:r>
        <w:rPr>
          <w:rFonts w:hint="eastAsia" w:ascii="宋体" w:hAnsi="宋体" w:eastAsia="宋体" w:cs="宋体"/>
          <w:b/>
          <w:bCs/>
          <w:color w:val="auto"/>
          <w:kern w:val="0"/>
          <w:sz w:val="21"/>
          <w:szCs w:val="21"/>
          <w:highlight w:val="none"/>
          <w:lang w:val="en-US" w:eastAsia="zh-CN"/>
        </w:rPr>
        <w:t>投标文件中提供第三方检测机构出具的检测报告的原件扫描件佐证</w:t>
      </w:r>
      <w:r>
        <w:rPr>
          <w:rFonts w:hint="eastAsia" w:ascii="宋体" w:hAnsi="宋体" w:eastAsia="宋体" w:cs="宋体"/>
          <w:b w:val="0"/>
          <w:bCs w:val="0"/>
          <w:color w:val="auto"/>
          <w:kern w:val="0"/>
          <w:sz w:val="21"/>
          <w:szCs w:val="21"/>
          <w:highlight w:val="none"/>
          <w:lang w:val="en-US" w:eastAsia="zh-CN"/>
        </w:rPr>
        <w:t>）</w:t>
      </w:r>
      <w:r>
        <w:rPr>
          <w:rFonts w:hint="eastAsia" w:ascii="宋体" w:hAnsi="宋体" w:eastAsia="宋体" w:cs="宋体"/>
          <w:b/>
          <w:bCs/>
          <w:color w:val="auto"/>
          <w:kern w:val="0"/>
          <w:szCs w:val="21"/>
          <w:highlight w:val="none"/>
          <w:lang w:val="en-US" w:eastAsia="zh-CN"/>
        </w:rPr>
        <w:t>。</w:t>
      </w:r>
    </w:p>
    <w:p w14:paraId="773C5533">
      <w:pPr>
        <w:numPr>
          <w:ilvl w:val="0"/>
          <w:numId w:val="0"/>
        </w:numPr>
        <w:spacing w:line="400" w:lineRule="exact"/>
        <w:ind w:firstLine="420" w:firstLineChars="200"/>
        <w:rPr>
          <w:rFonts w:hint="eastAsia" w:ascii="宋体" w:hAnsi="宋体" w:eastAsia="宋体" w:cs="宋体"/>
          <w:b w:val="0"/>
          <w:bCs w:val="0"/>
          <w:color w:val="auto"/>
          <w:kern w:val="0"/>
          <w:szCs w:val="21"/>
          <w:highlight w:val="none"/>
          <w:lang w:val="en-US" w:eastAsia="zh-CN"/>
        </w:rPr>
      </w:pPr>
      <w:r>
        <w:rPr>
          <w:rFonts w:hint="eastAsia" w:ascii="宋体" w:hAnsi="宋体" w:eastAsia="宋体" w:cs="宋体"/>
          <w:b w:val="0"/>
          <w:bCs w:val="0"/>
          <w:color w:val="auto"/>
          <w:kern w:val="0"/>
          <w:szCs w:val="21"/>
          <w:highlight w:val="none"/>
          <w:lang w:val="en-US" w:eastAsia="zh-CN"/>
        </w:rPr>
        <w:t>（3）土壤有机肥</w:t>
      </w:r>
    </w:p>
    <w:p w14:paraId="62DDEC10">
      <w:pPr>
        <w:numPr>
          <w:ilvl w:val="0"/>
          <w:numId w:val="0"/>
        </w:numPr>
        <w:spacing w:line="400" w:lineRule="exact"/>
        <w:ind w:firstLine="420" w:firstLineChars="200"/>
        <w:rPr>
          <w:rFonts w:hint="eastAsia" w:ascii="宋体" w:hAnsi="宋体" w:eastAsia="宋体" w:cs="宋体"/>
          <w:b w:val="0"/>
          <w:bCs w:val="0"/>
          <w:color w:val="auto"/>
          <w:kern w:val="0"/>
          <w:szCs w:val="21"/>
          <w:highlight w:val="none"/>
          <w:lang w:val="en-US" w:eastAsia="zh-CN"/>
        </w:rPr>
      </w:pPr>
      <w:r>
        <w:rPr>
          <w:rFonts w:hint="eastAsia" w:ascii="宋体" w:hAnsi="宋体" w:eastAsia="宋体" w:cs="宋体"/>
          <w:b w:val="0"/>
          <w:bCs w:val="0"/>
          <w:color w:val="auto"/>
          <w:kern w:val="0"/>
          <w:szCs w:val="21"/>
          <w:highlight w:val="none"/>
          <w:lang w:val="en-US" w:eastAsia="zh-CN"/>
        </w:rPr>
        <w:t>施用有机肥料最重要的一点就是增加了土壤的有机物质。有机质的含量虽然只占耕层土壤总量的百分之零点几至百分之几，但它是土壤的核心成分，是土壤肥力的主要物质基础。有机肥料对土壤的结构、土壤中的养分、能量、酶、水分、通气和微生物活性等有十分重要的影响。有机肥料含有植物需要的大量营养成分，对植物的养分供给比较平缓持久，有很长的后效。有机肥料还含有多种微量元素。由于有机肥料中各种营养元素比较完全，而且这些物质完全是无毒、无害、无污染的自然物质，这就为生产高产、优质、无污染的绿色食品提供了必须条件。有机肥料含有多种糖类，施用有机肥增加了土壤中各种糖类。有了糖类，有了有机物在降解中释放的大量能量，土壤微生物的生长、发育、繁殖活动就有了能源。</w:t>
      </w:r>
    </w:p>
    <w:p w14:paraId="5566A916">
      <w:pPr>
        <w:numPr>
          <w:ilvl w:val="0"/>
          <w:numId w:val="0"/>
        </w:numPr>
        <w:spacing w:line="400" w:lineRule="exact"/>
        <w:ind w:firstLine="420" w:firstLineChars="200"/>
        <w:rPr>
          <w:rFonts w:hint="eastAsia" w:ascii="宋体" w:hAnsi="宋体" w:eastAsia="宋体" w:cs="宋体"/>
          <w:b w:val="0"/>
          <w:bCs w:val="0"/>
          <w:color w:val="auto"/>
          <w:kern w:val="0"/>
          <w:szCs w:val="21"/>
          <w:highlight w:val="none"/>
          <w:lang w:val="en-US" w:eastAsia="zh-CN"/>
        </w:rPr>
      </w:pPr>
      <w:r>
        <w:rPr>
          <w:rFonts w:hint="eastAsia" w:ascii="宋体" w:hAnsi="宋体" w:eastAsia="宋体" w:cs="宋体"/>
          <w:b w:val="0"/>
          <w:bCs w:val="0"/>
          <w:color w:val="auto"/>
          <w:kern w:val="0"/>
          <w:szCs w:val="21"/>
          <w:highlight w:val="none"/>
          <w:lang w:val="en-US" w:eastAsia="zh-CN"/>
        </w:rPr>
        <w:t>施用方式：采用人工撒施的方式，在结构调整区地块均匀撒施。</w:t>
      </w:r>
    </w:p>
    <w:p w14:paraId="7B7E10CA">
      <w:pPr>
        <w:numPr>
          <w:ilvl w:val="0"/>
          <w:numId w:val="0"/>
        </w:numPr>
        <w:spacing w:line="400" w:lineRule="exact"/>
        <w:ind w:firstLine="420" w:firstLineChars="200"/>
        <w:rPr>
          <w:rFonts w:hint="eastAsia" w:ascii="宋体" w:hAnsi="宋体" w:eastAsia="宋体" w:cs="宋体"/>
          <w:b/>
          <w:bCs/>
          <w:color w:val="auto"/>
          <w:kern w:val="0"/>
          <w:szCs w:val="21"/>
          <w:highlight w:val="none"/>
          <w:lang w:val="en-US" w:eastAsia="zh-CN"/>
        </w:rPr>
      </w:pPr>
      <w:r>
        <w:rPr>
          <w:rFonts w:hint="eastAsia" w:ascii="宋体" w:hAnsi="宋体" w:eastAsia="宋体" w:cs="宋体"/>
          <w:b w:val="0"/>
          <w:bCs w:val="0"/>
          <w:color w:val="auto"/>
          <w:kern w:val="0"/>
          <w:szCs w:val="21"/>
          <w:highlight w:val="none"/>
          <w:lang w:val="en-US" w:eastAsia="zh-CN"/>
        </w:rPr>
        <w:t>有机肥（技术参数及要求）：产品符合NY/T525-2021标准，有机质的质量分数(以烘干基计)≥30%；总养分(氮+五氧化二磷+氧化钾)≥4%，</w:t>
      </w:r>
      <w:r>
        <w:rPr>
          <w:rFonts w:hint="eastAsia" w:ascii="宋体" w:hAnsi="宋体" w:eastAsia="宋体" w:cs="宋体"/>
          <w:b/>
          <w:bCs/>
          <w:color w:val="auto"/>
          <w:kern w:val="0"/>
          <w:szCs w:val="21"/>
          <w:highlight w:val="none"/>
          <w:lang w:val="en-US" w:eastAsia="zh-CN"/>
        </w:rPr>
        <w:t>（以上以登记证上标注的为准，投标文件中提供有机肥肥料登记证原件扫描件佐证）</w:t>
      </w:r>
      <w:r>
        <w:rPr>
          <w:rFonts w:hint="eastAsia" w:ascii="宋体" w:hAnsi="宋体" w:eastAsia="宋体" w:cs="宋体"/>
          <w:b w:val="0"/>
          <w:bCs w:val="0"/>
          <w:color w:val="auto"/>
          <w:kern w:val="0"/>
          <w:szCs w:val="21"/>
          <w:highlight w:val="none"/>
          <w:lang w:val="en-US" w:eastAsia="zh-CN"/>
        </w:rPr>
        <w:t>；水分(鲜样)的质量分数(以烘干基计)≤30%；酸碱度(PH范围)5.5-8.5；总砷（As）≤15 mg/kg；总汞（Hg）≤2 mg/kg；总铅（Pb）≤50 mg/kg；总铬（Cr）≤150 mg/kg；总镉（Cd）≤3 mg/kg，</w:t>
      </w:r>
      <w:r>
        <w:rPr>
          <w:rFonts w:hint="eastAsia" w:ascii="宋体" w:hAnsi="宋体" w:eastAsia="宋体" w:cs="宋体"/>
          <w:b/>
          <w:bCs/>
          <w:color w:val="auto"/>
          <w:kern w:val="0"/>
          <w:szCs w:val="21"/>
          <w:highlight w:val="none"/>
          <w:lang w:val="en-US" w:eastAsia="zh-CN"/>
        </w:rPr>
        <w:t>（投标文件中提供第三方检测机构出具的检测报告原件扫描件佐证）。</w:t>
      </w:r>
    </w:p>
    <w:p w14:paraId="68BC590E">
      <w:pPr>
        <w:numPr>
          <w:ilvl w:val="0"/>
          <w:numId w:val="0"/>
        </w:numPr>
        <w:spacing w:line="400" w:lineRule="exact"/>
        <w:ind w:firstLine="422" w:firstLineChars="200"/>
        <w:rPr>
          <w:rFonts w:hint="eastAsia" w:ascii="宋体" w:hAnsi="宋体" w:eastAsia="宋体" w:cs="宋体"/>
          <w:b/>
          <w:bCs/>
          <w:color w:val="auto"/>
          <w:kern w:val="0"/>
          <w:szCs w:val="21"/>
          <w:highlight w:val="none"/>
          <w:lang w:val="en-US" w:eastAsia="zh-CN"/>
        </w:rPr>
      </w:pPr>
    </w:p>
    <w:p w14:paraId="0792E73B">
      <w:pPr>
        <w:numPr>
          <w:numId w:val="0"/>
        </w:numPr>
        <w:rPr>
          <w:rFonts w:hint="eastAsia" w:ascii="宋体" w:hAnsi="宋体" w:eastAsia="宋体" w:cs="宋体"/>
          <w:b/>
          <w:bCs/>
          <w:color w:val="auto"/>
          <w:szCs w:val="21"/>
          <w:highlight w:val="none"/>
          <w:lang w:val="en-US" w:eastAsia="zh-CN"/>
        </w:rPr>
      </w:pPr>
      <w:bookmarkStart w:id="12" w:name="_GoBack"/>
      <w:bookmarkEnd w:id="12"/>
    </w:p>
    <w:sectPr>
      <w:headerReference r:id="rId3" w:type="default"/>
      <w:footerReference r:id="rId4" w:type="default"/>
      <w:pgSz w:w="11849" w:h="16781"/>
      <w:pgMar w:top="1191" w:right="1191" w:bottom="1191" w:left="1191" w:header="850" w:footer="992" w:gutter="0"/>
      <w:pgBorders>
        <w:top w:val="none" w:sz="0" w:space="0"/>
        <w:left w:val="none" w:sz="0" w:space="0"/>
        <w:bottom w:val="none" w:sz="0" w:space="0"/>
        <w:right w:val="none" w:sz="0" w:space="0"/>
      </w:pgBorders>
      <w:pgNumType w:fmt="decimal"/>
      <w:cols w:space="720" w:num="1"/>
      <w:docGrid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63"/>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896F1B26-83A6-4DF6-AAAC-28EE7861271D}"/>
  </w:font>
  <w:font w:name="等线">
    <w:panose1 w:val="02010600030101010101"/>
    <w:charset w:val="86"/>
    <w:family w:val="auto"/>
    <w:pitch w:val="default"/>
    <w:sig w:usb0="A00002BF" w:usb1="38CF7CFA"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新宋体">
    <w:panose1 w:val="02010609030101010101"/>
    <w:charset w:val="86"/>
    <w:family w:val="auto"/>
    <w:pitch w:val="default"/>
    <w:sig w:usb0="00000203" w:usb1="288F0000" w:usb2="00000006" w:usb3="00000000" w:csb0="00040001" w:csb1="00000000"/>
  </w:font>
  <w:font w:name="华文仿宋">
    <w:panose1 w:val="02010600040101010101"/>
    <w:charset w:val="86"/>
    <w:family w:val="auto"/>
    <w:pitch w:val="default"/>
    <w:sig w:usb0="00000287" w:usb1="080F0000" w:usb2="00000000" w:usb3="00000000" w:csb0="0004009F" w:csb1="DFD70000"/>
  </w:font>
  <w:font w:name="Wingdings 2">
    <w:panose1 w:val="05020102010507070707"/>
    <w:charset w:val="00"/>
    <w:family w:val="auto"/>
    <w:pitch w:val="default"/>
    <w:sig w:usb0="00000000" w:usb1="00000000" w:usb2="00000000" w:usb3="00000000" w:csb0="80000000" w:csb1="00000000"/>
  </w:font>
  <w:font w:name="微软雅黑">
    <w:panose1 w:val="020B0503020204020204"/>
    <w:charset w:val="86"/>
    <w:family w:val="swiss"/>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00000001" w:usb1="08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WPSEMBED25">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D2019D">
    <w:pPr>
      <w:pStyle w:val="8"/>
      <w:spacing w:line="14" w:lineRule="auto"/>
      <w:rPr>
        <w:sz w:val="20"/>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337820" cy="227965"/>
              <wp:effectExtent l="0" t="0" r="0" b="0"/>
              <wp:wrapNone/>
              <wp:docPr id="2" name="文本框 2"/>
              <wp:cNvGraphicFramePr/>
              <a:graphic xmlns:a="http://schemas.openxmlformats.org/drawingml/2006/main">
                <a:graphicData uri="http://schemas.microsoft.com/office/word/2010/wordprocessingShape">
                  <wps:wsp>
                    <wps:cNvSpPr txBox="1"/>
                    <wps:spPr>
                      <a:xfrm>
                        <a:off x="0" y="0"/>
                        <a:ext cx="337820" cy="227965"/>
                      </a:xfrm>
                      <a:prstGeom prst="rect">
                        <a:avLst/>
                      </a:prstGeom>
                      <a:noFill/>
                      <a:ln>
                        <a:noFill/>
                      </a:ln>
                    </wps:spPr>
                    <wps:txbx>
                      <w:txbxContent>
                        <w:p w14:paraId="6D82A358">
                          <w:pPr>
                            <w:spacing w:before="41"/>
                            <w:ind w:left="40"/>
                            <w:rPr>
                              <w:rFonts w:ascii="Times New Roman"/>
                              <w:sz w:val="18"/>
                            </w:rPr>
                          </w:pPr>
                          <w:r>
                            <w:fldChar w:fldCharType="begin"/>
                          </w:r>
                          <w:r>
                            <w:rPr>
                              <w:rFonts w:ascii="Times New Roman"/>
                              <w:sz w:val="18"/>
                            </w:rPr>
                            <w:instrText xml:space="preserve"> PAGE </w:instrText>
                          </w:r>
                          <w:r>
                            <w:fldChar w:fldCharType="separate"/>
                          </w:r>
                          <w:r>
                            <w:rPr>
                              <w:rFonts w:ascii="Times New Roman"/>
                              <w:sz w:val="18"/>
                            </w:rPr>
                            <w:t>79</w:t>
                          </w:r>
                          <w:r>
                            <w:fldChar w:fldCharType="end"/>
                          </w:r>
                        </w:p>
                      </w:txbxContent>
                    </wps:txbx>
                    <wps:bodyPr lIns="0" tIns="0" rIns="0" bIns="0" upright="1"/>
                  </wps:wsp>
                </a:graphicData>
              </a:graphic>
            </wp:anchor>
          </w:drawing>
        </mc:Choice>
        <mc:Fallback>
          <w:pict>
            <v:shape id="_x0000_s1026" o:spid="_x0000_s1026" o:spt="202" type="#_x0000_t202" style="position:absolute;left:0pt;margin-top:0pt;height:17.95pt;width:26.6pt;mso-position-horizontal:center;mso-position-horizontal-relative:margin;z-index:251659264;mso-width-relative:page;mso-height-relative:page;" filled="f" stroked="f" coordsize="21600,21600" o:gfxdata="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I2pqU9QAAAADAQAADwAAAAAAAAABACAAAAAiAAAAZHJzL2Rvd25yZXYueG1sUEsBAhQAFAAA&#10;AAgAh07iQC7Hpwu6AQAAcQMAAA4AAAAAAAAAAQAgAAAAIwEAAGRycy9lMm9Eb2MueG1sUEsFBgAA&#10;AAAGAAYAWQEAAE8FAAAAAA==&#10;">
              <v:fill on="f" focussize="0,0"/>
              <v:stroke on="f"/>
              <v:imagedata o:title=""/>
              <o:lock v:ext="edit" aspectratio="f"/>
              <v:textbox inset="0mm,0mm,0mm,0mm">
                <w:txbxContent>
                  <w:p w14:paraId="6D82A358">
                    <w:pPr>
                      <w:spacing w:before="41"/>
                      <w:ind w:left="40"/>
                      <w:rPr>
                        <w:rFonts w:ascii="Times New Roman"/>
                        <w:sz w:val="18"/>
                      </w:rPr>
                    </w:pPr>
                    <w:r>
                      <w:fldChar w:fldCharType="begin"/>
                    </w:r>
                    <w:r>
                      <w:rPr>
                        <w:rFonts w:ascii="Times New Roman"/>
                        <w:sz w:val="18"/>
                      </w:rPr>
                      <w:instrText xml:space="preserve"> PAGE </w:instrText>
                    </w:r>
                    <w:r>
                      <w:fldChar w:fldCharType="separate"/>
                    </w:r>
                    <w:r>
                      <w:rPr>
                        <w:rFonts w:ascii="Times New Roman"/>
                        <w:sz w:val="18"/>
                      </w:rPr>
                      <w:t>79</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B107FC">
    <w:pPr>
      <w:pStyle w:val="16"/>
      <w:pBdr>
        <w:bottom w:val="none" w:color="auto" w:sz="0" w:space="1"/>
      </w:pBdr>
      <w:tabs>
        <w:tab w:val="right" w:pos="9467"/>
      </w:tabs>
      <w:jc w:val="left"/>
      <w:rPr>
        <w:highlight w:val="white"/>
      </w:rPr>
    </w:pPr>
    <w:r>
      <w:rPr>
        <w:rFonts w:hint="eastAsia"/>
        <w:highlight w:val="white"/>
      </w:rPr>
      <w:tab/>
    </w:r>
    <w:r>
      <w:rPr>
        <w:rFonts w:hint="eastAsia"/>
        <w:highlight w:val="white"/>
      </w:rPr>
      <w:tab/>
    </w:r>
    <w:r>
      <w:rPr>
        <w:rFonts w:hint="eastAsia"/>
        <w:highlight w:val="white"/>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JlZjY1NWMwMmQwNGM5YWNjNDE0ODQwODBjNWJlYjkifQ=="/>
  </w:docVars>
  <w:rsids>
    <w:rsidRoot w:val="00000000"/>
    <w:rsid w:val="00107553"/>
    <w:rsid w:val="001A7908"/>
    <w:rsid w:val="002A4483"/>
    <w:rsid w:val="002F3C7E"/>
    <w:rsid w:val="004F5902"/>
    <w:rsid w:val="005C5F5C"/>
    <w:rsid w:val="00657638"/>
    <w:rsid w:val="00755DF0"/>
    <w:rsid w:val="0078060B"/>
    <w:rsid w:val="008813A9"/>
    <w:rsid w:val="00900FCB"/>
    <w:rsid w:val="009100A4"/>
    <w:rsid w:val="00930B0F"/>
    <w:rsid w:val="00A516A4"/>
    <w:rsid w:val="00C12021"/>
    <w:rsid w:val="01042CD0"/>
    <w:rsid w:val="014D416C"/>
    <w:rsid w:val="01514167"/>
    <w:rsid w:val="01664BF8"/>
    <w:rsid w:val="01814321"/>
    <w:rsid w:val="01874B04"/>
    <w:rsid w:val="01A06F09"/>
    <w:rsid w:val="01A9141C"/>
    <w:rsid w:val="01B14C06"/>
    <w:rsid w:val="01B26B6A"/>
    <w:rsid w:val="01BB6BDF"/>
    <w:rsid w:val="020C66EF"/>
    <w:rsid w:val="020E3E12"/>
    <w:rsid w:val="021307A7"/>
    <w:rsid w:val="02880D93"/>
    <w:rsid w:val="02CA5CD8"/>
    <w:rsid w:val="031F17AE"/>
    <w:rsid w:val="032B09E8"/>
    <w:rsid w:val="03563CB7"/>
    <w:rsid w:val="035F251C"/>
    <w:rsid w:val="03615C9B"/>
    <w:rsid w:val="036E4623"/>
    <w:rsid w:val="039951C9"/>
    <w:rsid w:val="039A36A3"/>
    <w:rsid w:val="03AD0041"/>
    <w:rsid w:val="03BD3D36"/>
    <w:rsid w:val="03BD7363"/>
    <w:rsid w:val="04043F41"/>
    <w:rsid w:val="042913CB"/>
    <w:rsid w:val="048F6DC7"/>
    <w:rsid w:val="04AF666C"/>
    <w:rsid w:val="051536FE"/>
    <w:rsid w:val="05810107"/>
    <w:rsid w:val="05A83CE5"/>
    <w:rsid w:val="05AF3E04"/>
    <w:rsid w:val="05EC4AE5"/>
    <w:rsid w:val="060D7578"/>
    <w:rsid w:val="062F3F10"/>
    <w:rsid w:val="064E37AE"/>
    <w:rsid w:val="066466EB"/>
    <w:rsid w:val="0676235A"/>
    <w:rsid w:val="068E19BA"/>
    <w:rsid w:val="06B807E5"/>
    <w:rsid w:val="06D05B2E"/>
    <w:rsid w:val="06F5117D"/>
    <w:rsid w:val="070A113E"/>
    <w:rsid w:val="071A6593"/>
    <w:rsid w:val="074160EC"/>
    <w:rsid w:val="07534EE8"/>
    <w:rsid w:val="076953F4"/>
    <w:rsid w:val="0784456A"/>
    <w:rsid w:val="07917CAA"/>
    <w:rsid w:val="07A044E6"/>
    <w:rsid w:val="07B13BB2"/>
    <w:rsid w:val="07CF0A6B"/>
    <w:rsid w:val="07DC0503"/>
    <w:rsid w:val="080F2CBD"/>
    <w:rsid w:val="0833080F"/>
    <w:rsid w:val="084958C7"/>
    <w:rsid w:val="087150EF"/>
    <w:rsid w:val="087412B0"/>
    <w:rsid w:val="08B24CA0"/>
    <w:rsid w:val="08F0070A"/>
    <w:rsid w:val="08F05A77"/>
    <w:rsid w:val="08F22466"/>
    <w:rsid w:val="09226A16"/>
    <w:rsid w:val="097F76D4"/>
    <w:rsid w:val="09970B85"/>
    <w:rsid w:val="09A5342C"/>
    <w:rsid w:val="09B64B07"/>
    <w:rsid w:val="09CA153F"/>
    <w:rsid w:val="09E94881"/>
    <w:rsid w:val="0A051F93"/>
    <w:rsid w:val="0A26540A"/>
    <w:rsid w:val="0A4C5E14"/>
    <w:rsid w:val="0A8F2931"/>
    <w:rsid w:val="0AAD6451"/>
    <w:rsid w:val="0ADC02D9"/>
    <w:rsid w:val="0ADF0A36"/>
    <w:rsid w:val="0AE557CD"/>
    <w:rsid w:val="0B047D8E"/>
    <w:rsid w:val="0B0B35D9"/>
    <w:rsid w:val="0B215DD7"/>
    <w:rsid w:val="0B6F40EF"/>
    <w:rsid w:val="0B7F720E"/>
    <w:rsid w:val="0BBE624C"/>
    <w:rsid w:val="0BC67500"/>
    <w:rsid w:val="0BE20898"/>
    <w:rsid w:val="0BFB189F"/>
    <w:rsid w:val="0BFC66C8"/>
    <w:rsid w:val="0C0C7514"/>
    <w:rsid w:val="0C722E25"/>
    <w:rsid w:val="0CB33F28"/>
    <w:rsid w:val="0CDF2F6F"/>
    <w:rsid w:val="0CE60BD5"/>
    <w:rsid w:val="0CEA5470"/>
    <w:rsid w:val="0CF745E3"/>
    <w:rsid w:val="0D205E88"/>
    <w:rsid w:val="0D305579"/>
    <w:rsid w:val="0DB02915"/>
    <w:rsid w:val="0DB311D0"/>
    <w:rsid w:val="0DC515E2"/>
    <w:rsid w:val="0DFE574F"/>
    <w:rsid w:val="0E20163B"/>
    <w:rsid w:val="0E39220B"/>
    <w:rsid w:val="0E97673E"/>
    <w:rsid w:val="0EA9573D"/>
    <w:rsid w:val="0EDA1606"/>
    <w:rsid w:val="0EFC0C1C"/>
    <w:rsid w:val="0F2509CA"/>
    <w:rsid w:val="0F347624"/>
    <w:rsid w:val="0F56618F"/>
    <w:rsid w:val="0F596798"/>
    <w:rsid w:val="0F67278C"/>
    <w:rsid w:val="0F6E2388"/>
    <w:rsid w:val="0FE268D2"/>
    <w:rsid w:val="0FF17BBC"/>
    <w:rsid w:val="101E3DAE"/>
    <w:rsid w:val="104A0FBD"/>
    <w:rsid w:val="1051624E"/>
    <w:rsid w:val="105E1B6A"/>
    <w:rsid w:val="10612296"/>
    <w:rsid w:val="107240FA"/>
    <w:rsid w:val="10773AF9"/>
    <w:rsid w:val="10896D22"/>
    <w:rsid w:val="10B64D47"/>
    <w:rsid w:val="10BD27BC"/>
    <w:rsid w:val="10D23119"/>
    <w:rsid w:val="1115264F"/>
    <w:rsid w:val="11473ED3"/>
    <w:rsid w:val="11684C9B"/>
    <w:rsid w:val="116972AB"/>
    <w:rsid w:val="117F3B58"/>
    <w:rsid w:val="11A777F0"/>
    <w:rsid w:val="11B22F57"/>
    <w:rsid w:val="120A0A9D"/>
    <w:rsid w:val="1228730C"/>
    <w:rsid w:val="12810787"/>
    <w:rsid w:val="12BD19DC"/>
    <w:rsid w:val="12C07C8E"/>
    <w:rsid w:val="12DD46A3"/>
    <w:rsid w:val="12EA61CA"/>
    <w:rsid w:val="12EE3177"/>
    <w:rsid w:val="12F91882"/>
    <w:rsid w:val="130629B8"/>
    <w:rsid w:val="133574CB"/>
    <w:rsid w:val="13545D39"/>
    <w:rsid w:val="135C4562"/>
    <w:rsid w:val="13740C3C"/>
    <w:rsid w:val="137C48D9"/>
    <w:rsid w:val="13A42516"/>
    <w:rsid w:val="13AA7C9D"/>
    <w:rsid w:val="13DA182D"/>
    <w:rsid w:val="13DD2D88"/>
    <w:rsid w:val="13E40AD4"/>
    <w:rsid w:val="14107EB2"/>
    <w:rsid w:val="1487194A"/>
    <w:rsid w:val="148D32B1"/>
    <w:rsid w:val="14B1525E"/>
    <w:rsid w:val="14D12C0B"/>
    <w:rsid w:val="15213D69"/>
    <w:rsid w:val="15653BFA"/>
    <w:rsid w:val="15750287"/>
    <w:rsid w:val="158A3C94"/>
    <w:rsid w:val="15C47699"/>
    <w:rsid w:val="15E2762C"/>
    <w:rsid w:val="15FB2EC5"/>
    <w:rsid w:val="161111A6"/>
    <w:rsid w:val="16134822"/>
    <w:rsid w:val="1618304E"/>
    <w:rsid w:val="16392DBB"/>
    <w:rsid w:val="16481CA3"/>
    <w:rsid w:val="165A085B"/>
    <w:rsid w:val="16A33137"/>
    <w:rsid w:val="16CF5E02"/>
    <w:rsid w:val="170E522D"/>
    <w:rsid w:val="171657DF"/>
    <w:rsid w:val="173B59E8"/>
    <w:rsid w:val="17555BDC"/>
    <w:rsid w:val="1759534D"/>
    <w:rsid w:val="176522C3"/>
    <w:rsid w:val="17951B4F"/>
    <w:rsid w:val="17F54ACA"/>
    <w:rsid w:val="17F81E9A"/>
    <w:rsid w:val="17FF00DB"/>
    <w:rsid w:val="18017D07"/>
    <w:rsid w:val="18084EEB"/>
    <w:rsid w:val="182E7A2D"/>
    <w:rsid w:val="18561C0B"/>
    <w:rsid w:val="18777C63"/>
    <w:rsid w:val="18971C31"/>
    <w:rsid w:val="18CF2585"/>
    <w:rsid w:val="18E92045"/>
    <w:rsid w:val="190855FC"/>
    <w:rsid w:val="194E6C2F"/>
    <w:rsid w:val="19860F09"/>
    <w:rsid w:val="19AF4C20"/>
    <w:rsid w:val="19FF69FF"/>
    <w:rsid w:val="1A257B29"/>
    <w:rsid w:val="1A6C7B89"/>
    <w:rsid w:val="1AB42F10"/>
    <w:rsid w:val="1AD13A86"/>
    <w:rsid w:val="1AD615A8"/>
    <w:rsid w:val="1AD62816"/>
    <w:rsid w:val="1ADA163D"/>
    <w:rsid w:val="1B1F7278"/>
    <w:rsid w:val="1B2563A4"/>
    <w:rsid w:val="1B4072CF"/>
    <w:rsid w:val="1B527F1C"/>
    <w:rsid w:val="1B5336B0"/>
    <w:rsid w:val="1B613601"/>
    <w:rsid w:val="1B826E63"/>
    <w:rsid w:val="1B9273FE"/>
    <w:rsid w:val="1BF21F16"/>
    <w:rsid w:val="1C370FA4"/>
    <w:rsid w:val="1C74693C"/>
    <w:rsid w:val="1C80194D"/>
    <w:rsid w:val="1CA052F9"/>
    <w:rsid w:val="1D273645"/>
    <w:rsid w:val="1D451F6D"/>
    <w:rsid w:val="1D556010"/>
    <w:rsid w:val="1DAB4FE1"/>
    <w:rsid w:val="1DDF4451"/>
    <w:rsid w:val="1DEA4E38"/>
    <w:rsid w:val="1DF9744E"/>
    <w:rsid w:val="1E0B76C7"/>
    <w:rsid w:val="1E3E0629"/>
    <w:rsid w:val="1E7E066B"/>
    <w:rsid w:val="1E822AFA"/>
    <w:rsid w:val="1EA17358"/>
    <w:rsid w:val="1EB37344"/>
    <w:rsid w:val="1EB37DB8"/>
    <w:rsid w:val="1EDC4304"/>
    <w:rsid w:val="1F48013D"/>
    <w:rsid w:val="1F4A1681"/>
    <w:rsid w:val="1F63045A"/>
    <w:rsid w:val="1F662028"/>
    <w:rsid w:val="1F68578C"/>
    <w:rsid w:val="1F71458F"/>
    <w:rsid w:val="1F7F45B1"/>
    <w:rsid w:val="1F926C41"/>
    <w:rsid w:val="1FBA5176"/>
    <w:rsid w:val="1FCF60ED"/>
    <w:rsid w:val="1FDC4240"/>
    <w:rsid w:val="2014753F"/>
    <w:rsid w:val="20355CF5"/>
    <w:rsid w:val="203D7CFB"/>
    <w:rsid w:val="204B5473"/>
    <w:rsid w:val="20A47B65"/>
    <w:rsid w:val="20C971E7"/>
    <w:rsid w:val="20D71C95"/>
    <w:rsid w:val="20E620C0"/>
    <w:rsid w:val="2135271E"/>
    <w:rsid w:val="216A74A3"/>
    <w:rsid w:val="21936FED"/>
    <w:rsid w:val="21D50045"/>
    <w:rsid w:val="21E41057"/>
    <w:rsid w:val="2202560B"/>
    <w:rsid w:val="22672E8C"/>
    <w:rsid w:val="22AB7B04"/>
    <w:rsid w:val="22CA2988"/>
    <w:rsid w:val="22F02CF2"/>
    <w:rsid w:val="230279FC"/>
    <w:rsid w:val="2304572A"/>
    <w:rsid w:val="23276340"/>
    <w:rsid w:val="23386A21"/>
    <w:rsid w:val="239700E4"/>
    <w:rsid w:val="23AD1279"/>
    <w:rsid w:val="23CD48A1"/>
    <w:rsid w:val="24107A5A"/>
    <w:rsid w:val="241C1D5F"/>
    <w:rsid w:val="242332EA"/>
    <w:rsid w:val="24255B79"/>
    <w:rsid w:val="24676AEA"/>
    <w:rsid w:val="24874A33"/>
    <w:rsid w:val="24BD5507"/>
    <w:rsid w:val="24E52E62"/>
    <w:rsid w:val="24EB09B4"/>
    <w:rsid w:val="24F17B7B"/>
    <w:rsid w:val="25001989"/>
    <w:rsid w:val="25156BB8"/>
    <w:rsid w:val="251B66B7"/>
    <w:rsid w:val="25374297"/>
    <w:rsid w:val="254E3C4B"/>
    <w:rsid w:val="25605752"/>
    <w:rsid w:val="25714529"/>
    <w:rsid w:val="25790584"/>
    <w:rsid w:val="257C6BE3"/>
    <w:rsid w:val="25EC7DF8"/>
    <w:rsid w:val="25FB473B"/>
    <w:rsid w:val="261B75E1"/>
    <w:rsid w:val="262772C3"/>
    <w:rsid w:val="26373943"/>
    <w:rsid w:val="264E519F"/>
    <w:rsid w:val="265C6F87"/>
    <w:rsid w:val="267F67D1"/>
    <w:rsid w:val="26A83CB0"/>
    <w:rsid w:val="26C143E8"/>
    <w:rsid w:val="26E2748C"/>
    <w:rsid w:val="27280C17"/>
    <w:rsid w:val="276205CD"/>
    <w:rsid w:val="27814881"/>
    <w:rsid w:val="27983FEE"/>
    <w:rsid w:val="27AE3812"/>
    <w:rsid w:val="27B33C90"/>
    <w:rsid w:val="27B51BBC"/>
    <w:rsid w:val="27B75244"/>
    <w:rsid w:val="27CE7A10"/>
    <w:rsid w:val="27EC60E8"/>
    <w:rsid w:val="27F5351E"/>
    <w:rsid w:val="280D2D5B"/>
    <w:rsid w:val="28210E7B"/>
    <w:rsid w:val="282A3211"/>
    <w:rsid w:val="284101E2"/>
    <w:rsid w:val="287D4CC7"/>
    <w:rsid w:val="28DA12E4"/>
    <w:rsid w:val="28EC6B33"/>
    <w:rsid w:val="29242BE0"/>
    <w:rsid w:val="29521B35"/>
    <w:rsid w:val="29A924E3"/>
    <w:rsid w:val="29DF2FE5"/>
    <w:rsid w:val="29E256AC"/>
    <w:rsid w:val="2A4E4E38"/>
    <w:rsid w:val="2A825F5D"/>
    <w:rsid w:val="2A9346E9"/>
    <w:rsid w:val="2A9E191C"/>
    <w:rsid w:val="2AA01867"/>
    <w:rsid w:val="2AB13A08"/>
    <w:rsid w:val="2ABC1DA2"/>
    <w:rsid w:val="2AEA33A3"/>
    <w:rsid w:val="2AFB7AAB"/>
    <w:rsid w:val="2B084612"/>
    <w:rsid w:val="2B38501B"/>
    <w:rsid w:val="2B4B4CB5"/>
    <w:rsid w:val="2B4C1378"/>
    <w:rsid w:val="2B505981"/>
    <w:rsid w:val="2B904D81"/>
    <w:rsid w:val="2BC86CDA"/>
    <w:rsid w:val="2BCC520C"/>
    <w:rsid w:val="2BD61589"/>
    <w:rsid w:val="2BDE756F"/>
    <w:rsid w:val="2BE9254A"/>
    <w:rsid w:val="2C347800"/>
    <w:rsid w:val="2C533F58"/>
    <w:rsid w:val="2C596A71"/>
    <w:rsid w:val="2C683709"/>
    <w:rsid w:val="2C7D0BC4"/>
    <w:rsid w:val="2C93291F"/>
    <w:rsid w:val="2CC72322"/>
    <w:rsid w:val="2CCB7A9B"/>
    <w:rsid w:val="2CE63789"/>
    <w:rsid w:val="2CF84CFB"/>
    <w:rsid w:val="2D110AD0"/>
    <w:rsid w:val="2D241B62"/>
    <w:rsid w:val="2D256C21"/>
    <w:rsid w:val="2D2B536E"/>
    <w:rsid w:val="2D6A5739"/>
    <w:rsid w:val="2D8D7A26"/>
    <w:rsid w:val="2D947006"/>
    <w:rsid w:val="2DA050CC"/>
    <w:rsid w:val="2DE4019A"/>
    <w:rsid w:val="2DEF1CBA"/>
    <w:rsid w:val="2E7A2898"/>
    <w:rsid w:val="2EA96AE1"/>
    <w:rsid w:val="2EBB6323"/>
    <w:rsid w:val="2EBF3B04"/>
    <w:rsid w:val="2EE67B01"/>
    <w:rsid w:val="2F4738E0"/>
    <w:rsid w:val="2F6B5AEF"/>
    <w:rsid w:val="2FAE2EB9"/>
    <w:rsid w:val="2FC25EC3"/>
    <w:rsid w:val="2FC260AC"/>
    <w:rsid w:val="2FE760DC"/>
    <w:rsid w:val="2FF85306"/>
    <w:rsid w:val="3021256E"/>
    <w:rsid w:val="3025097F"/>
    <w:rsid w:val="304C1BD2"/>
    <w:rsid w:val="307E40EC"/>
    <w:rsid w:val="30A510F5"/>
    <w:rsid w:val="30AC5D12"/>
    <w:rsid w:val="30AE03DF"/>
    <w:rsid w:val="30DD2A72"/>
    <w:rsid w:val="311928AD"/>
    <w:rsid w:val="312554D0"/>
    <w:rsid w:val="31511D89"/>
    <w:rsid w:val="31632D34"/>
    <w:rsid w:val="31674BFB"/>
    <w:rsid w:val="317258B0"/>
    <w:rsid w:val="31837ABD"/>
    <w:rsid w:val="31AF40DA"/>
    <w:rsid w:val="31BE5521"/>
    <w:rsid w:val="32052280"/>
    <w:rsid w:val="3213088E"/>
    <w:rsid w:val="322E4A4C"/>
    <w:rsid w:val="32461FC0"/>
    <w:rsid w:val="329A1673"/>
    <w:rsid w:val="32A115F8"/>
    <w:rsid w:val="32B83014"/>
    <w:rsid w:val="32BB49A3"/>
    <w:rsid w:val="32BF2D77"/>
    <w:rsid w:val="32E047AF"/>
    <w:rsid w:val="33407408"/>
    <w:rsid w:val="3364747B"/>
    <w:rsid w:val="336F02F9"/>
    <w:rsid w:val="337833D1"/>
    <w:rsid w:val="33AA1331"/>
    <w:rsid w:val="343E4152"/>
    <w:rsid w:val="34594B05"/>
    <w:rsid w:val="345D076F"/>
    <w:rsid w:val="34691BF9"/>
    <w:rsid w:val="349F38AE"/>
    <w:rsid w:val="34D32B0A"/>
    <w:rsid w:val="354544CC"/>
    <w:rsid w:val="35493803"/>
    <w:rsid w:val="354C6F83"/>
    <w:rsid w:val="355839A6"/>
    <w:rsid w:val="356C772C"/>
    <w:rsid w:val="35A12E9F"/>
    <w:rsid w:val="35B83F72"/>
    <w:rsid w:val="35E42FF9"/>
    <w:rsid w:val="35E82F27"/>
    <w:rsid w:val="36273AB2"/>
    <w:rsid w:val="36727FFA"/>
    <w:rsid w:val="368803E9"/>
    <w:rsid w:val="36AC5A28"/>
    <w:rsid w:val="36FF6D62"/>
    <w:rsid w:val="37051DAC"/>
    <w:rsid w:val="370F277E"/>
    <w:rsid w:val="37105A48"/>
    <w:rsid w:val="372926A1"/>
    <w:rsid w:val="3733221A"/>
    <w:rsid w:val="37395C82"/>
    <w:rsid w:val="3744384B"/>
    <w:rsid w:val="374F3F98"/>
    <w:rsid w:val="37920A5A"/>
    <w:rsid w:val="379A743E"/>
    <w:rsid w:val="37C93933"/>
    <w:rsid w:val="37D35D76"/>
    <w:rsid w:val="37D522FF"/>
    <w:rsid w:val="37EF2147"/>
    <w:rsid w:val="3810734C"/>
    <w:rsid w:val="384535FB"/>
    <w:rsid w:val="385E6B8E"/>
    <w:rsid w:val="39007C46"/>
    <w:rsid w:val="390625E1"/>
    <w:rsid w:val="391A781D"/>
    <w:rsid w:val="39225152"/>
    <w:rsid w:val="393679E7"/>
    <w:rsid w:val="39406294"/>
    <w:rsid w:val="39A35E40"/>
    <w:rsid w:val="39A4261F"/>
    <w:rsid w:val="39A44A75"/>
    <w:rsid w:val="39A9339F"/>
    <w:rsid w:val="39AF77C4"/>
    <w:rsid w:val="39F92254"/>
    <w:rsid w:val="3A046503"/>
    <w:rsid w:val="3A093676"/>
    <w:rsid w:val="3A0E643C"/>
    <w:rsid w:val="3A6964C5"/>
    <w:rsid w:val="3A8723CC"/>
    <w:rsid w:val="3A981A22"/>
    <w:rsid w:val="3ADC51BF"/>
    <w:rsid w:val="3AE01E0C"/>
    <w:rsid w:val="3B191766"/>
    <w:rsid w:val="3B2F5FE5"/>
    <w:rsid w:val="3B351B50"/>
    <w:rsid w:val="3B651FE2"/>
    <w:rsid w:val="3B730AFB"/>
    <w:rsid w:val="3B7B207B"/>
    <w:rsid w:val="3B895CD0"/>
    <w:rsid w:val="3BA00E37"/>
    <w:rsid w:val="3BCC1128"/>
    <w:rsid w:val="3C696A3D"/>
    <w:rsid w:val="3C885F88"/>
    <w:rsid w:val="3CCB2319"/>
    <w:rsid w:val="3D07100F"/>
    <w:rsid w:val="3D1B504E"/>
    <w:rsid w:val="3D263E2A"/>
    <w:rsid w:val="3D3B444C"/>
    <w:rsid w:val="3D6C4847"/>
    <w:rsid w:val="3D8B7D53"/>
    <w:rsid w:val="3DB35286"/>
    <w:rsid w:val="3DF0017E"/>
    <w:rsid w:val="3E265AEC"/>
    <w:rsid w:val="3E350391"/>
    <w:rsid w:val="3E676E11"/>
    <w:rsid w:val="3E8E4B5E"/>
    <w:rsid w:val="3E925820"/>
    <w:rsid w:val="3EA01691"/>
    <w:rsid w:val="3EA55D9E"/>
    <w:rsid w:val="3EAA3576"/>
    <w:rsid w:val="3EAE35B1"/>
    <w:rsid w:val="3EF43DA9"/>
    <w:rsid w:val="3F295E28"/>
    <w:rsid w:val="3F5F1022"/>
    <w:rsid w:val="3FC73D34"/>
    <w:rsid w:val="3FEC5A63"/>
    <w:rsid w:val="40043AA9"/>
    <w:rsid w:val="401C06B9"/>
    <w:rsid w:val="401F30A7"/>
    <w:rsid w:val="40297A82"/>
    <w:rsid w:val="40713094"/>
    <w:rsid w:val="408A29D0"/>
    <w:rsid w:val="40912777"/>
    <w:rsid w:val="41103C4F"/>
    <w:rsid w:val="4130498B"/>
    <w:rsid w:val="4144120B"/>
    <w:rsid w:val="414C7ECC"/>
    <w:rsid w:val="418A27A2"/>
    <w:rsid w:val="41A17FE6"/>
    <w:rsid w:val="41A70909"/>
    <w:rsid w:val="41A95281"/>
    <w:rsid w:val="41C41A42"/>
    <w:rsid w:val="42775E19"/>
    <w:rsid w:val="42805A8D"/>
    <w:rsid w:val="42805DAC"/>
    <w:rsid w:val="428D34CD"/>
    <w:rsid w:val="429513FF"/>
    <w:rsid w:val="42976F25"/>
    <w:rsid w:val="42CB199A"/>
    <w:rsid w:val="42F11BFD"/>
    <w:rsid w:val="42FF3E34"/>
    <w:rsid w:val="431722C4"/>
    <w:rsid w:val="432A1E95"/>
    <w:rsid w:val="432E404D"/>
    <w:rsid w:val="433C7ACC"/>
    <w:rsid w:val="43461090"/>
    <w:rsid w:val="43700708"/>
    <w:rsid w:val="438D34E4"/>
    <w:rsid w:val="43D81357"/>
    <w:rsid w:val="44187FD3"/>
    <w:rsid w:val="443609BF"/>
    <w:rsid w:val="446612A5"/>
    <w:rsid w:val="44983C76"/>
    <w:rsid w:val="44BA339E"/>
    <w:rsid w:val="44C139EB"/>
    <w:rsid w:val="44CD7E13"/>
    <w:rsid w:val="44DA711D"/>
    <w:rsid w:val="44F35090"/>
    <w:rsid w:val="45067F8C"/>
    <w:rsid w:val="451F222F"/>
    <w:rsid w:val="45351166"/>
    <w:rsid w:val="45406E26"/>
    <w:rsid w:val="454152AA"/>
    <w:rsid w:val="457A49AD"/>
    <w:rsid w:val="45857508"/>
    <w:rsid w:val="458E40A3"/>
    <w:rsid w:val="463351B6"/>
    <w:rsid w:val="464D0671"/>
    <w:rsid w:val="46536E99"/>
    <w:rsid w:val="469039C8"/>
    <w:rsid w:val="46D5626E"/>
    <w:rsid w:val="472D62B1"/>
    <w:rsid w:val="47412EF8"/>
    <w:rsid w:val="47737835"/>
    <w:rsid w:val="477B5565"/>
    <w:rsid w:val="47941C85"/>
    <w:rsid w:val="47BB36B5"/>
    <w:rsid w:val="47BD5BFF"/>
    <w:rsid w:val="48593CB8"/>
    <w:rsid w:val="486C139F"/>
    <w:rsid w:val="48785BFB"/>
    <w:rsid w:val="48943F06"/>
    <w:rsid w:val="48A26623"/>
    <w:rsid w:val="48FE648F"/>
    <w:rsid w:val="49080199"/>
    <w:rsid w:val="49084B7C"/>
    <w:rsid w:val="49AA1621"/>
    <w:rsid w:val="49B212A9"/>
    <w:rsid w:val="49BC3715"/>
    <w:rsid w:val="49C600F0"/>
    <w:rsid w:val="49F25388"/>
    <w:rsid w:val="4A000C7A"/>
    <w:rsid w:val="4A070A39"/>
    <w:rsid w:val="4A3A719C"/>
    <w:rsid w:val="4A7031AD"/>
    <w:rsid w:val="4AB56947"/>
    <w:rsid w:val="4AC07235"/>
    <w:rsid w:val="4AC97E97"/>
    <w:rsid w:val="4B157580"/>
    <w:rsid w:val="4B4C343E"/>
    <w:rsid w:val="4B5F3893"/>
    <w:rsid w:val="4B871B00"/>
    <w:rsid w:val="4BC9785A"/>
    <w:rsid w:val="4BCF5498"/>
    <w:rsid w:val="4BEA7B04"/>
    <w:rsid w:val="4C080518"/>
    <w:rsid w:val="4C163C45"/>
    <w:rsid w:val="4C312198"/>
    <w:rsid w:val="4C8A387B"/>
    <w:rsid w:val="4CBE77A4"/>
    <w:rsid w:val="4CC44379"/>
    <w:rsid w:val="4CD60F91"/>
    <w:rsid w:val="4CDF7E46"/>
    <w:rsid w:val="4CF6702F"/>
    <w:rsid w:val="4D057181"/>
    <w:rsid w:val="4D141600"/>
    <w:rsid w:val="4D2C5FA1"/>
    <w:rsid w:val="4D9C11A0"/>
    <w:rsid w:val="4DEA43C3"/>
    <w:rsid w:val="4DF02791"/>
    <w:rsid w:val="4E7E2837"/>
    <w:rsid w:val="4E9E5ADF"/>
    <w:rsid w:val="4EBE058A"/>
    <w:rsid w:val="4EFD267A"/>
    <w:rsid w:val="4EFE4A1B"/>
    <w:rsid w:val="4F166C4D"/>
    <w:rsid w:val="4F22442C"/>
    <w:rsid w:val="4F6A46B1"/>
    <w:rsid w:val="4F6B59C1"/>
    <w:rsid w:val="4F8151E4"/>
    <w:rsid w:val="4F8A34D2"/>
    <w:rsid w:val="4FAF4E21"/>
    <w:rsid w:val="4FB126A6"/>
    <w:rsid w:val="4FB86F39"/>
    <w:rsid w:val="4FBC62B7"/>
    <w:rsid w:val="4FF80DE4"/>
    <w:rsid w:val="4FFD541D"/>
    <w:rsid w:val="502C0884"/>
    <w:rsid w:val="503404A9"/>
    <w:rsid w:val="50490C6B"/>
    <w:rsid w:val="50546F35"/>
    <w:rsid w:val="50663967"/>
    <w:rsid w:val="50724124"/>
    <w:rsid w:val="50997DCA"/>
    <w:rsid w:val="50AB003F"/>
    <w:rsid w:val="50B213CE"/>
    <w:rsid w:val="50C35531"/>
    <w:rsid w:val="50D41344"/>
    <w:rsid w:val="511E0229"/>
    <w:rsid w:val="51312C3A"/>
    <w:rsid w:val="517D7C2E"/>
    <w:rsid w:val="51B014ED"/>
    <w:rsid w:val="51B65CE0"/>
    <w:rsid w:val="51B761EE"/>
    <w:rsid w:val="51C149B1"/>
    <w:rsid w:val="51DE77E3"/>
    <w:rsid w:val="51E31798"/>
    <w:rsid w:val="51F6353C"/>
    <w:rsid w:val="5240371E"/>
    <w:rsid w:val="5261584E"/>
    <w:rsid w:val="52946FDD"/>
    <w:rsid w:val="52A645C6"/>
    <w:rsid w:val="52D25D57"/>
    <w:rsid w:val="52E67D16"/>
    <w:rsid w:val="52E91CFF"/>
    <w:rsid w:val="52FA41FA"/>
    <w:rsid w:val="530C146C"/>
    <w:rsid w:val="53394028"/>
    <w:rsid w:val="53536E98"/>
    <w:rsid w:val="5369392F"/>
    <w:rsid w:val="53C61698"/>
    <w:rsid w:val="5435659E"/>
    <w:rsid w:val="54523473"/>
    <w:rsid w:val="54557461"/>
    <w:rsid w:val="547C2BB2"/>
    <w:rsid w:val="54BA4CF5"/>
    <w:rsid w:val="54C00A14"/>
    <w:rsid w:val="54C067AF"/>
    <w:rsid w:val="54CA0FB5"/>
    <w:rsid w:val="54D23730"/>
    <w:rsid w:val="55230AEC"/>
    <w:rsid w:val="554A6079"/>
    <w:rsid w:val="5560764A"/>
    <w:rsid w:val="5579695E"/>
    <w:rsid w:val="557F56E2"/>
    <w:rsid w:val="55FD20AC"/>
    <w:rsid w:val="564156CE"/>
    <w:rsid w:val="56485183"/>
    <w:rsid w:val="5654209E"/>
    <w:rsid w:val="56A32C92"/>
    <w:rsid w:val="56C02A96"/>
    <w:rsid w:val="56C4496D"/>
    <w:rsid w:val="5701482F"/>
    <w:rsid w:val="57067E50"/>
    <w:rsid w:val="57087F99"/>
    <w:rsid w:val="575A1A3C"/>
    <w:rsid w:val="575C5ED5"/>
    <w:rsid w:val="576D32ED"/>
    <w:rsid w:val="578D66F1"/>
    <w:rsid w:val="57C84CF5"/>
    <w:rsid w:val="57FA4F1D"/>
    <w:rsid w:val="580008A7"/>
    <w:rsid w:val="58242DA9"/>
    <w:rsid w:val="583118B4"/>
    <w:rsid w:val="584231CC"/>
    <w:rsid w:val="58AF59D4"/>
    <w:rsid w:val="58BA6735"/>
    <w:rsid w:val="58C42A5F"/>
    <w:rsid w:val="58F80ADB"/>
    <w:rsid w:val="59013753"/>
    <w:rsid w:val="59435961"/>
    <w:rsid w:val="59440021"/>
    <w:rsid w:val="59853B23"/>
    <w:rsid w:val="59B5429D"/>
    <w:rsid w:val="59C4493C"/>
    <w:rsid w:val="59C6031D"/>
    <w:rsid w:val="59E52814"/>
    <w:rsid w:val="59E7154E"/>
    <w:rsid w:val="5A1629CD"/>
    <w:rsid w:val="5A686E53"/>
    <w:rsid w:val="5A6B6F88"/>
    <w:rsid w:val="5A6D6E55"/>
    <w:rsid w:val="5A81253D"/>
    <w:rsid w:val="5A9102D8"/>
    <w:rsid w:val="5AE66ECB"/>
    <w:rsid w:val="5AFE506C"/>
    <w:rsid w:val="5B032F32"/>
    <w:rsid w:val="5B294982"/>
    <w:rsid w:val="5B5A2D8E"/>
    <w:rsid w:val="5BA32D87"/>
    <w:rsid w:val="5BBE71FD"/>
    <w:rsid w:val="5BD3732F"/>
    <w:rsid w:val="5BD946E4"/>
    <w:rsid w:val="5C5158D9"/>
    <w:rsid w:val="5C7557DB"/>
    <w:rsid w:val="5C902F0B"/>
    <w:rsid w:val="5CA758E9"/>
    <w:rsid w:val="5CE00F34"/>
    <w:rsid w:val="5CE63DA4"/>
    <w:rsid w:val="5D0B433F"/>
    <w:rsid w:val="5D1242CB"/>
    <w:rsid w:val="5D131446"/>
    <w:rsid w:val="5D290C69"/>
    <w:rsid w:val="5DB12AA3"/>
    <w:rsid w:val="5DD00333"/>
    <w:rsid w:val="5DDD242B"/>
    <w:rsid w:val="5DE057B4"/>
    <w:rsid w:val="5E19016A"/>
    <w:rsid w:val="5E372C58"/>
    <w:rsid w:val="5E7D74BF"/>
    <w:rsid w:val="5E8F0BA6"/>
    <w:rsid w:val="5EAB78EE"/>
    <w:rsid w:val="5EBF2D7F"/>
    <w:rsid w:val="5F124FAC"/>
    <w:rsid w:val="5F27799E"/>
    <w:rsid w:val="5F64400A"/>
    <w:rsid w:val="5F6F3EF1"/>
    <w:rsid w:val="5F732455"/>
    <w:rsid w:val="5F927F59"/>
    <w:rsid w:val="5FD17AC2"/>
    <w:rsid w:val="6048068E"/>
    <w:rsid w:val="60B42F40"/>
    <w:rsid w:val="610B7637"/>
    <w:rsid w:val="610E43FE"/>
    <w:rsid w:val="6114672B"/>
    <w:rsid w:val="617846D1"/>
    <w:rsid w:val="618A378F"/>
    <w:rsid w:val="61AB6CA5"/>
    <w:rsid w:val="621E4F5E"/>
    <w:rsid w:val="62487849"/>
    <w:rsid w:val="62521970"/>
    <w:rsid w:val="62832BCA"/>
    <w:rsid w:val="628A48F7"/>
    <w:rsid w:val="628F3122"/>
    <w:rsid w:val="6299063F"/>
    <w:rsid w:val="62AA3F71"/>
    <w:rsid w:val="62C366A0"/>
    <w:rsid w:val="63484AD0"/>
    <w:rsid w:val="63671A75"/>
    <w:rsid w:val="6367429A"/>
    <w:rsid w:val="637D3ABD"/>
    <w:rsid w:val="639F22A5"/>
    <w:rsid w:val="63A96660"/>
    <w:rsid w:val="63CA6FD5"/>
    <w:rsid w:val="63ED4609"/>
    <w:rsid w:val="641D33BF"/>
    <w:rsid w:val="64526CF8"/>
    <w:rsid w:val="646D2593"/>
    <w:rsid w:val="64AD3F2E"/>
    <w:rsid w:val="64AD666F"/>
    <w:rsid w:val="64F73720"/>
    <w:rsid w:val="650D394A"/>
    <w:rsid w:val="650F2047"/>
    <w:rsid w:val="6581333D"/>
    <w:rsid w:val="6586279A"/>
    <w:rsid w:val="65B723EC"/>
    <w:rsid w:val="66066A96"/>
    <w:rsid w:val="660A24DF"/>
    <w:rsid w:val="660E3AE9"/>
    <w:rsid w:val="664B6A35"/>
    <w:rsid w:val="664D7777"/>
    <w:rsid w:val="666E307B"/>
    <w:rsid w:val="667258CB"/>
    <w:rsid w:val="667E3DD4"/>
    <w:rsid w:val="669C4F34"/>
    <w:rsid w:val="66CF4630"/>
    <w:rsid w:val="66E540BC"/>
    <w:rsid w:val="66F05FF5"/>
    <w:rsid w:val="67047369"/>
    <w:rsid w:val="671A6228"/>
    <w:rsid w:val="673D3C8F"/>
    <w:rsid w:val="6753313D"/>
    <w:rsid w:val="67E11A70"/>
    <w:rsid w:val="6821403B"/>
    <w:rsid w:val="68336E40"/>
    <w:rsid w:val="684F6E36"/>
    <w:rsid w:val="686D7A43"/>
    <w:rsid w:val="6877116C"/>
    <w:rsid w:val="68906041"/>
    <w:rsid w:val="68A37B22"/>
    <w:rsid w:val="68B970DC"/>
    <w:rsid w:val="68C335B2"/>
    <w:rsid w:val="68D94025"/>
    <w:rsid w:val="69067BB3"/>
    <w:rsid w:val="69131C3D"/>
    <w:rsid w:val="691722BE"/>
    <w:rsid w:val="695A5977"/>
    <w:rsid w:val="695C089D"/>
    <w:rsid w:val="69B72FCB"/>
    <w:rsid w:val="69C14F91"/>
    <w:rsid w:val="69EF3C7C"/>
    <w:rsid w:val="6A161ADF"/>
    <w:rsid w:val="6A3A3CCE"/>
    <w:rsid w:val="6A3B11D0"/>
    <w:rsid w:val="6AA858C3"/>
    <w:rsid w:val="6AAA07D3"/>
    <w:rsid w:val="6AD27A6A"/>
    <w:rsid w:val="6AFA6EFB"/>
    <w:rsid w:val="6B4750DC"/>
    <w:rsid w:val="6B9A256C"/>
    <w:rsid w:val="6B9C3915"/>
    <w:rsid w:val="6BBE4039"/>
    <w:rsid w:val="6BE30CF4"/>
    <w:rsid w:val="6BE91CF0"/>
    <w:rsid w:val="6C0270AF"/>
    <w:rsid w:val="6C0A0287"/>
    <w:rsid w:val="6C336D1D"/>
    <w:rsid w:val="6C6B0957"/>
    <w:rsid w:val="6C837B3D"/>
    <w:rsid w:val="6C90660F"/>
    <w:rsid w:val="6C9A45DE"/>
    <w:rsid w:val="6CA25F86"/>
    <w:rsid w:val="6CAF65B9"/>
    <w:rsid w:val="6CD0178A"/>
    <w:rsid w:val="6CE452D6"/>
    <w:rsid w:val="6D280D8D"/>
    <w:rsid w:val="6D59382E"/>
    <w:rsid w:val="6D643474"/>
    <w:rsid w:val="6D7F3426"/>
    <w:rsid w:val="6D8F5559"/>
    <w:rsid w:val="6D9F4C60"/>
    <w:rsid w:val="6DBE0A49"/>
    <w:rsid w:val="6DD62748"/>
    <w:rsid w:val="6DDC3A43"/>
    <w:rsid w:val="6DE15BF1"/>
    <w:rsid w:val="6DEF55B7"/>
    <w:rsid w:val="6E0066B1"/>
    <w:rsid w:val="6E0679B7"/>
    <w:rsid w:val="6E1F5372"/>
    <w:rsid w:val="6E9032FE"/>
    <w:rsid w:val="6EB20ABF"/>
    <w:rsid w:val="6EBD1212"/>
    <w:rsid w:val="6EDE7B06"/>
    <w:rsid w:val="6F0D3F47"/>
    <w:rsid w:val="6F302F3D"/>
    <w:rsid w:val="6F4D698D"/>
    <w:rsid w:val="6F55769C"/>
    <w:rsid w:val="6F7402B7"/>
    <w:rsid w:val="6F9745BE"/>
    <w:rsid w:val="6FC2508C"/>
    <w:rsid w:val="6FD94A0F"/>
    <w:rsid w:val="6FF20F64"/>
    <w:rsid w:val="700818BA"/>
    <w:rsid w:val="70194B6E"/>
    <w:rsid w:val="701B2694"/>
    <w:rsid w:val="70244355"/>
    <w:rsid w:val="702A26D0"/>
    <w:rsid w:val="7060454A"/>
    <w:rsid w:val="70D10D69"/>
    <w:rsid w:val="70D72A5F"/>
    <w:rsid w:val="70DC0CFB"/>
    <w:rsid w:val="70DC7BF7"/>
    <w:rsid w:val="70EE4CD1"/>
    <w:rsid w:val="70F51137"/>
    <w:rsid w:val="70FC02D9"/>
    <w:rsid w:val="71345258"/>
    <w:rsid w:val="71526589"/>
    <w:rsid w:val="71623664"/>
    <w:rsid w:val="717450BA"/>
    <w:rsid w:val="717C1858"/>
    <w:rsid w:val="717D604E"/>
    <w:rsid w:val="719C7804"/>
    <w:rsid w:val="719E52D6"/>
    <w:rsid w:val="719F6342"/>
    <w:rsid w:val="71B92164"/>
    <w:rsid w:val="71CF5B8D"/>
    <w:rsid w:val="71FB7E72"/>
    <w:rsid w:val="72231CD3"/>
    <w:rsid w:val="728A29EA"/>
    <w:rsid w:val="728A39BF"/>
    <w:rsid w:val="729D4875"/>
    <w:rsid w:val="72C26965"/>
    <w:rsid w:val="72FF629D"/>
    <w:rsid w:val="733221CE"/>
    <w:rsid w:val="73426DAC"/>
    <w:rsid w:val="734B304C"/>
    <w:rsid w:val="73597F28"/>
    <w:rsid w:val="73661E78"/>
    <w:rsid w:val="73832C01"/>
    <w:rsid w:val="739439F8"/>
    <w:rsid w:val="73AE7F30"/>
    <w:rsid w:val="73BA462E"/>
    <w:rsid w:val="73D00C97"/>
    <w:rsid w:val="73E060CE"/>
    <w:rsid w:val="73ED4347"/>
    <w:rsid w:val="74054DCB"/>
    <w:rsid w:val="74220495"/>
    <w:rsid w:val="7434215E"/>
    <w:rsid w:val="74360ABB"/>
    <w:rsid w:val="749A6F0E"/>
    <w:rsid w:val="74C140FF"/>
    <w:rsid w:val="74C94DB4"/>
    <w:rsid w:val="74D46195"/>
    <w:rsid w:val="750641BE"/>
    <w:rsid w:val="75271364"/>
    <w:rsid w:val="75663D13"/>
    <w:rsid w:val="758D59CC"/>
    <w:rsid w:val="759F1606"/>
    <w:rsid w:val="75B14E6F"/>
    <w:rsid w:val="75BD0B0E"/>
    <w:rsid w:val="76277FE4"/>
    <w:rsid w:val="76450D7C"/>
    <w:rsid w:val="765927F0"/>
    <w:rsid w:val="766F0237"/>
    <w:rsid w:val="76BA2996"/>
    <w:rsid w:val="770803CA"/>
    <w:rsid w:val="771868B9"/>
    <w:rsid w:val="776C7C79"/>
    <w:rsid w:val="77961B8C"/>
    <w:rsid w:val="77F62ECE"/>
    <w:rsid w:val="780B3776"/>
    <w:rsid w:val="7831302E"/>
    <w:rsid w:val="783469E8"/>
    <w:rsid w:val="78374187"/>
    <w:rsid w:val="786F7A21"/>
    <w:rsid w:val="78D855C6"/>
    <w:rsid w:val="78F93DB3"/>
    <w:rsid w:val="7997566F"/>
    <w:rsid w:val="79B416DB"/>
    <w:rsid w:val="79B853F7"/>
    <w:rsid w:val="79CE69C9"/>
    <w:rsid w:val="79D56658"/>
    <w:rsid w:val="79E00CFB"/>
    <w:rsid w:val="7A252A8D"/>
    <w:rsid w:val="7A5866FB"/>
    <w:rsid w:val="7A6D1D3E"/>
    <w:rsid w:val="7ABA177F"/>
    <w:rsid w:val="7B2E771F"/>
    <w:rsid w:val="7B4E69CC"/>
    <w:rsid w:val="7B777E4F"/>
    <w:rsid w:val="7BB7699A"/>
    <w:rsid w:val="7BC179D3"/>
    <w:rsid w:val="7BE252E1"/>
    <w:rsid w:val="7BEA40C8"/>
    <w:rsid w:val="7C562FD2"/>
    <w:rsid w:val="7C641773"/>
    <w:rsid w:val="7CBE50AF"/>
    <w:rsid w:val="7CE56AB5"/>
    <w:rsid w:val="7D017B31"/>
    <w:rsid w:val="7D074E98"/>
    <w:rsid w:val="7D4A49D8"/>
    <w:rsid w:val="7D932EEE"/>
    <w:rsid w:val="7DBF4FA6"/>
    <w:rsid w:val="7DDB1A21"/>
    <w:rsid w:val="7DED1EB2"/>
    <w:rsid w:val="7DFD5BF8"/>
    <w:rsid w:val="7E066731"/>
    <w:rsid w:val="7E3643BE"/>
    <w:rsid w:val="7E3D239C"/>
    <w:rsid w:val="7E543940"/>
    <w:rsid w:val="7E764C7A"/>
    <w:rsid w:val="7E833235"/>
    <w:rsid w:val="7EC65727"/>
    <w:rsid w:val="7F0E1E95"/>
    <w:rsid w:val="7F140CEE"/>
    <w:rsid w:val="7F5867C0"/>
    <w:rsid w:val="7F7F596E"/>
    <w:rsid w:val="7FAC4C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iPriority="99"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3">
    <w:name w:val="heading 2"/>
    <w:basedOn w:val="1"/>
    <w:next w:val="1"/>
    <w:autoRedefine/>
    <w:qFormat/>
    <w:uiPriority w:val="0"/>
    <w:pPr>
      <w:keepNext/>
      <w:keepLines/>
      <w:spacing w:before="260" w:after="260" w:line="413" w:lineRule="auto"/>
      <w:ind w:firstLine="628"/>
      <w:jc w:val="center"/>
      <w:outlineLvl w:val="1"/>
    </w:pPr>
    <w:rPr>
      <w:rFonts w:ascii="Arial" w:hAnsi="Arial" w:eastAsia="黑体"/>
      <w:b/>
      <w:bCs/>
      <w:sz w:val="32"/>
      <w:szCs w:val="32"/>
    </w:rPr>
  </w:style>
  <w:style w:type="paragraph" w:styleId="4">
    <w:name w:val="heading 3"/>
    <w:basedOn w:val="1"/>
    <w:next w:val="1"/>
    <w:autoRedefine/>
    <w:qFormat/>
    <w:uiPriority w:val="9"/>
    <w:pPr>
      <w:keepNext/>
      <w:keepLines/>
      <w:spacing w:before="20" w:after="20" w:line="413" w:lineRule="auto"/>
      <w:outlineLvl w:val="2"/>
    </w:pPr>
    <w:rPr>
      <w:rFonts w:ascii="Times New Roman" w:hAnsi="Times New Roman" w:eastAsia="宋体" w:cs="Times New Roman"/>
      <w:b/>
      <w:sz w:val="24"/>
    </w:rPr>
  </w:style>
  <w:style w:type="paragraph" w:styleId="5">
    <w:name w:val="heading 4"/>
    <w:basedOn w:val="1"/>
    <w:next w:val="1"/>
    <w:autoRedefine/>
    <w:qFormat/>
    <w:uiPriority w:val="9"/>
    <w:pPr>
      <w:widowControl/>
      <w:spacing w:before="100" w:beforeAutospacing="1" w:after="100" w:afterAutospacing="1"/>
      <w:jc w:val="left"/>
      <w:outlineLvl w:val="3"/>
    </w:pPr>
    <w:rPr>
      <w:rFonts w:ascii="宋体" w:hAnsi="宋体" w:eastAsia="宋体" w:cs="宋体"/>
      <w:b/>
      <w:bCs/>
      <w:kern w:val="0"/>
      <w:sz w:val="24"/>
      <w:szCs w:val="24"/>
    </w:rPr>
  </w:style>
  <w:style w:type="character" w:default="1" w:styleId="25">
    <w:name w:val="Default Paragraph Font"/>
    <w:autoRedefine/>
    <w:semiHidden/>
    <w:qFormat/>
    <w:uiPriority w:val="0"/>
  </w:style>
  <w:style w:type="table" w:default="1" w:styleId="23">
    <w:name w:val="Normal Table"/>
    <w:autoRedefine/>
    <w:semiHidden/>
    <w:qFormat/>
    <w:uiPriority w:val="0"/>
    <w:tblPr>
      <w:tblCellMar>
        <w:top w:w="0" w:type="dxa"/>
        <w:left w:w="108" w:type="dxa"/>
        <w:bottom w:w="0" w:type="dxa"/>
        <w:right w:w="108" w:type="dxa"/>
      </w:tblCellMar>
    </w:tblPr>
  </w:style>
  <w:style w:type="paragraph" w:styleId="6">
    <w:name w:val="Normal Indent"/>
    <w:basedOn w:val="1"/>
    <w:autoRedefine/>
    <w:qFormat/>
    <w:uiPriority w:val="0"/>
    <w:pPr>
      <w:ind w:firstLine="420"/>
    </w:pPr>
    <w:rPr>
      <w:rFonts w:ascii="Times New Roman" w:hAnsi="Times New Roman" w:eastAsia="宋体" w:cs="Times New Roman"/>
    </w:rPr>
  </w:style>
  <w:style w:type="paragraph" w:styleId="7">
    <w:name w:val="caption"/>
    <w:basedOn w:val="1"/>
    <w:next w:val="1"/>
    <w:qFormat/>
    <w:uiPriority w:val="0"/>
    <w:rPr>
      <w:rFonts w:ascii="Arial" w:hAnsi="Arial" w:eastAsia="黑体"/>
      <w:sz w:val="20"/>
    </w:rPr>
  </w:style>
  <w:style w:type="paragraph" w:styleId="8">
    <w:name w:val="Body Text"/>
    <w:basedOn w:val="1"/>
    <w:autoRedefine/>
    <w:qFormat/>
    <w:uiPriority w:val="0"/>
    <w:pPr>
      <w:spacing w:after="120"/>
    </w:pPr>
    <w:rPr>
      <w:kern w:val="0"/>
      <w:sz w:val="20"/>
    </w:rPr>
  </w:style>
  <w:style w:type="paragraph" w:styleId="9">
    <w:name w:val="Body Text Indent"/>
    <w:basedOn w:val="1"/>
    <w:next w:val="10"/>
    <w:autoRedefine/>
    <w:qFormat/>
    <w:uiPriority w:val="0"/>
    <w:pPr>
      <w:spacing w:after="120"/>
      <w:ind w:left="420" w:leftChars="200"/>
    </w:pPr>
    <w:rPr>
      <w:sz w:val="24"/>
    </w:rPr>
  </w:style>
  <w:style w:type="paragraph" w:styleId="10">
    <w:name w:val="Body Text First Indent 2"/>
    <w:basedOn w:val="9"/>
    <w:autoRedefine/>
    <w:qFormat/>
    <w:uiPriority w:val="0"/>
    <w:pPr>
      <w:tabs>
        <w:tab w:val="left" w:pos="0"/>
        <w:tab w:val="left" w:pos="993"/>
        <w:tab w:val="left" w:pos="1134"/>
      </w:tabs>
      <w:ind w:firstLine="420" w:firstLineChars="200"/>
    </w:pPr>
  </w:style>
  <w:style w:type="paragraph" w:styleId="11">
    <w:name w:val="Block Text"/>
    <w:basedOn w:val="1"/>
    <w:autoRedefine/>
    <w:qFormat/>
    <w:uiPriority w:val="0"/>
    <w:pPr>
      <w:spacing w:after="120"/>
      <w:ind w:left="1440" w:leftChars="700" w:right="1440" w:rightChars="700"/>
    </w:pPr>
  </w:style>
  <w:style w:type="paragraph" w:styleId="12">
    <w:name w:val="index 4"/>
    <w:basedOn w:val="1"/>
    <w:next w:val="1"/>
    <w:autoRedefine/>
    <w:unhideWhenUsed/>
    <w:qFormat/>
    <w:uiPriority w:val="99"/>
    <w:pPr>
      <w:ind w:left="600" w:leftChars="600"/>
    </w:pPr>
    <w:rPr>
      <w:rFonts w:ascii="宋体"/>
      <w:b/>
      <w:kern w:val="0"/>
      <w:position w:val="-10"/>
      <w:sz w:val="24"/>
      <w:szCs w:val="20"/>
    </w:rPr>
  </w:style>
  <w:style w:type="paragraph" w:styleId="13">
    <w:name w:val="Plain Text"/>
    <w:basedOn w:val="1"/>
    <w:autoRedefine/>
    <w:qFormat/>
    <w:uiPriority w:val="0"/>
    <w:rPr>
      <w:rFonts w:ascii="宋体" w:hAnsi="Courier New" w:eastAsia="宋体" w:cs="Times New Roman"/>
      <w:szCs w:val="22"/>
    </w:rPr>
  </w:style>
  <w:style w:type="paragraph" w:styleId="14">
    <w:name w:val="footer"/>
    <w:basedOn w:val="1"/>
    <w:autoRedefine/>
    <w:qFormat/>
    <w:uiPriority w:val="99"/>
    <w:pPr>
      <w:tabs>
        <w:tab w:val="center" w:pos="4153"/>
        <w:tab w:val="right" w:pos="8306"/>
      </w:tabs>
      <w:snapToGrid w:val="0"/>
      <w:jc w:val="left"/>
    </w:pPr>
    <w:rPr>
      <w:sz w:val="18"/>
      <w:szCs w:val="18"/>
    </w:rPr>
  </w:style>
  <w:style w:type="paragraph" w:styleId="15">
    <w:name w:val="envelope return"/>
    <w:basedOn w:val="1"/>
    <w:autoRedefine/>
    <w:qFormat/>
    <w:uiPriority w:val="0"/>
    <w:pPr>
      <w:snapToGrid w:val="0"/>
    </w:pPr>
    <w:rPr>
      <w:rFonts w:ascii="Arial" w:hAnsi="Arial"/>
    </w:rPr>
  </w:style>
  <w:style w:type="paragraph" w:styleId="16">
    <w:name w:val="header"/>
    <w:basedOn w:val="1"/>
    <w:autoRedefine/>
    <w:qFormat/>
    <w:uiPriority w:val="99"/>
    <w:pPr>
      <w:pBdr>
        <w:bottom w:val="single" w:color="auto" w:sz="6" w:space="1"/>
      </w:pBdr>
      <w:tabs>
        <w:tab w:val="center" w:pos="4153"/>
        <w:tab w:val="right" w:pos="8306"/>
      </w:tabs>
      <w:snapToGrid w:val="0"/>
      <w:jc w:val="center"/>
    </w:pPr>
    <w:rPr>
      <w:sz w:val="18"/>
      <w:szCs w:val="18"/>
    </w:rPr>
  </w:style>
  <w:style w:type="paragraph" w:styleId="17">
    <w:name w:val="toc 1"/>
    <w:basedOn w:val="1"/>
    <w:next w:val="1"/>
    <w:autoRedefine/>
    <w:qFormat/>
    <w:uiPriority w:val="0"/>
    <w:pPr>
      <w:widowControl/>
      <w:spacing w:after="100" w:line="259" w:lineRule="auto"/>
      <w:jc w:val="left"/>
    </w:pPr>
    <w:rPr>
      <w:rFonts w:ascii="等线" w:hAnsi="等线" w:eastAsia="等线" w:cs="宋体"/>
      <w:kern w:val="0"/>
      <w:sz w:val="22"/>
      <w:szCs w:val="22"/>
    </w:rPr>
  </w:style>
  <w:style w:type="paragraph" w:styleId="18">
    <w:name w:val="Body Text 2"/>
    <w:basedOn w:val="1"/>
    <w:autoRedefine/>
    <w:qFormat/>
    <w:uiPriority w:val="99"/>
    <w:pPr>
      <w:spacing w:after="120" w:line="480" w:lineRule="auto"/>
    </w:pPr>
    <w:rPr>
      <w:kern w:val="0"/>
    </w:rPr>
  </w:style>
  <w:style w:type="paragraph" w:styleId="19">
    <w:name w:val="Message Header"/>
    <w:basedOn w:val="1"/>
    <w:next w:val="1"/>
    <w:unhideWhenUsed/>
    <w:qFormat/>
    <w:uiPriority w:val="99"/>
    <w:pPr>
      <w:pBdr>
        <w:top w:val="single" w:color="auto" w:sz="6" w:space="1"/>
        <w:left w:val="single" w:color="auto" w:sz="6" w:space="1"/>
        <w:bottom w:val="single" w:color="auto" w:sz="6" w:space="1"/>
        <w:right w:val="single" w:color="auto" w:sz="6" w:space="1"/>
      </w:pBdr>
      <w:shd w:val="clear" w:color="auto" w:fill="7F7F7F"/>
      <w:spacing w:before="100" w:beforeAutospacing="1" w:after="100" w:afterAutospacing="1"/>
      <w:ind w:left="1080" w:leftChars="500" w:hanging="1080" w:hangingChars="500"/>
    </w:pPr>
    <w:rPr>
      <w:rFonts w:ascii="Arial" w:hAnsi="Arial" w:cs="Arial"/>
      <w:sz w:val="24"/>
    </w:rPr>
  </w:style>
  <w:style w:type="paragraph" w:styleId="20">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21">
    <w:name w:val="Normal (Web)"/>
    <w:basedOn w:val="1"/>
    <w:autoRedefine/>
    <w:qFormat/>
    <w:uiPriority w:val="0"/>
    <w:pPr>
      <w:widowControl/>
      <w:spacing w:before="100" w:beforeAutospacing="1" w:after="100" w:afterAutospacing="1"/>
      <w:jc w:val="left"/>
    </w:pPr>
    <w:rPr>
      <w:rFonts w:ascii="宋体" w:hAnsi="宋体" w:cs="宋体"/>
      <w:kern w:val="0"/>
      <w:sz w:val="24"/>
    </w:rPr>
  </w:style>
  <w:style w:type="paragraph" w:styleId="22">
    <w:name w:val="Body Text First Indent"/>
    <w:basedOn w:val="8"/>
    <w:autoRedefine/>
    <w:qFormat/>
    <w:uiPriority w:val="0"/>
    <w:pPr>
      <w:ind w:firstLine="420" w:firstLineChars="100"/>
    </w:pPr>
    <w:rPr>
      <w:kern w:val="2"/>
      <w:sz w:val="21"/>
    </w:rPr>
  </w:style>
  <w:style w:type="table" w:styleId="24">
    <w:name w:val="Table Grid"/>
    <w:basedOn w:val="23"/>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Strong"/>
    <w:basedOn w:val="25"/>
    <w:qFormat/>
    <w:uiPriority w:val="0"/>
    <w:rPr>
      <w:b/>
    </w:rPr>
  </w:style>
  <w:style w:type="character" w:styleId="27">
    <w:name w:val="Hyperlink"/>
    <w:basedOn w:val="25"/>
    <w:autoRedefine/>
    <w:qFormat/>
    <w:uiPriority w:val="99"/>
    <w:rPr>
      <w:color w:val="0000FF"/>
      <w:u w:val="none"/>
    </w:rPr>
  </w:style>
  <w:style w:type="paragraph" w:customStyle="1" w:styleId="28">
    <w:name w:val="Default"/>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9">
    <w:name w:val="纯文本 New New New New New New New New New"/>
    <w:basedOn w:val="30"/>
    <w:autoRedefine/>
    <w:qFormat/>
    <w:uiPriority w:val="0"/>
    <w:rPr>
      <w:rFonts w:ascii="宋体" w:hAnsi="Courier New"/>
    </w:rPr>
  </w:style>
  <w:style w:type="paragraph" w:customStyle="1" w:styleId="30">
    <w:name w:val="正文 New New New New New New New New New New New New New New New"/>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1">
    <w:name w:val="正文 New New New New New New New New New New New New New New New New New New New New New New New New New New New New New New New New New New New New"/>
    <w:autoRedefine/>
    <w:qFormat/>
    <w:uiPriority w:val="0"/>
    <w:pPr>
      <w:widowControl w:val="0"/>
      <w:jc w:val="both"/>
    </w:pPr>
    <w:rPr>
      <w:rFonts w:ascii="Calibri" w:hAnsi="Calibri" w:eastAsia="宋体" w:cs="Times New Roman"/>
      <w:kern w:val="2"/>
      <w:sz w:val="21"/>
      <w:lang w:val="en-US" w:eastAsia="zh-CN" w:bidi="ar-SA"/>
    </w:rPr>
  </w:style>
  <w:style w:type="paragraph" w:customStyle="1" w:styleId="32">
    <w:name w:val="表格文字"/>
    <w:basedOn w:val="1"/>
    <w:autoRedefine/>
    <w:qFormat/>
    <w:uiPriority w:val="0"/>
    <w:pPr>
      <w:spacing w:before="25" w:after="25"/>
      <w:jc w:val="left"/>
    </w:pPr>
    <w:rPr>
      <w:bCs/>
      <w:spacing w:val="10"/>
      <w:kern w:val="0"/>
      <w:szCs w:val="20"/>
    </w:rPr>
  </w:style>
  <w:style w:type="character" w:customStyle="1" w:styleId="33">
    <w:name w:val="font61"/>
    <w:basedOn w:val="25"/>
    <w:autoRedefine/>
    <w:qFormat/>
    <w:uiPriority w:val="0"/>
    <w:rPr>
      <w:rFonts w:hint="eastAsia" w:ascii="宋体" w:hAnsi="宋体" w:eastAsia="宋体" w:cs="宋体"/>
      <w:color w:val="000000"/>
      <w:sz w:val="22"/>
      <w:szCs w:val="22"/>
      <w:u w:val="none"/>
    </w:rPr>
  </w:style>
  <w:style w:type="character" w:customStyle="1" w:styleId="34">
    <w:name w:val="font151"/>
    <w:basedOn w:val="25"/>
    <w:autoRedefine/>
    <w:qFormat/>
    <w:uiPriority w:val="0"/>
    <w:rPr>
      <w:rFonts w:hint="eastAsia" w:ascii="宋体" w:hAnsi="宋体" w:eastAsia="宋体" w:cs="宋体"/>
      <w:color w:val="000000"/>
      <w:sz w:val="22"/>
      <w:szCs w:val="22"/>
      <w:u w:val="none"/>
    </w:rPr>
  </w:style>
  <w:style w:type="character" w:customStyle="1" w:styleId="35">
    <w:name w:val="font31"/>
    <w:basedOn w:val="25"/>
    <w:autoRedefine/>
    <w:qFormat/>
    <w:uiPriority w:val="0"/>
    <w:rPr>
      <w:rFonts w:hint="eastAsia" w:ascii="宋体" w:hAnsi="宋体" w:eastAsia="宋体" w:cs="宋体"/>
      <w:color w:val="000000"/>
      <w:sz w:val="22"/>
      <w:szCs w:val="22"/>
      <w:u w:val="none"/>
    </w:rPr>
  </w:style>
  <w:style w:type="character" w:customStyle="1" w:styleId="36">
    <w:name w:val="font141"/>
    <w:basedOn w:val="25"/>
    <w:autoRedefine/>
    <w:qFormat/>
    <w:uiPriority w:val="0"/>
    <w:rPr>
      <w:rFonts w:hint="eastAsia" w:ascii="宋体" w:hAnsi="宋体" w:eastAsia="宋体" w:cs="宋体"/>
      <w:color w:val="000000"/>
      <w:sz w:val="22"/>
      <w:szCs w:val="22"/>
      <w:u w:val="none"/>
    </w:rPr>
  </w:style>
  <w:style w:type="character" w:customStyle="1" w:styleId="37">
    <w:name w:val="font91"/>
    <w:basedOn w:val="25"/>
    <w:autoRedefine/>
    <w:qFormat/>
    <w:uiPriority w:val="0"/>
    <w:rPr>
      <w:rFonts w:ascii="Arial Unicode MS" w:hAnsi="Arial Unicode MS" w:eastAsia="Arial Unicode MS" w:cs="Arial Unicode MS"/>
      <w:color w:val="000000"/>
      <w:sz w:val="20"/>
      <w:szCs w:val="20"/>
      <w:u w:val="none"/>
    </w:rPr>
  </w:style>
  <w:style w:type="character" w:customStyle="1" w:styleId="38">
    <w:name w:val="font51"/>
    <w:basedOn w:val="25"/>
    <w:autoRedefine/>
    <w:qFormat/>
    <w:uiPriority w:val="0"/>
    <w:rPr>
      <w:rFonts w:hint="eastAsia" w:ascii="新宋体" w:hAnsi="新宋体" w:eastAsia="新宋体" w:cs="新宋体"/>
      <w:color w:val="000000"/>
      <w:sz w:val="20"/>
      <w:szCs w:val="20"/>
      <w:u w:val="none"/>
    </w:rPr>
  </w:style>
  <w:style w:type="character" w:customStyle="1" w:styleId="39">
    <w:name w:val="font21"/>
    <w:basedOn w:val="25"/>
    <w:autoRedefine/>
    <w:qFormat/>
    <w:uiPriority w:val="0"/>
    <w:rPr>
      <w:rFonts w:hint="eastAsia" w:ascii="宋体" w:hAnsi="宋体" w:eastAsia="宋体" w:cs="宋体"/>
      <w:color w:val="000000"/>
      <w:sz w:val="20"/>
      <w:szCs w:val="20"/>
      <w:u w:val="none"/>
    </w:rPr>
  </w:style>
  <w:style w:type="paragraph" w:customStyle="1" w:styleId="40">
    <w:name w:val="正文 New New New New"/>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1">
    <w:name w:val="段"/>
    <w:next w:val="1"/>
    <w:autoRedefine/>
    <w:qFormat/>
    <w:uiPriority w:val="0"/>
    <w:pPr>
      <w:ind w:firstLine="200" w:firstLineChars="200"/>
      <w:jc w:val="both"/>
    </w:pPr>
    <w:rPr>
      <w:rFonts w:ascii="宋体" w:hAnsi="Times New Roman" w:eastAsia="宋体" w:cs="Times New Roman"/>
      <w:sz w:val="21"/>
      <w:lang w:val="en-US" w:eastAsia="zh-CN" w:bidi="ar-SA"/>
    </w:rPr>
  </w:style>
  <w:style w:type="paragraph" w:customStyle="1" w:styleId="42">
    <w:name w:val="Table Paragraph"/>
    <w:basedOn w:val="1"/>
    <w:autoRedefine/>
    <w:qFormat/>
    <w:uiPriority w:val="1"/>
  </w:style>
  <w:style w:type="paragraph" w:styleId="43">
    <w:name w:val="List Paragraph"/>
    <w:basedOn w:val="1"/>
    <w:autoRedefine/>
    <w:qFormat/>
    <w:uiPriority w:val="34"/>
    <w:pPr>
      <w:ind w:firstLine="420" w:firstLineChars="200"/>
    </w:pPr>
  </w:style>
  <w:style w:type="table" w:customStyle="1" w:styleId="44">
    <w:name w:val="Table Normal"/>
    <w:autoRedefine/>
    <w:semiHidden/>
    <w:unhideWhenUsed/>
    <w:qFormat/>
    <w:uiPriority w:val="0"/>
    <w:tblPr>
      <w:tblCellMar>
        <w:top w:w="0" w:type="dxa"/>
        <w:left w:w="0" w:type="dxa"/>
        <w:bottom w:w="0" w:type="dxa"/>
        <w:right w:w="0" w:type="dxa"/>
      </w:tblCellMar>
    </w:tblPr>
  </w:style>
  <w:style w:type="paragraph" w:customStyle="1" w:styleId="45">
    <w:name w:val="Table Text"/>
    <w:basedOn w:val="1"/>
    <w:autoRedefine/>
    <w:semiHidden/>
    <w:qFormat/>
    <w:uiPriority w:val="0"/>
    <w:rPr>
      <w:rFonts w:ascii="宋体" w:hAnsi="宋体" w:eastAsia="宋体" w:cs="宋体"/>
      <w:sz w:val="23"/>
      <w:szCs w:val="23"/>
      <w:lang w:val="en-US" w:eastAsia="en-US" w:bidi="ar-SA"/>
    </w:rPr>
  </w:style>
  <w:style w:type="character" w:customStyle="1" w:styleId="46">
    <w:name w:val="font11"/>
    <w:basedOn w:val="25"/>
    <w:autoRedefine/>
    <w:qFormat/>
    <w:uiPriority w:val="0"/>
    <w:rPr>
      <w:rFonts w:ascii="Arial" w:hAnsi="Arial" w:cs="Arial"/>
      <w:color w:val="000000"/>
      <w:sz w:val="19"/>
      <w:szCs w:val="19"/>
      <w:u w:val="none"/>
    </w:rPr>
  </w:style>
  <w:style w:type="paragraph" w:customStyle="1" w:styleId="47">
    <w:name w:val="正文（缩进）"/>
    <w:basedOn w:val="1"/>
    <w:autoRedefine/>
    <w:qFormat/>
    <w:uiPriority w:val="0"/>
    <w:pPr>
      <w:spacing w:before="156" w:after="156"/>
      <w:ind w:firstLine="480" w:firstLineChars="200"/>
    </w:pPr>
  </w:style>
  <w:style w:type="paragraph" w:customStyle="1" w:styleId="48">
    <w:name w:val="正文_17"/>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9">
    <w:name w:val="Fließtext"/>
    <w:basedOn w:val="1"/>
    <w:autoRedefine/>
    <w:qFormat/>
    <w:uiPriority w:val="0"/>
    <w:pPr>
      <w:overflowPunct w:val="0"/>
      <w:autoSpaceDE w:val="0"/>
      <w:autoSpaceDN w:val="0"/>
      <w:adjustRightInd w:val="0"/>
      <w:textAlignment w:val="baseline"/>
    </w:pPr>
    <w:rPr>
      <w:kern w:val="28"/>
      <w:szCs w:val="20"/>
    </w:rPr>
  </w:style>
  <w:style w:type="paragraph" w:customStyle="1" w:styleId="50">
    <w:name w:val="列出段落"/>
    <w:basedOn w:val="1"/>
    <w:autoRedefine/>
    <w:qFormat/>
    <w:uiPriority w:val="0"/>
    <w:pPr>
      <w:ind w:firstLine="420" w:firstLineChars="200"/>
    </w:pPr>
  </w:style>
  <w:style w:type="character" w:customStyle="1" w:styleId="51">
    <w:name w:val="font81"/>
    <w:basedOn w:val="25"/>
    <w:autoRedefine/>
    <w:qFormat/>
    <w:uiPriority w:val="0"/>
    <w:rPr>
      <w:rFonts w:hint="eastAsia" w:ascii="华文仿宋" w:hAnsi="华文仿宋" w:eastAsia="华文仿宋" w:cs="华文仿宋"/>
      <w:b/>
      <w:bCs/>
      <w:color w:val="000000"/>
      <w:sz w:val="20"/>
      <w:szCs w:val="20"/>
      <w:u w:val="none"/>
    </w:rPr>
  </w:style>
  <w:style w:type="character" w:customStyle="1" w:styleId="52">
    <w:name w:val="font71"/>
    <w:basedOn w:val="25"/>
    <w:autoRedefine/>
    <w:qFormat/>
    <w:uiPriority w:val="0"/>
    <w:rPr>
      <w:rFonts w:hint="eastAsia" w:ascii="华文仿宋" w:hAnsi="华文仿宋" w:eastAsia="华文仿宋" w:cs="华文仿宋"/>
      <w:b/>
      <w:bCs/>
      <w:color w:val="000000"/>
      <w:sz w:val="20"/>
      <w:szCs w:val="20"/>
      <w:u w:val="none"/>
    </w:rPr>
  </w:style>
  <w:style w:type="character" w:customStyle="1" w:styleId="53">
    <w:name w:val="font101"/>
    <w:basedOn w:val="25"/>
    <w:autoRedefine/>
    <w:qFormat/>
    <w:uiPriority w:val="0"/>
    <w:rPr>
      <w:rFonts w:hint="default" w:ascii="Arial" w:hAnsi="Arial" w:cs="Arial"/>
      <w:color w:val="000000"/>
      <w:sz w:val="20"/>
      <w:szCs w:val="20"/>
      <w:u w:val="none"/>
    </w:rPr>
  </w:style>
  <w:style w:type="character" w:customStyle="1" w:styleId="54">
    <w:name w:val="font112"/>
    <w:basedOn w:val="25"/>
    <w:autoRedefine/>
    <w:qFormat/>
    <w:uiPriority w:val="0"/>
    <w:rPr>
      <w:rFonts w:hint="default" w:ascii="Arial" w:hAnsi="Arial" w:cs="Arial"/>
      <w:color w:val="000000"/>
      <w:sz w:val="20"/>
      <w:szCs w:val="20"/>
      <w:u w:val="none"/>
    </w:rPr>
  </w:style>
  <w:style w:type="character" w:customStyle="1" w:styleId="55">
    <w:name w:val="font111"/>
    <w:basedOn w:val="25"/>
    <w:autoRedefine/>
    <w:qFormat/>
    <w:uiPriority w:val="0"/>
    <w:rPr>
      <w:rFonts w:ascii="Wingdings 2" w:hAnsi="Wingdings 2" w:eastAsia="Wingdings 2" w:cs="Wingdings 2"/>
      <w:color w:val="000000"/>
      <w:sz w:val="20"/>
      <w:szCs w:val="20"/>
      <w:u w:val="none"/>
    </w:rPr>
  </w:style>
  <w:style w:type="character" w:customStyle="1" w:styleId="56">
    <w:name w:val="font122"/>
    <w:basedOn w:val="25"/>
    <w:autoRedefine/>
    <w:qFormat/>
    <w:uiPriority w:val="0"/>
    <w:rPr>
      <w:rFonts w:hint="eastAsia" w:ascii="华文仿宋" w:hAnsi="华文仿宋" w:eastAsia="华文仿宋" w:cs="华文仿宋"/>
      <w:color w:val="000000"/>
      <w:sz w:val="20"/>
      <w:szCs w:val="20"/>
      <w:u w:val="none"/>
    </w:rPr>
  </w:style>
  <w:style w:type="character" w:customStyle="1" w:styleId="57">
    <w:name w:val="font41"/>
    <w:basedOn w:val="25"/>
    <w:autoRedefine/>
    <w:qFormat/>
    <w:uiPriority w:val="0"/>
    <w:rPr>
      <w:rFonts w:hint="eastAsia" w:ascii="华文仿宋" w:hAnsi="华文仿宋" w:eastAsia="华文仿宋" w:cs="华文仿宋"/>
      <w:color w:val="000000"/>
      <w:sz w:val="20"/>
      <w:szCs w:val="20"/>
      <w:u w:val="none"/>
    </w:rPr>
  </w:style>
  <w:style w:type="character" w:customStyle="1" w:styleId="58">
    <w:name w:val="font01"/>
    <w:basedOn w:val="25"/>
    <w:autoRedefine/>
    <w:qFormat/>
    <w:uiPriority w:val="0"/>
    <w:rPr>
      <w:rFonts w:hint="eastAsia" w:ascii="宋体" w:hAnsi="宋体" w:eastAsia="宋体" w:cs="宋体"/>
      <w:color w:val="000000"/>
      <w:sz w:val="24"/>
      <w:szCs w:val="24"/>
      <w:u w:val="none"/>
    </w:rPr>
  </w:style>
  <w:style w:type="paragraph" w:customStyle="1" w:styleId="59">
    <w:name w:val="正文格式"/>
    <w:basedOn w:val="1"/>
    <w:qFormat/>
    <w:uiPriority w:val="0"/>
    <w:pPr>
      <w:widowControl/>
      <w:adjustRightInd w:val="0"/>
      <w:snapToGrid w:val="0"/>
      <w:spacing w:line="400" w:lineRule="atLeast"/>
      <w:ind w:firstLine="482"/>
      <w:textAlignment w:val="baseline"/>
    </w:pPr>
    <w:rPr>
      <w:rFonts w:ascii="Times New Roman" w:hAnsi="Times New Roman" w:eastAsia="微软雅黑"/>
      <w:kern w:val="0"/>
      <w:sz w:val="24"/>
    </w:rPr>
  </w:style>
  <w:style w:type="paragraph" w:customStyle="1" w:styleId="60">
    <w:name w:val="AONormal"/>
    <w:autoRedefine/>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61">
    <w:name w:val="列出段落1"/>
    <w:basedOn w:val="1"/>
    <w:autoRedefine/>
    <w:qFormat/>
    <w:uiPriority w:val="0"/>
    <w:pPr>
      <w:ind w:firstLine="420" w:firstLineChars="200"/>
    </w:pPr>
    <w:rPr>
      <w:szCs w:val="21"/>
    </w:rPr>
  </w:style>
  <w:style w:type="paragraph" w:customStyle="1" w:styleId="62">
    <w:name w:val="报告正文"/>
    <w:basedOn w:val="1"/>
    <w:qFormat/>
    <w:uiPriority w:val="0"/>
    <w:pPr>
      <w:spacing w:after="160" w:line="360" w:lineRule="auto"/>
      <w:ind w:firstLine="560" w:firstLineChars="200"/>
      <w:jc w:val="both"/>
    </w:pPr>
    <w:rPr>
      <w:rFonts w:eastAsia="仿宋" w:cs="Times New Roman"/>
      <w:kern w:val="2"/>
      <w:sz w:val="32"/>
      <w:szCs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22919</Words>
  <Characters>24086</Characters>
  <Lines>0</Lines>
  <Paragraphs>0</Paragraphs>
  <TotalTime>59</TotalTime>
  <ScaleCrop>false</ScaleCrop>
  <LinksUpToDate>false</LinksUpToDate>
  <CharactersWithSpaces>25291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2023-05-19T06:43:00Z</dcterms:created>
  <dc:creator>lenovo</dc:creator>
  <cp:lastModifiedBy>lenovo</cp:lastModifiedBy>
  <cp:lastPrinted>2026-06-17T03:05:00Z</cp:lastPrinted>
  <dcterms:modified xsi:type="dcterms:W3CDTF">2026-06-24T08:25:05Z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7FB1629738B14073B671BA1873B93299_13</vt:lpwstr>
  </property>
  <property fmtid="{D5CDD505-2E9C-101B-9397-08002B2CF9AE}" pid="4" name="KSOTemplateDocerSaveRecord">
    <vt:lpwstr>eyJoZGlkIjoiZmFkNDVmZTQ1ZGFhMTA1YzMyM2MzOWQzMTlmYmFkYjUiLCJ1c2VySWQiOiIzMjYyMjE0OTIifQ==</vt:lpwstr>
  </property>
</Properties>
</file>