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1F061B">
      <w:pPr>
        <w:spacing w:before="60" w:after="240" w:line="440" w:lineRule="exact"/>
        <w:jc w:val="center"/>
        <w:outlineLvl w:val="1"/>
        <w:rPr>
          <w:rFonts w:ascii="宋体" w:hAnsi="宋体"/>
          <w:b/>
          <w:sz w:val="30"/>
          <w:szCs w:val="30"/>
        </w:rPr>
      </w:pPr>
      <w:r>
        <w:rPr>
          <w:rFonts w:hint="eastAsia" w:ascii="宋体" w:hAnsi="宋体"/>
          <w:b/>
          <w:sz w:val="30"/>
          <w:szCs w:val="30"/>
        </w:rPr>
        <w:t>黎川县总医院绩效分配方案设计与实施项目服务需求</w:t>
      </w:r>
    </w:p>
    <w:p w14:paraId="678B9AFE">
      <w:pPr>
        <w:pStyle w:val="22"/>
        <w:widowControl/>
        <w:numPr>
          <w:ilvl w:val="0"/>
          <w:numId w:val="1"/>
        </w:numPr>
        <w:spacing w:line="360" w:lineRule="auto"/>
        <w:ind w:firstLineChars="0"/>
        <w:jc w:val="left"/>
        <w:outlineLvl w:val="2"/>
        <w:rPr>
          <w:rFonts w:hint="eastAsia" w:ascii="宋体" w:hAnsi="宋体" w:eastAsia="宋体" w:cs="宋体"/>
          <w:b/>
          <w:bCs/>
          <w:color w:val="000000"/>
          <w:kern w:val="0"/>
          <w:sz w:val="24"/>
          <w:lang w:bidi="ar"/>
        </w:rPr>
      </w:pPr>
      <w:r>
        <w:rPr>
          <w:rFonts w:hint="eastAsia" w:ascii="宋体" w:hAnsi="宋体" w:eastAsia="宋体" w:cs="宋体"/>
          <w:b/>
          <w:bCs/>
          <w:color w:val="000000"/>
          <w:kern w:val="0"/>
          <w:sz w:val="24"/>
          <w:lang w:bidi="ar"/>
        </w:rPr>
        <w:t xml:space="preserve">总体要求 </w:t>
      </w:r>
    </w:p>
    <w:p w14:paraId="7051FFDB">
      <w:pPr>
        <w:pStyle w:val="5"/>
        <w:spacing w:line="360" w:lineRule="auto"/>
        <w:ind w:firstLine="480" w:firstLineChars="200"/>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依据国卫基层发〔2023〕41号、国卫人发〔2015〕94号、人社部发〔2017〕10号及国办发〔2017〕67号等文件精神，紧密型县域医共体需建立健全绩效考核机制，考核结果与公共卫生经费、医保支付、绩效工资总量、负责人薪酬及任免奖惩等挂钩。内部考核应体现岗位差异，向高风险、高强度、关键紧缺岗位及业务骨干倾斜，不得与药品、材料、检查、化验等收入直接挂钩。</w:t>
      </w:r>
    </w:p>
    <w:p w14:paraId="6FD3AFDB">
      <w:pPr>
        <w:pStyle w:val="5"/>
        <w:spacing w:line="360" w:lineRule="auto"/>
        <w:ind w:firstLine="480" w:firstLineChars="200"/>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在此背景下，医共体需构建以医保“打包”付费为基础、以医疗中心为管理核心、以病种价值为导向的绩效体系，推动发展方式从“规模扩张”向“质量效益”转型。通过绩效“指挥棒”引导医务人员行为与医共体发展战略协同，实现患者健康水平提升、医保基金安全可持续、医院高质量发展、基层服务能力增强的多赢目标。项目需支持“总额预算、病种付费、结余留用、合理超支分担”的医保支付机制，并具备灵活配置能力，满足医共体内不同单位与医疗中心的精细化管理需求。</w:t>
      </w:r>
    </w:p>
    <w:p w14:paraId="1FA43BE3">
      <w:pPr>
        <w:widowControl/>
        <w:spacing w:line="360" w:lineRule="auto"/>
        <w:jc w:val="left"/>
        <w:outlineLvl w:val="2"/>
        <w:rPr>
          <w:rFonts w:hint="eastAsia" w:ascii="宋体" w:hAnsi="宋体" w:eastAsia="宋体" w:cs="宋体"/>
          <w:b/>
          <w:bCs/>
          <w:color w:val="000000"/>
          <w:kern w:val="0"/>
          <w:sz w:val="24"/>
          <w:lang w:bidi="ar"/>
        </w:rPr>
      </w:pPr>
      <w:r>
        <w:rPr>
          <w:rFonts w:hint="eastAsia" w:ascii="宋体" w:hAnsi="宋体" w:eastAsia="宋体" w:cs="宋体"/>
          <w:b/>
          <w:bCs/>
          <w:color w:val="000000"/>
          <w:kern w:val="0"/>
          <w:sz w:val="24"/>
          <w:lang w:bidi="ar"/>
        </w:rPr>
        <w:t>二、建设内容</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7335"/>
      </w:tblGrid>
      <w:tr w14:paraId="675ED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0896A79A">
            <w:pPr>
              <w:spacing w:line="360" w:lineRule="auto"/>
              <w:rPr>
                <w:rFonts w:hint="eastAsia" w:ascii="宋体" w:hAnsi="宋体" w:eastAsia="宋体" w:cs="宋体"/>
                <w:sz w:val="24"/>
              </w:rPr>
            </w:pPr>
            <w:r>
              <w:rPr>
                <w:rFonts w:hint="eastAsia" w:ascii="宋体" w:hAnsi="宋体" w:eastAsia="宋体" w:cs="宋体"/>
                <w:sz w:val="24"/>
              </w:rPr>
              <w:t>序号</w:t>
            </w:r>
          </w:p>
        </w:tc>
        <w:tc>
          <w:tcPr>
            <w:tcW w:w="7335" w:type="dxa"/>
            <w:noWrap w:val="0"/>
            <w:vAlign w:val="top"/>
          </w:tcPr>
          <w:p w14:paraId="7CB6726F">
            <w:pPr>
              <w:spacing w:line="360" w:lineRule="auto"/>
              <w:jc w:val="center"/>
              <w:rPr>
                <w:rFonts w:hint="eastAsia" w:ascii="宋体" w:hAnsi="宋体" w:eastAsia="宋体" w:cs="宋体"/>
                <w:sz w:val="24"/>
              </w:rPr>
            </w:pPr>
            <w:r>
              <w:rPr>
                <w:rFonts w:hint="eastAsia" w:ascii="宋体" w:hAnsi="宋体" w:eastAsia="宋体" w:cs="宋体"/>
                <w:sz w:val="24"/>
              </w:rPr>
              <w:t>系统模块</w:t>
            </w:r>
          </w:p>
        </w:tc>
      </w:tr>
      <w:tr w14:paraId="2D8C2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6C760F34">
            <w:pPr>
              <w:spacing w:line="360" w:lineRule="auto"/>
              <w:rPr>
                <w:rFonts w:hint="eastAsia" w:ascii="宋体" w:hAnsi="宋体" w:eastAsia="宋体" w:cs="宋体"/>
                <w:sz w:val="24"/>
              </w:rPr>
            </w:pPr>
            <w:r>
              <w:rPr>
                <w:rFonts w:hint="eastAsia" w:ascii="宋体" w:hAnsi="宋体" w:eastAsia="宋体" w:cs="宋体"/>
                <w:sz w:val="24"/>
              </w:rPr>
              <w:t>1</w:t>
            </w:r>
          </w:p>
        </w:tc>
        <w:tc>
          <w:tcPr>
            <w:tcW w:w="7335" w:type="dxa"/>
            <w:noWrap w:val="0"/>
            <w:vAlign w:val="top"/>
          </w:tcPr>
          <w:p w14:paraId="4F299C53">
            <w:pPr>
              <w:spacing w:line="360" w:lineRule="auto"/>
              <w:rPr>
                <w:rFonts w:hint="eastAsia" w:ascii="宋体" w:hAnsi="宋体" w:eastAsia="宋体" w:cs="宋体"/>
                <w:sz w:val="24"/>
              </w:rPr>
            </w:pPr>
            <w:r>
              <w:rPr>
                <w:rFonts w:hint="eastAsia" w:ascii="宋体" w:hAnsi="宋体" w:eastAsia="宋体" w:cs="宋体"/>
                <w:sz w:val="24"/>
              </w:rPr>
              <w:t>医共体组织架构与权责体系设计与咨询服务</w:t>
            </w:r>
          </w:p>
        </w:tc>
      </w:tr>
      <w:tr w14:paraId="55D2B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3C7E71CB">
            <w:pPr>
              <w:spacing w:line="360" w:lineRule="auto"/>
              <w:rPr>
                <w:rFonts w:hint="eastAsia" w:ascii="宋体" w:hAnsi="宋体" w:eastAsia="宋体" w:cs="宋体"/>
                <w:sz w:val="24"/>
              </w:rPr>
            </w:pPr>
            <w:r>
              <w:rPr>
                <w:rFonts w:hint="eastAsia" w:ascii="宋体" w:hAnsi="宋体" w:eastAsia="宋体" w:cs="宋体"/>
                <w:sz w:val="24"/>
              </w:rPr>
              <w:t>1.1</w:t>
            </w:r>
          </w:p>
        </w:tc>
        <w:tc>
          <w:tcPr>
            <w:tcW w:w="7335" w:type="dxa"/>
            <w:noWrap w:val="0"/>
            <w:vAlign w:val="top"/>
          </w:tcPr>
          <w:p w14:paraId="6FFA20F4">
            <w:pPr>
              <w:spacing w:line="360" w:lineRule="auto"/>
              <w:rPr>
                <w:rFonts w:hint="eastAsia" w:ascii="宋体" w:hAnsi="宋体" w:eastAsia="宋体" w:cs="宋体"/>
                <w:sz w:val="24"/>
              </w:rPr>
            </w:pPr>
            <w:r>
              <w:rPr>
                <w:rFonts w:hint="eastAsia" w:ascii="宋体" w:hAnsi="宋体" w:eastAsia="宋体" w:cs="宋体"/>
                <w:sz w:val="24"/>
              </w:rPr>
              <w:t>组织架构设计要求</w:t>
            </w:r>
          </w:p>
        </w:tc>
      </w:tr>
      <w:tr w14:paraId="134E4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4F959110">
            <w:pPr>
              <w:spacing w:line="360" w:lineRule="auto"/>
              <w:rPr>
                <w:rFonts w:hint="eastAsia" w:ascii="宋体" w:hAnsi="宋体" w:eastAsia="宋体" w:cs="宋体"/>
                <w:sz w:val="24"/>
              </w:rPr>
            </w:pPr>
            <w:r>
              <w:rPr>
                <w:rFonts w:hint="eastAsia" w:ascii="宋体" w:hAnsi="宋体" w:eastAsia="宋体" w:cs="宋体"/>
                <w:sz w:val="24"/>
              </w:rPr>
              <w:t>1.2</w:t>
            </w:r>
          </w:p>
        </w:tc>
        <w:tc>
          <w:tcPr>
            <w:tcW w:w="7335" w:type="dxa"/>
            <w:noWrap w:val="0"/>
            <w:vAlign w:val="top"/>
          </w:tcPr>
          <w:p w14:paraId="6234ACDD">
            <w:pPr>
              <w:spacing w:line="360" w:lineRule="auto"/>
              <w:rPr>
                <w:rFonts w:hint="eastAsia" w:ascii="宋体" w:hAnsi="宋体" w:eastAsia="宋体" w:cs="宋体"/>
                <w:sz w:val="24"/>
              </w:rPr>
            </w:pPr>
            <w:r>
              <w:rPr>
                <w:rFonts w:hint="eastAsia" w:ascii="宋体" w:hAnsi="宋体" w:eastAsia="宋体" w:cs="宋体"/>
                <w:sz w:val="24"/>
              </w:rPr>
              <w:t>总院职能管理中心权责设计要求</w:t>
            </w:r>
          </w:p>
        </w:tc>
      </w:tr>
      <w:tr w14:paraId="2356C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7F0BF2F5">
            <w:pPr>
              <w:spacing w:line="360" w:lineRule="auto"/>
              <w:rPr>
                <w:rFonts w:hint="eastAsia" w:ascii="宋体" w:hAnsi="宋体" w:eastAsia="宋体" w:cs="宋体"/>
                <w:sz w:val="24"/>
              </w:rPr>
            </w:pPr>
            <w:r>
              <w:rPr>
                <w:rFonts w:hint="eastAsia" w:ascii="宋体" w:hAnsi="宋体" w:eastAsia="宋体" w:cs="宋体"/>
                <w:sz w:val="24"/>
              </w:rPr>
              <w:t>1.3</w:t>
            </w:r>
          </w:p>
        </w:tc>
        <w:tc>
          <w:tcPr>
            <w:tcW w:w="7335" w:type="dxa"/>
            <w:noWrap w:val="0"/>
            <w:vAlign w:val="top"/>
          </w:tcPr>
          <w:p w14:paraId="0AB96368">
            <w:pPr>
              <w:spacing w:line="360" w:lineRule="auto"/>
              <w:rPr>
                <w:rFonts w:hint="eastAsia" w:ascii="宋体" w:hAnsi="宋体" w:eastAsia="宋体" w:cs="宋体"/>
                <w:sz w:val="24"/>
              </w:rPr>
            </w:pPr>
            <w:r>
              <w:rPr>
                <w:rFonts w:hint="eastAsia" w:ascii="宋体" w:hAnsi="宋体" w:eastAsia="宋体" w:cs="宋体"/>
                <w:sz w:val="24"/>
              </w:rPr>
              <w:t>总院职能管理中心决策机制与协同流程设计要求</w:t>
            </w:r>
          </w:p>
        </w:tc>
      </w:tr>
      <w:tr w14:paraId="65577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0E43B394">
            <w:pPr>
              <w:spacing w:line="360" w:lineRule="auto"/>
              <w:rPr>
                <w:rFonts w:hint="eastAsia" w:ascii="宋体" w:hAnsi="宋体" w:eastAsia="宋体" w:cs="宋体"/>
                <w:sz w:val="24"/>
              </w:rPr>
            </w:pPr>
            <w:r>
              <w:rPr>
                <w:rFonts w:hint="eastAsia" w:ascii="宋体" w:hAnsi="宋体" w:eastAsia="宋体" w:cs="宋体"/>
                <w:sz w:val="24"/>
              </w:rPr>
              <w:t>2</w:t>
            </w:r>
          </w:p>
        </w:tc>
        <w:tc>
          <w:tcPr>
            <w:tcW w:w="7335" w:type="dxa"/>
            <w:noWrap w:val="0"/>
            <w:vAlign w:val="top"/>
          </w:tcPr>
          <w:p w14:paraId="36F3A682">
            <w:pPr>
              <w:spacing w:line="360" w:lineRule="auto"/>
              <w:rPr>
                <w:rFonts w:hint="eastAsia" w:ascii="宋体" w:hAnsi="宋体" w:eastAsia="宋体" w:cs="宋体"/>
                <w:sz w:val="24"/>
              </w:rPr>
            </w:pPr>
            <w:r>
              <w:rPr>
                <w:rFonts w:hint="eastAsia" w:ascii="宋体" w:hAnsi="宋体" w:eastAsia="宋体" w:cs="宋体"/>
                <w:sz w:val="24"/>
              </w:rPr>
              <w:t>医共体资金统筹与医保支付机制设计与咨询服务</w:t>
            </w:r>
          </w:p>
        </w:tc>
      </w:tr>
      <w:tr w14:paraId="552D5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2A3C292B">
            <w:pPr>
              <w:spacing w:line="360" w:lineRule="auto"/>
              <w:rPr>
                <w:rFonts w:hint="eastAsia" w:ascii="宋体" w:hAnsi="宋体" w:eastAsia="宋体" w:cs="宋体"/>
                <w:sz w:val="24"/>
              </w:rPr>
            </w:pPr>
            <w:r>
              <w:rPr>
                <w:rFonts w:hint="eastAsia" w:ascii="宋体" w:hAnsi="宋体" w:eastAsia="宋体" w:cs="宋体"/>
                <w:sz w:val="24"/>
              </w:rPr>
              <w:t>2.1</w:t>
            </w:r>
          </w:p>
        </w:tc>
        <w:tc>
          <w:tcPr>
            <w:tcW w:w="7335" w:type="dxa"/>
            <w:noWrap w:val="0"/>
            <w:vAlign w:val="top"/>
          </w:tcPr>
          <w:p w14:paraId="5C3300B3">
            <w:pPr>
              <w:spacing w:line="360" w:lineRule="auto"/>
              <w:rPr>
                <w:rFonts w:hint="eastAsia" w:ascii="宋体" w:hAnsi="宋体" w:eastAsia="宋体" w:cs="宋体"/>
                <w:sz w:val="24"/>
              </w:rPr>
            </w:pPr>
            <w:r>
              <w:rPr>
                <w:rFonts w:hint="eastAsia" w:ascii="宋体" w:hAnsi="宋体" w:eastAsia="宋体" w:cs="宋体"/>
                <w:sz w:val="24"/>
              </w:rPr>
              <w:t>资金统筹整合方案设计要求</w:t>
            </w:r>
          </w:p>
        </w:tc>
      </w:tr>
      <w:tr w14:paraId="41676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51E2E7FD">
            <w:pPr>
              <w:spacing w:line="360" w:lineRule="auto"/>
              <w:rPr>
                <w:rFonts w:hint="eastAsia" w:ascii="宋体" w:hAnsi="宋体" w:eastAsia="宋体" w:cs="宋体"/>
                <w:sz w:val="24"/>
              </w:rPr>
            </w:pPr>
            <w:r>
              <w:rPr>
                <w:rFonts w:hint="eastAsia" w:ascii="宋体" w:hAnsi="宋体" w:eastAsia="宋体" w:cs="宋体"/>
                <w:sz w:val="24"/>
              </w:rPr>
              <w:t>2.2</w:t>
            </w:r>
          </w:p>
        </w:tc>
        <w:tc>
          <w:tcPr>
            <w:tcW w:w="7335" w:type="dxa"/>
            <w:noWrap w:val="0"/>
            <w:vAlign w:val="top"/>
          </w:tcPr>
          <w:p w14:paraId="557B06F0">
            <w:pPr>
              <w:spacing w:line="360" w:lineRule="auto"/>
              <w:rPr>
                <w:rFonts w:hint="eastAsia" w:ascii="宋体" w:hAnsi="宋体" w:eastAsia="宋体" w:cs="宋体"/>
                <w:sz w:val="24"/>
              </w:rPr>
            </w:pPr>
            <w:r>
              <w:rPr>
                <w:rFonts w:hint="eastAsia" w:ascii="宋体" w:hAnsi="宋体" w:eastAsia="宋体" w:cs="宋体"/>
                <w:sz w:val="24"/>
              </w:rPr>
              <w:t>绩效预算管理体系设计要求</w:t>
            </w:r>
          </w:p>
        </w:tc>
      </w:tr>
      <w:tr w14:paraId="6AA7E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360640A4">
            <w:pPr>
              <w:spacing w:line="360" w:lineRule="auto"/>
              <w:rPr>
                <w:rFonts w:hint="eastAsia" w:ascii="宋体" w:hAnsi="宋体" w:eastAsia="宋体" w:cs="宋体"/>
                <w:sz w:val="24"/>
              </w:rPr>
            </w:pPr>
            <w:r>
              <w:rPr>
                <w:rFonts w:hint="eastAsia" w:ascii="宋体" w:hAnsi="宋体" w:eastAsia="宋体" w:cs="宋体"/>
                <w:sz w:val="24"/>
              </w:rPr>
              <w:t>2.3</w:t>
            </w:r>
          </w:p>
        </w:tc>
        <w:tc>
          <w:tcPr>
            <w:tcW w:w="7335" w:type="dxa"/>
            <w:noWrap w:val="0"/>
            <w:vAlign w:val="top"/>
          </w:tcPr>
          <w:p w14:paraId="0FB5CD3B">
            <w:pPr>
              <w:spacing w:line="360" w:lineRule="auto"/>
              <w:rPr>
                <w:rFonts w:hint="eastAsia" w:ascii="宋体" w:hAnsi="宋体" w:eastAsia="宋体" w:cs="宋体"/>
                <w:sz w:val="24"/>
              </w:rPr>
            </w:pPr>
            <w:r>
              <w:rPr>
                <w:rFonts w:hint="eastAsia" w:ascii="宋体" w:hAnsi="宋体" w:eastAsia="宋体" w:cs="宋体"/>
                <w:sz w:val="24"/>
              </w:rPr>
              <w:t>内部资金分配与管理设计要求</w:t>
            </w:r>
          </w:p>
        </w:tc>
      </w:tr>
      <w:tr w14:paraId="31289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6339FB5C">
            <w:pPr>
              <w:spacing w:line="360" w:lineRule="auto"/>
              <w:rPr>
                <w:rFonts w:hint="eastAsia" w:ascii="宋体" w:hAnsi="宋体" w:eastAsia="宋体" w:cs="宋体"/>
                <w:sz w:val="24"/>
              </w:rPr>
            </w:pPr>
            <w:r>
              <w:rPr>
                <w:rFonts w:hint="eastAsia" w:ascii="宋体" w:hAnsi="宋体" w:eastAsia="宋体" w:cs="宋体"/>
                <w:sz w:val="24"/>
              </w:rPr>
              <w:t>2.4</w:t>
            </w:r>
          </w:p>
        </w:tc>
        <w:tc>
          <w:tcPr>
            <w:tcW w:w="7335" w:type="dxa"/>
            <w:noWrap w:val="0"/>
            <w:vAlign w:val="top"/>
          </w:tcPr>
          <w:p w14:paraId="151793DC">
            <w:pPr>
              <w:spacing w:line="360" w:lineRule="auto"/>
              <w:rPr>
                <w:rFonts w:hint="eastAsia" w:ascii="宋体" w:hAnsi="宋体" w:eastAsia="宋体" w:cs="宋体"/>
                <w:sz w:val="24"/>
              </w:rPr>
            </w:pPr>
            <w:r>
              <w:rPr>
                <w:rFonts w:hint="eastAsia" w:ascii="宋体" w:hAnsi="宋体" w:eastAsia="宋体" w:cs="宋体"/>
                <w:sz w:val="24"/>
              </w:rPr>
              <w:t>风险防控与监管机制设计要求</w:t>
            </w:r>
          </w:p>
        </w:tc>
      </w:tr>
      <w:tr w14:paraId="33AF9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36AEB075">
            <w:pPr>
              <w:spacing w:line="360" w:lineRule="auto"/>
              <w:rPr>
                <w:rFonts w:hint="eastAsia" w:ascii="宋体" w:hAnsi="宋体" w:eastAsia="宋体" w:cs="宋体"/>
                <w:sz w:val="24"/>
              </w:rPr>
            </w:pPr>
            <w:r>
              <w:rPr>
                <w:rFonts w:hint="eastAsia" w:ascii="宋体" w:hAnsi="宋体" w:eastAsia="宋体" w:cs="宋体"/>
                <w:sz w:val="24"/>
              </w:rPr>
              <w:t>3</w:t>
            </w:r>
          </w:p>
        </w:tc>
        <w:tc>
          <w:tcPr>
            <w:tcW w:w="7335" w:type="dxa"/>
            <w:noWrap w:val="0"/>
            <w:vAlign w:val="top"/>
          </w:tcPr>
          <w:p w14:paraId="0638C89A">
            <w:pPr>
              <w:spacing w:line="360" w:lineRule="auto"/>
              <w:rPr>
                <w:rFonts w:hint="eastAsia" w:ascii="宋体" w:hAnsi="宋体" w:eastAsia="宋体" w:cs="宋体"/>
                <w:sz w:val="24"/>
              </w:rPr>
            </w:pPr>
            <w:r>
              <w:rPr>
                <w:rFonts w:hint="eastAsia" w:ascii="宋体" w:hAnsi="宋体" w:eastAsia="宋体" w:cs="宋体"/>
                <w:sz w:val="24"/>
              </w:rPr>
              <w:t>基于医保打包付费的绩效管理顶层设计与咨询服务</w:t>
            </w:r>
          </w:p>
        </w:tc>
      </w:tr>
      <w:tr w14:paraId="397AB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14765C8A">
            <w:pPr>
              <w:spacing w:line="360" w:lineRule="auto"/>
              <w:rPr>
                <w:rFonts w:hint="eastAsia" w:ascii="宋体" w:hAnsi="宋体" w:eastAsia="宋体" w:cs="宋体"/>
                <w:sz w:val="24"/>
              </w:rPr>
            </w:pPr>
            <w:r>
              <w:rPr>
                <w:rFonts w:hint="eastAsia" w:ascii="宋体" w:hAnsi="宋体" w:eastAsia="宋体" w:cs="宋体"/>
                <w:sz w:val="24"/>
              </w:rPr>
              <w:t>3.1</w:t>
            </w:r>
          </w:p>
        </w:tc>
        <w:tc>
          <w:tcPr>
            <w:tcW w:w="7335" w:type="dxa"/>
            <w:noWrap w:val="0"/>
            <w:vAlign w:val="top"/>
          </w:tcPr>
          <w:p w14:paraId="235D2CD3">
            <w:pPr>
              <w:spacing w:line="360" w:lineRule="auto"/>
              <w:rPr>
                <w:rFonts w:hint="eastAsia" w:ascii="宋体" w:hAnsi="宋体" w:eastAsia="宋体" w:cs="宋体"/>
                <w:sz w:val="24"/>
              </w:rPr>
            </w:pPr>
            <w:r>
              <w:rPr>
                <w:rFonts w:hint="eastAsia" w:ascii="宋体" w:hAnsi="宋体" w:eastAsia="宋体" w:cs="宋体"/>
                <w:sz w:val="24"/>
              </w:rPr>
              <w:t>医共体绩效总额预算与动态调整模型设计</w:t>
            </w:r>
          </w:p>
        </w:tc>
      </w:tr>
      <w:tr w14:paraId="4E2AF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0E2EFBC6">
            <w:pPr>
              <w:spacing w:line="360" w:lineRule="auto"/>
              <w:rPr>
                <w:rFonts w:hint="eastAsia" w:ascii="宋体" w:hAnsi="宋体" w:eastAsia="宋体" w:cs="宋体"/>
                <w:sz w:val="24"/>
              </w:rPr>
            </w:pPr>
            <w:r>
              <w:rPr>
                <w:rFonts w:hint="eastAsia" w:ascii="宋体" w:hAnsi="宋体" w:eastAsia="宋体" w:cs="宋体"/>
                <w:sz w:val="24"/>
              </w:rPr>
              <w:t>3.2</w:t>
            </w:r>
          </w:p>
        </w:tc>
        <w:tc>
          <w:tcPr>
            <w:tcW w:w="7335" w:type="dxa"/>
            <w:noWrap w:val="0"/>
            <w:vAlign w:val="top"/>
          </w:tcPr>
          <w:p w14:paraId="1739D26E">
            <w:pPr>
              <w:spacing w:line="360" w:lineRule="auto"/>
              <w:rPr>
                <w:rFonts w:hint="eastAsia" w:ascii="宋体" w:hAnsi="宋体" w:eastAsia="宋体" w:cs="宋体"/>
                <w:sz w:val="24"/>
              </w:rPr>
            </w:pPr>
            <w:r>
              <w:rPr>
                <w:rFonts w:hint="eastAsia" w:ascii="宋体" w:hAnsi="宋体" w:eastAsia="宋体" w:cs="宋体"/>
                <w:sz w:val="24"/>
              </w:rPr>
              <w:t>医疗中心管理与绩效考核方案设计</w:t>
            </w:r>
          </w:p>
        </w:tc>
      </w:tr>
      <w:tr w14:paraId="0C54C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37D1AC8A">
            <w:pPr>
              <w:spacing w:line="360" w:lineRule="auto"/>
              <w:rPr>
                <w:rFonts w:hint="eastAsia" w:ascii="宋体" w:hAnsi="宋体" w:eastAsia="宋体" w:cs="宋体"/>
                <w:sz w:val="24"/>
              </w:rPr>
            </w:pPr>
            <w:r>
              <w:rPr>
                <w:rFonts w:hint="eastAsia" w:ascii="宋体" w:hAnsi="宋体" w:eastAsia="宋体" w:cs="宋体"/>
                <w:sz w:val="24"/>
              </w:rPr>
              <w:t>3.3</w:t>
            </w:r>
          </w:p>
        </w:tc>
        <w:tc>
          <w:tcPr>
            <w:tcW w:w="7335" w:type="dxa"/>
            <w:noWrap w:val="0"/>
            <w:vAlign w:val="top"/>
          </w:tcPr>
          <w:p w14:paraId="1BABF787">
            <w:pPr>
              <w:spacing w:line="360" w:lineRule="auto"/>
              <w:rPr>
                <w:rFonts w:hint="eastAsia" w:ascii="宋体" w:hAnsi="宋体" w:eastAsia="宋体" w:cs="宋体"/>
                <w:sz w:val="24"/>
              </w:rPr>
            </w:pPr>
            <w:r>
              <w:rPr>
                <w:rFonts w:hint="eastAsia" w:ascii="宋体" w:hAnsi="宋体" w:eastAsia="宋体" w:cs="宋体"/>
                <w:sz w:val="24"/>
              </w:rPr>
              <w:t>成员单位（分院）绩效考核方案与机构系数设计</w:t>
            </w:r>
          </w:p>
        </w:tc>
      </w:tr>
      <w:tr w14:paraId="33B69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7A79663A">
            <w:pPr>
              <w:spacing w:line="360" w:lineRule="auto"/>
              <w:rPr>
                <w:rFonts w:hint="eastAsia" w:ascii="宋体" w:hAnsi="宋体" w:eastAsia="宋体" w:cs="宋体"/>
                <w:sz w:val="24"/>
              </w:rPr>
            </w:pPr>
            <w:r>
              <w:rPr>
                <w:rFonts w:hint="eastAsia" w:ascii="宋体" w:hAnsi="宋体" w:eastAsia="宋体" w:cs="宋体"/>
                <w:sz w:val="24"/>
              </w:rPr>
              <w:t>3.4</w:t>
            </w:r>
          </w:p>
        </w:tc>
        <w:tc>
          <w:tcPr>
            <w:tcW w:w="7335" w:type="dxa"/>
            <w:noWrap w:val="0"/>
            <w:vAlign w:val="top"/>
          </w:tcPr>
          <w:p w14:paraId="58F8EC1E">
            <w:pPr>
              <w:spacing w:line="360" w:lineRule="auto"/>
              <w:rPr>
                <w:rFonts w:hint="eastAsia" w:ascii="宋体" w:hAnsi="宋体" w:eastAsia="宋体" w:cs="宋体"/>
                <w:sz w:val="24"/>
              </w:rPr>
            </w:pPr>
            <w:r>
              <w:rPr>
                <w:rFonts w:hint="eastAsia" w:ascii="宋体" w:hAnsi="宋体" w:eastAsia="宋体" w:cs="宋体"/>
                <w:sz w:val="24"/>
              </w:rPr>
              <w:t>病种绩效点数与可控成本包设计</w:t>
            </w:r>
          </w:p>
        </w:tc>
      </w:tr>
      <w:tr w14:paraId="58B2D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531E50B4">
            <w:pPr>
              <w:spacing w:line="360" w:lineRule="auto"/>
              <w:rPr>
                <w:rFonts w:hint="eastAsia" w:ascii="宋体" w:hAnsi="宋体" w:eastAsia="宋体" w:cs="宋体"/>
                <w:sz w:val="24"/>
              </w:rPr>
            </w:pPr>
            <w:r>
              <w:rPr>
                <w:rFonts w:hint="eastAsia" w:ascii="宋体" w:hAnsi="宋体" w:eastAsia="宋体" w:cs="宋体"/>
                <w:sz w:val="24"/>
              </w:rPr>
              <w:t>3.5</w:t>
            </w:r>
          </w:p>
        </w:tc>
        <w:tc>
          <w:tcPr>
            <w:tcW w:w="7335" w:type="dxa"/>
            <w:noWrap w:val="0"/>
            <w:vAlign w:val="top"/>
          </w:tcPr>
          <w:p w14:paraId="4750D8BC">
            <w:pPr>
              <w:spacing w:line="360" w:lineRule="auto"/>
              <w:rPr>
                <w:rFonts w:hint="eastAsia" w:ascii="宋体" w:hAnsi="宋体" w:eastAsia="宋体" w:cs="宋体"/>
                <w:sz w:val="24"/>
              </w:rPr>
            </w:pPr>
            <w:r>
              <w:rPr>
                <w:rFonts w:hint="eastAsia" w:ascii="宋体" w:hAnsi="宋体" w:eastAsia="宋体" w:cs="宋体"/>
                <w:sz w:val="24"/>
              </w:rPr>
              <w:t>医保风险调节基金（绩效蓄水池）管理方案</w:t>
            </w:r>
          </w:p>
        </w:tc>
      </w:tr>
      <w:tr w14:paraId="4B970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062AEA21">
            <w:pPr>
              <w:spacing w:line="360" w:lineRule="auto"/>
              <w:rPr>
                <w:rFonts w:hint="eastAsia" w:ascii="宋体" w:hAnsi="宋体" w:eastAsia="宋体" w:cs="宋体"/>
                <w:sz w:val="24"/>
              </w:rPr>
            </w:pPr>
            <w:r>
              <w:rPr>
                <w:rFonts w:hint="eastAsia" w:ascii="宋体" w:hAnsi="宋体" w:eastAsia="宋体" w:cs="宋体"/>
                <w:sz w:val="24"/>
              </w:rPr>
              <w:t>3.6</w:t>
            </w:r>
          </w:p>
        </w:tc>
        <w:tc>
          <w:tcPr>
            <w:tcW w:w="7335" w:type="dxa"/>
            <w:noWrap w:val="0"/>
            <w:vAlign w:val="top"/>
          </w:tcPr>
          <w:p w14:paraId="626BA363">
            <w:pPr>
              <w:spacing w:line="360" w:lineRule="auto"/>
              <w:rPr>
                <w:rFonts w:hint="eastAsia" w:ascii="宋体" w:hAnsi="宋体" w:eastAsia="宋体" w:cs="宋体"/>
                <w:sz w:val="24"/>
              </w:rPr>
            </w:pPr>
            <w:r>
              <w:rPr>
                <w:rFonts w:hint="eastAsia" w:ascii="宋体" w:hAnsi="宋体" w:eastAsia="宋体" w:cs="宋体"/>
                <w:sz w:val="24"/>
              </w:rPr>
              <w:t>双向转诊、五大资源共享中心考核方案设计</w:t>
            </w:r>
          </w:p>
        </w:tc>
      </w:tr>
      <w:tr w14:paraId="62CBB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2EB008C7">
            <w:pPr>
              <w:spacing w:line="360" w:lineRule="auto"/>
              <w:rPr>
                <w:rFonts w:hint="eastAsia" w:ascii="宋体" w:hAnsi="宋体" w:eastAsia="宋体" w:cs="宋体"/>
                <w:sz w:val="24"/>
              </w:rPr>
            </w:pPr>
            <w:r>
              <w:rPr>
                <w:rFonts w:hint="eastAsia" w:ascii="宋体" w:hAnsi="宋体" w:eastAsia="宋体" w:cs="宋体"/>
                <w:sz w:val="24"/>
              </w:rPr>
              <w:t>3.7</w:t>
            </w:r>
          </w:p>
        </w:tc>
        <w:tc>
          <w:tcPr>
            <w:tcW w:w="7335" w:type="dxa"/>
            <w:noWrap w:val="0"/>
            <w:vAlign w:val="top"/>
          </w:tcPr>
          <w:p w14:paraId="2073A6CE">
            <w:pPr>
              <w:spacing w:line="360" w:lineRule="auto"/>
              <w:rPr>
                <w:rFonts w:hint="eastAsia" w:ascii="宋体" w:hAnsi="宋体" w:eastAsia="宋体" w:cs="宋体"/>
                <w:sz w:val="24"/>
              </w:rPr>
            </w:pPr>
            <w:r>
              <w:rPr>
                <w:rFonts w:hint="eastAsia" w:ascii="宋体" w:hAnsi="宋体" w:eastAsia="宋体" w:cs="宋体"/>
                <w:sz w:val="24"/>
              </w:rPr>
              <w:t>总院医疗专家到基层帮扶及分院医护人员到总院轮训考核方案设计</w:t>
            </w:r>
          </w:p>
        </w:tc>
      </w:tr>
      <w:tr w14:paraId="563F5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29143D98">
            <w:pPr>
              <w:spacing w:line="360" w:lineRule="auto"/>
              <w:rPr>
                <w:rFonts w:hint="eastAsia" w:ascii="宋体" w:hAnsi="宋体" w:eastAsia="宋体" w:cs="宋体"/>
                <w:sz w:val="24"/>
              </w:rPr>
            </w:pPr>
            <w:r>
              <w:rPr>
                <w:rFonts w:hint="eastAsia" w:ascii="宋体" w:hAnsi="宋体" w:eastAsia="宋体" w:cs="宋体"/>
                <w:sz w:val="24"/>
              </w:rPr>
              <w:t>3.8</w:t>
            </w:r>
          </w:p>
        </w:tc>
        <w:tc>
          <w:tcPr>
            <w:tcW w:w="7335" w:type="dxa"/>
            <w:noWrap w:val="0"/>
            <w:vAlign w:val="top"/>
          </w:tcPr>
          <w:p w14:paraId="24DF1567">
            <w:pPr>
              <w:spacing w:line="360" w:lineRule="auto"/>
              <w:rPr>
                <w:rFonts w:hint="eastAsia" w:ascii="宋体" w:hAnsi="宋体" w:eastAsia="宋体" w:cs="宋体"/>
                <w:sz w:val="24"/>
              </w:rPr>
            </w:pPr>
            <w:r>
              <w:rPr>
                <w:rFonts w:hint="eastAsia" w:ascii="宋体" w:hAnsi="宋体" w:eastAsia="宋体" w:cs="宋体"/>
                <w:sz w:val="24"/>
              </w:rPr>
              <w:t>医防融合与医保协同服务专项绩效方案设计</w:t>
            </w:r>
          </w:p>
        </w:tc>
      </w:tr>
      <w:tr w14:paraId="446D6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3EC97EC0">
            <w:pPr>
              <w:spacing w:line="360" w:lineRule="auto"/>
              <w:rPr>
                <w:rFonts w:hint="eastAsia" w:ascii="宋体" w:hAnsi="宋体" w:eastAsia="宋体" w:cs="宋体"/>
                <w:sz w:val="24"/>
              </w:rPr>
            </w:pPr>
            <w:r>
              <w:rPr>
                <w:rFonts w:hint="eastAsia" w:ascii="宋体" w:hAnsi="宋体" w:eastAsia="宋体" w:cs="宋体"/>
                <w:sz w:val="24"/>
              </w:rPr>
              <w:t>3.9</w:t>
            </w:r>
          </w:p>
        </w:tc>
        <w:tc>
          <w:tcPr>
            <w:tcW w:w="7335" w:type="dxa"/>
            <w:noWrap w:val="0"/>
            <w:vAlign w:val="top"/>
          </w:tcPr>
          <w:p w14:paraId="711AC834">
            <w:pPr>
              <w:spacing w:line="360" w:lineRule="auto"/>
              <w:rPr>
                <w:rFonts w:hint="eastAsia" w:ascii="宋体" w:hAnsi="宋体" w:eastAsia="宋体" w:cs="宋体"/>
                <w:sz w:val="24"/>
              </w:rPr>
            </w:pPr>
            <w:r>
              <w:rPr>
                <w:rFonts w:hint="eastAsia" w:ascii="宋体" w:hAnsi="宋体" w:eastAsia="宋体" w:cs="宋体"/>
                <w:sz w:val="24"/>
              </w:rPr>
              <w:t>总院行政职能考核体系设计要求</w:t>
            </w:r>
          </w:p>
        </w:tc>
      </w:tr>
      <w:tr w14:paraId="68F5B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09C6691D">
            <w:pPr>
              <w:spacing w:line="360" w:lineRule="auto"/>
              <w:rPr>
                <w:rFonts w:hint="eastAsia" w:ascii="宋体" w:hAnsi="宋体" w:eastAsia="宋体" w:cs="宋体"/>
                <w:sz w:val="24"/>
              </w:rPr>
            </w:pPr>
            <w:r>
              <w:rPr>
                <w:rFonts w:hint="eastAsia" w:ascii="宋体" w:hAnsi="宋体" w:eastAsia="宋体" w:cs="宋体"/>
                <w:sz w:val="24"/>
              </w:rPr>
              <w:t>3.10</w:t>
            </w:r>
          </w:p>
        </w:tc>
        <w:tc>
          <w:tcPr>
            <w:tcW w:w="7335" w:type="dxa"/>
            <w:noWrap w:val="0"/>
            <w:vAlign w:val="top"/>
          </w:tcPr>
          <w:p w14:paraId="76B10280">
            <w:pPr>
              <w:spacing w:line="360" w:lineRule="auto"/>
              <w:rPr>
                <w:rFonts w:hint="eastAsia" w:ascii="宋体" w:hAnsi="宋体" w:eastAsia="宋体" w:cs="宋体"/>
                <w:sz w:val="24"/>
              </w:rPr>
            </w:pPr>
            <w:r>
              <w:rPr>
                <w:rFonts w:hint="eastAsia" w:ascii="宋体" w:hAnsi="宋体" w:eastAsia="宋体" w:cs="宋体"/>
                <w:sz w:val="24"/>
              </w:rPr>
              <w:t>各成员单位内部二次分配指导与监管方案</w:t>
            </w:r>
          </w:p>
        </w:tc>
      </w:tr>
      <w:tr w14:paraId="3399B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39CA0E7E">
            <w:pPr>
              <w:spacing w:line="360" w:lineRule="auto"/>
              <w:rPr>
                <w:rFonts w:hint="eastAsia" w:ascii="宋体" w:hAnsi="宋体" w:eastAsia="宋体" w:cs="宋体"/>
                <w:sz w:val="24"/>
              </w:rPr>
            </w:pPr>
            <w:r>
              <w:rPr>
                <w:rFonts w:hint="eastAsia" w:ascii="宋体" w:hAnsi="宋体" w:eastAsia="宋体" w:cs="宋体"/>
                <w:sz w:val="24"/>
              </w:rPr>
              <w:t>3.11</w:t>
            </w:r>
          </w:p>
        </w:tc>
        <w:tc>
          <w:tcPr>
            <w:tcW w:w="7335" w:type="dxa"/>
            <w:noWrap w:val="0"/>
            <w:vAlign w:val="top"/>
          </w:tcPr>
          <w:p w14:paraId="02F0835B">
            <w:pPr>
              <w:spacing w:line="360" w:lineRule="auto"/>
              <w:rPr>
                <w:rFonts w:hint="eastAsia" w:ascii="宋体" w:hAnsi="宋体" w:eastAsia="宋体" w:cs="宋体"/>
                <w:sz w:val="24"/>
              </w:rPr>
            </w:pPr>
            <w:r>
              <w:rPr>
                <w:rFonts w:hint="eastAsia" w:ascii="宋体" w:hAnsi="宋体" w:eastAsia="宋体" w:cs="宋体"/>
                <w:sz w:val="24"/>
              </w:rPr>
              <w:t>考核指标体系设计</w:t>
            </w:r>
          </w:p>
        </w:tc>
      </w:tr>
      <w:tr w14:paraId="64907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3F68B6B3">
            <w:pPr>
              <w:spacing w:line="360" w:lineRule="auto"/>
              <w:rPr>
                <w:rFonts w:hint="eastAsia" w:ascii="宋体" w:hAnsi="宋体" w:eastAsia="宋体" w:cs="宋体"/>
                <w:sz w:val="24"/>
              </w:rPr>
            </w:pPr>
            <w:r>
              <w:rPr>
                <w:rFonts w:hint="eastAsia" w:ascii="宋体" w:hAnsi="宋体" w:eastAsia="宋体" w:cs="宋体"/>
                <w:sz w:val="24"/>
              </w:rPr>
              <w:t>4</w:t>
            </w:r>
          </w:p>
        </w:tc>
        <w:tc>
          <w:tcPr>
            <w:tcW w:w="7335" w:type="dxa"/>
            <w:noWrap w:val="0"/>
            <w:vAlign w:val="top"/>
          </w:tcPr>
          <w:p w14:paraId="6C6C27CC">
            <w:pPr>
              <w:spacing w:line="360" w:lineRule="auto"/>
              <w:rPr>
                <w:rFonts w:hint="eastAsia" w:ascii="宋体" w:hAnsi="宋体" w:eastAsia="宋体" w:cs="宋体"/>
                <w:sz w:val="24"/>
              </w:rPr>
            </w:pPr>
            <w:r>
              <w:rPr>
                <w:rFonts w:hint="eastAsia" w:ascii="宋体" w:hAnsi="宋体" w:eastAsia="宋体" w:cs="宋体"/>
                <w:sz w:val="24"/>
              </w:rPr>
              <w:t>医共体医保打包付费绩效管理配套系统</w:t>
            </w:r>
          </w:p>
        </w:tc>
      </w:tr>
      <w:tr w14:paraId="14493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05CE137A">
            <w:pPr>
              <w:spacing w:line="360" w:lineRule="auto"/>
              <w:rPr>
                <w:rFonts w:hint="eastAsia" w:ascii="宋体" w:hAnsi="宋体" w:eastAsia="宋体" w:cs="宋体"/>
                <w:sz w:val="24"/>
              </w:rPr>
            </w:pPr>
            <w:r>
              <w:rPr>
                <w:rFonts w:hint="eastAsia" w:ascii="宋体" w:hAnsi="宋体" w:eastAsia="宋体" w:cs="宋体"/>
                <w:sz w:val="24"/>
              </w:rPr>
              <w:t>4.1</w:t>
            </w:r>
          </w:p>
        </w:tc>
        <w:tc>
          <w:tcPr>
            <w:tcW w:w="7335" w:type="dxa"/>
            <w:noWrap w:val="0"/>
            <w:vAlign w:val="top"/>
          </w:tcPr>
          <w:p w14:paraId="299EFA8A">
            <w:pPr>
              <w:spacing w:line="360" w:lineRule="auto"/>
              <w:rPr>
                <w:rFonts w:hint="eastAsia" w:ascii="宋体" w:hAnsi="宋体" w:eastAsia="宋体" w:cs="宋体"/>
                <w:sz w:val="24"/>
              </w:rPr>
            </w:pPr>
            <w:r>
              <w:rPr>
                <w:rFonts w:hint="eastAsia" w:ascii="宋体" w:hAnsi="宋体" w:eastAsia="宋体" w:cs="宋体"/>
                <w:sz w:val="24"/>
              </w:rPr>
              <w:t>医共体绩效管理系统</w:t>
            </w:r>
          </w:p>
        </w:tc>
      </w:tr>
      <w:tr w14:paraId="03CAC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noWrap w:val="0"/>
            <w:vAlign w:val="top"/>
          </w:tcPr>
          <w:p w14:paraId="7F4C3556">
            <w:pPr>
              <w:spacing w:line="360" w:lineRule="auto"/>
              <w:rPr>
                <w:rFonts w:hint="eastAsia" w:ascii="宋体" w:hAnsi="宋体" w:eastAsia="宋体" w:cs="宋体"/>
                <w:sz w:val="24"/>
              </w:rPr>
            </w:pPr>
            <w:r>
              <w:rPr>
                <w:rFonts w:hint="eastAsia" w:ascii="宋体" w:hAnsi="宋体" w:eastAsia="宋体" w:cs="宋体"/>
                <w:sz w:val="24"/>
              </w:rPr>
              <w:t>4.2</w:t>
            </w:r>
          </w:p>
        </w:tc>
        <w:tc>
          <w:tcPr>
            <w:tcW w:w="7335" w:type="dxa"/>
            <w:noWrap w:val="0"/>
            <w:vAlign w:val="top"/>
          </w:tcPr>
          <w:p w14:paraId="6F9C7AAA">
            <w:pPr>
              <w:spacing w:line="360" w:lineRule="auto"/>
              <w:rPr>
                <w:rFonts w:hint="eastAsia" w:ascii="宋体" w:hAnsi="宋体" w:eastAsia="宋体" w:cs="宋体"/>
                <w:sz w:val="24"/>
              </w:rPr>
            </w:pPr>
            <w:r>
              <w:rPr>
                <w:rFonts w:hint="eastAsia" w:ascii="宋体" w:hAnsi="宋体" w:eastAsia="宋体" w:cs="宋体"/>
                <w:sz w:val="24"/>
              </w:rPr>
              <w:t>医共体绩效二次分配收集系统</w:t>
            </w:r>
          </w:p>
        </w:tc>
      </w:tr>
    </w:tbl>
    <w:p w14:paraId="2E61D0B7">
      <w:pPr>
        <w:widowControl/>
        <w:spacing w:line="360" w:lineRule="auto"/>
        <w:jc w:val="left"/>
        <w:outlineLvl w:val="2"/>
        <w:rPr>
          <w:rFonts w:hint="eastAsia" w:ascii="宋体" w:hAnsi="宋体" w:eastAsia="宋体" w:cs="宋体"/>
          <w:b/>
          <w:bCs/>
          <w:color w:val="000000"/>
          <w:kern w:val="0"/>
          <w:sz w:val="24"/>
          <w:lang w:bidi="ar"/>
        </w:rPr>
      </w:pPr>
      <w:r>
        <w:rPr>
          <w:rFonts w:hint="eastAsia" w:ascii="宋体" w:hAnsi="宋体" w:eastAsia="宋体" w:cs="宋体"/>
          <w:b/>
          <w:bCs/>
          <w:color w:val="000000"/>
          <w:kern w:val="0"/>
          <w:sz w:val="24"/>
          <w:lang w:bidi="ar"/>
        </w:rPr>
        <w:t>三、技术要求</w:t>
      </w:r>
    </w:p>
    <w:p w14:paraId="2946D766">
      <w:pPr>
        <w:widowControl/>
        <w:jc w:val="left"/>
        <w:rPr>
          <w:rFonts w:hint="eastAsia" w:ascii="宋体" w:hAnsi="宋体" w:eastAsia="宋体" w:cs="宋体"/>
        </w:rPr>
      </w:pPr>
      <w:r>
        <w:rPr>
          <w:rFonts w:hint="eastAsia" w:ascii="宋体" w:hAnsi="宋体" w:eastAsia="宋体" w:cs="宋体"/>
          <w:b/>
          <w:bCs/>
          <w:color w:val="000000"/>
          <w:kern w:val="0"/>
          <w:sz w:val="24"/>
          <w:lang w:bidi="ar"/>
        </w:rPr>
        <w:t xml:space="preserve">（一）医共体“治理-资源-绩效”一体化运行体系 </w:t>
      </w:r>
    </w:p>
    <w:p w14:paraId="647D33EE">
      <w:pPr>
        <w:widowControl/>
        <w:jc w:val="left"/>
        <w:rPr>
          <w:rFonts w:hint="eastAsia" w:ascii="宋体" w:hAnsi="宋体" w:eastAsia="宋体" w:cs="宋体"/>
        </w:rPr>
      </w:pPr>
      <w:r>
        <w:rPr>
          <w:rFonts w:hint="eastAsia" w:ascii="宋体" w:hAnsi="宋体" w:eastAsia="宋体" w:cs="宋体"/>
          <w:b/>
          <w:bCs/>
          <w:color w:val="000000"/>
          <w:kern w:val="0"/>
          <w:sz w:val="24"/>
          <w:lang w:bidi="ar"/>
        </w:rPr>
        <w:t xml:space="preserve">1.整体要求 </w:t>
      </w:r>
    </w:p>
    <w:p w14:paraId="06EAB4A5">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本项目建设要求基于医院现有信息化系统，咨询服务需深入调研医共体现行运营与医保支付情况，基于“医疗中心管理制”核心理念，设计完整的绩效改革方案。</w:t>
      </w:r>
    </w:p>
    <w:p w14:paraId="7EE4E915">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建立权责清晰、协同高效、上下贯通的治理与分工机制，形成总医院统筹、相关管理单元协同、院区和分院执行、医疗中心联动的运行体系。</w:t>
      </w:r>
    </w:p>
    <w:p w14:paraId="2318B191">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建立覆盖总院、医疗中心、院区和分院的人力资源统筹配置机制，逐步完善岗位设置、编制动态调整、人才下沉、柔性流动和人员优化配置等管理机制。</w:t>
      </w:r>
    </w:p>
    <w:p w14:paraId="6FD624A3">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建立统一的资金统筹、预算管理、支付改革和风险防控机制，提升资源配置效率和资金使用效益。</w:t>
      </w:r>
    </w:p>
    <w:p w14:paraId="30F04D8C">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建立以病种工作量评价为基础，以医保“打包”付费为背景、以“医疗中心”为管理核心、以“病种价值”为导向，统筹效率、质量、成本的绩效评价和分配体系，兼顾关键业绩指标和直接成本管控体系，实现绩效分配的公平性，符合国家医疗机构工作人员廉洁从业九项准则要求，体现多劳多得，优绩优酬，保证医院的公益性要求。 </w:t>
      </w:r>
    </w:p>
    <w:p w14:paraId="066DA3D1">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 xml:space="preserve">全面调查了解医院现行运营管理模式，根据医院发展需求，通过科室情况调研、信息化情况调研等内容，结合医院绩效运行实际进行分析，从而发现医院运营管理中存在的不足，提出绩效管理改进建议，形成调研分析报告,且有针对性地制订绩效管理优化提升方案。如新院区、新科室等，提供绩效和核算方案调整的咨询服务，为医院多院区发展提供合理化建议。 </w:t>
      </w:r>
    </w:p>
    <w:p w14:paraId="11AD1FCF">
      <w:pPr>
        <w:widowControl/>
        <w:spacing w:line="360" w:lineRule="auto"/>
        <w:ind w:firstLine="480" w:firstLineChars="200"/>
        <w:jc w:val="left"/>
        <w:rPr>
          <w:rStyle w:val="13"/>
          <w:rFonts w:hint="eastAsia" w:ascii="宋体" w:hAnsi="宋体" w:eastAsia="宋体" w:cs="宋体"/>
          <w:b w:val="0"/>
          <w:bCs w:val="0"/>
          <w:color w:val="1F2329"/>
          <w:sz w:val="24"/>
        </w:rPr>
      </w:pPr>
      <w:r>
        <w:rPr>
          <w:rStyle w:val="13"/>
          <w:rFonts w:hint="eastAsia" w:ascii="宋体" w:hAnsi="宋体" w:eastAsia="宋体" w:cs="宋体"/>
          <w:b w:val="0"/>
          <w:bCs w:val="0"/>
          <w:color w:val="1F2329"/>
          <w:sz w:val="24"/>
        </w:rPr>
        <w:t>满足省医共体平台标准规定、接口开发、数据治理，精准把握江西省紧密型县域医共体薪酬管理相关要求，熟悉江西各地市医共体建设特点，确保系统建设贴合政策导向，助力医共体落实 “八统一” 管理及薪酬制度改革；</w:t>
      </w:r>
    </w:p>
    <w:p w14:paraId="552205D4">
      <w:pPr>
        <w:widowControl/>
        <w:spacing w:line="360" w:lineRule="auto"/>
        <w:ind w:firstLine="480" w:firstLineChars="200"/>
        <w:jc w:val="left"/>
        <w:rPr>
          <w:rStyle w:val="13"/>
          <w:rFonts w:hint="eastAsia" w:ascii="宋体" w:hAnsi="宋体" w:eastAsia="宋体" w:cs="宋体"/>
          <w:b w:val="0"/>
          <w:bCs w:val="0"/>
          <w:color w:val="1F2329"/>
          <w:sz w:val="24"/>
        </w:rPr>
      </w:pPr>
      <w:r>
        <w:rPr>
          <w:rStyle w:val="13"/>
          <w:rFonts w:hint="eastAsia" w:ascii="宋体" w:hAnsi="宋体" w:eastAsia="宋体" w:cs="宋体"/>
          <w:b w:val="0"/>
          <w:bCs w:val="0"/>
          <w:color w:val="1F2329"/>
          <w:sz w:val="24"/>
        </w:rPr>
        <w:t>满足江西省医共体平台全量接口规范，可快速对接医共体现有各类业务系统及省级平台，避免数据重复录入，降低实施难度；</w:t>
      </w:r>
    </w:p>
    <w:p w14:paraId="4BD9D9D6">
      <w:pPr>
        <w:widowControl/>
        <w:spacing w:line="360" w:lineRule="auto"/>
        <w:jc w:val="left"/>
        <w:rPr>
          <w:rFonts w:hint="eastAsia" w:ascii="宋体" w:hAnsi="宋体" w:eastAsia="宋体" w:cs="宋体"/>
          <w:b/>
          <w:bCs/>
          <w:color w:val="000000"/>
          <w:kern w:val="0"/>
          <w:sz w:val="24"/>
          <w:lang w:bidi="ar"/>
        </w:rPr>
      </w:pPr>
      <w:r>
        <w:rPr>
          <w:rFonts w:hint="eastAsia" w:ascii="宋体" w:hAnsi="宋体" w:eastAsia="宋体" w:cs="宋体"/>
          <w:b/>
          <w:bCs/>
          <w:color w:val="000000"/>
          <w:kern w:val="0"/>
          <w:sz w:val="24"/>
          <w:lang w:bidi="ar"/>
        </w:rPr>
        <w:t>2. 医共体组织架构与权责体系设计与咨询服务</w:t>
      </w:r>
    </w:p>
    <w:p w14:paraId="41E9C4D7">
      <w:pPr>
        <w:widowControl/>
        <w:spacing w:line="360" w:lineRule="auto"/>
        <w:jc w:val="left"/>
        <w:rPr>
          <w:rFonts w:hint="eastAsia" w:ascii="宋体" w:hAnsi="宋体" w:eastAsia="宋体" w:cs="宋体"/>
          <w:b/>
          <w:bCs/>
          <w:color w:val="000000"/>
          <w:kern w:val="0"/>
          <w:sz w:val="24"/>
          <w:lang w:bidi="ar"/>
        </w:rPr>
      </w:pPr>
      <w:r>
        <w:rPr>
          <w:rFonts w:hint="eastAsia" w:ascii="宋体" w:hAnsi="宋体" w:eastAsia="宋体" w:cs="宋体"/>
          <w:b/>
          <w:bCs/>
          <w:color w:val="000000"/>
          <w:kern w:val="0"/>
          <w:sz w:val="24"/>
          <w:lang w:bidi="ar"/>
        </w:rPr>
        <w:t>2.1.组织架构设计要求</w:t>
      </w:r>
    </w:p>
    <w:p w14:paraId="5FF8ED60">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提出与医共体运行相适应的总体组织架构优化方案，原则上应覆盖总医院、相关管理中心、成员单位及医疗中心等层级，并明确各层级职能定位、管理权限、责任边界和运行关系。</w:t>
      </w:r>
    </w:p>
    <w:p w14:paraId="62872B36">
      <w:pPr>
        <w:widowControl/>
        <w:spacing w:line="360" w:lineRule="auto"/>
        <w:jc w:val="left"/>
        <w:rPr>
          <w:rFonts w:hint="eastAsia" w:ascii="宋体" w:hAnsi="宋体" w:eastAsia="宋体" w:cs="宋体"/>
          <w:b/>
          <w:bCs/>
          <w:color w:val="000000"/>
          <w:kern w:val="0"/>
          <w:sz w:val="24"/>
          <w:lang w:bidi="ar"/>
        </w:rPr>
      </w:pPr>
      <w:r>
        <w:rPr>
          <w:rFonts w:hint="eastAsia" w:ascii="宋体" w:hAnsi="宋体" w:eastAsia="宋体" w:cs="宋体"/>
          <w:b/>
          <w:bCs/>
          <w:color w:val="000000"/>
          <w:kern w:val="0"/>
          <w:sz w:val="24"/>
          <w:lang w:bidi="ar"/>
        </w:rPr>
        <w:t>2.2. 总院职能管理中心权责设计要求</w:t>
      </w:r>
    </w:p>
    <w:p w14:paraId="31EFF165">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设计方案必须对“一办N中心”的每一个职能管理中心（如人力资源管理中心、财务管理中心等）进行清晰的功能定位与核心权责清单设计。各中心的权责界定必须与“统出效率”的原则严格对应，明确其代表医共体进行统一管理、制定标准、实施考核的具体事项、权限范围与决策流程，确保权责无交叉、无遗漏，实现化、同质化运营的管理目标。</w:t>
      </w:r>
    </w:p>
    <w:p w14:paraId="5F856980">
      <w:pPr>
        <w:widowControl/>
        <w:spacing w:line="360" w:lineRule="auto"/>
        <w:jc w:val="left"/>
        <w:rPr>
          <w:rFonts w:hint="eastAsia" w:ascii="宋体" w:hAnsi="宋体" w:eastAsia="宋体" w:cs="宋体"/>
          <w:b/>
          <w:bCs/>
          <w:color w:val="000000"/>
          <w:kern w:val="0"/>
          <w:sz w:val="24"/>
          <w:lang w:bidi="ar"/>
        </w:rPr>
      </w:pPr>
      <w:r>
        <w:rPr>
          <w:rFonts w:hint="eastAsia" w:ascii="宋体" w:hAnsi="宋体" w:eastAsia="宋体" w:cs="宋体"/>
          <w:b/>
          <w:bCs/>
          <w:color w:val="000000"/>
          <w:kern w:val="0"/>
          <w:sz w:val="24"/>
          <w:lang w:bidi="ar"/>
        </w:rPr>
        <w:t>2.3.总院职能管理中心决策机制与协同流程设计要求</w:t>
      </w:r>
    </w:p>
    <w:p w14:paraId="252E3488">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需编制《医共体权责清单》及《重大事项决策流程图》，明确各类事项的发起、审核、决策、执行主体与时限。</w:t>
      </w:r>
    </w:p>
    <w:p w14:paraId="7D08677C">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为核心业务流程（如双向转诊、统一采购、医保结算、人员派驻）设计端到端的标准化流程（SOP），确保流程可执行、可追溯。</w:t>
      </w:r>
    </w:p>
    <w:p w14:paraId="59E81B70">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设计的联席会议、派驻机制、数据决策等协同机制，需有明确的触发条件、参与主体和输出成果定义。</w:t>
      </w:r>
    </w:p>
    <w:p w14:paraId="34950A75">
      <w:pPr>
        <w:widowControl/>
        <w:spacing w:line="360" w:lineRule="auto"/>
        <w:jc w:val="left"/>
        <w:rPr>
          <w:rFonts w:hint="eastAsia" w:ascii="宋体" w:hAnsi="宋体" w:eastAsia="宋体" w:cs="宋体"/>
          <w:b/>
          <w:bCs/>
          <w:color w:val="000000"/>
          <w:kern w:val="0"/>
          <w:sz w:val="24"/>
          <w:lang w:bidi="ar"/>
        </w:rPr>
      </w:pPr>
      <w:r>
        <w:rPr>
          <w:rFonts w:hint="eastAsia" w:ascii="宋体" w:hAnsi="宋体" w:eastAsia="宋体" w:cs="宋体"/>
          <w:b/>
          <w:bCs/>
          <w:color w:val="000000"/>
          <w:kern w:val="0"/>
          <w:sz w:val="24"/>
          <w:lang w:bidi="ar"/>
        </w:rPr>
        <w:t>3.</w:t>
      </w:r>
      <w:r>
        <w:rPr>
          <w:rFonts w:hint="eastAsia" w:ascii="宋体" w:hAnsi="宋体" w:eastAsia="宋体" w:cs="宋体"/>
        </w:rPr>
        <w:t xml:space="preserve"> </w:t>
      </w:r>
      <w:r>
        <w:rPr>
          <w:rFonts w:hint="eastAsia" w:ascii="宋体" w:hAnsi="宋体" w:eastAsia="宋体" w:cs="宋体"/>
          <w:b/>
          <w:bCs/>
          <w:color w:val="000000"/>
          <w:kern w:val="0"/>
          <w:sz w:val="24"/>
          <w:lang w:bidi="ar"/>
        </w:rPr>
        <w:t>医共体资金统筹与医保支付机制设计与咨询服务</w:t>
      </w:r>
    </w:p>
    <w:p w14:paraId="55BEFDC4">
      <w:pPr>
        <w:widowControl/>
        <w:spacing w:line="360" w:lineRule="auto"/>
        <w:jc w:val="left"/>
        <w:rPr>
          <w:rFonts w:hint="eastAsia" w:ascii="宋体" w:hAnsi="宋体" w:eastAsia="宋体" w:cs="宋体"/>
          <w:sz w:val="24"/>
        </w:rPr>
      </w:pPr>
      <w:r>
        <w:rPr>
          <w:rFonts w:hint="eastAsia" w:ascii="宋体" w:hAnsi="宋体" w:eastAsia="宋体" w:cs="宋体"/>
          <w:b/>
          <w:bCs/>
          <w:color w:val="000000"/>
          <w:kern w:val="0"/>
          <w:sz w:val="24"/>
          <w:lang w:bidi="ar"/>
        </w:rPr>
        <w:t>3.1.</w:t>
      </w:r>
      <w:r>
        <w:rPr>
          <w:rFonts w:hint="eastAsia" w:ascii="宋体" w:hAnsi="宋体" w:eastAsia="宋体" w:cs="宋体"/>
        </w:rPr>
        <w:t xml:space="preserve"> </w:t>
      </w:r>
      <w:r>
        <w:rPr>
          <w:rFonts w:hint="eastAsia" w:ascii="宋体" w:hAnsi="宋体" w:eastAsia="宋体" w:cs="宋体"/>
          <w:b/>
          <w:bCs/>
          <w:color w:val="000000"/>
          <w:kern w:val="0"/>
          <w:sz w:val="24"/>
          <w:lang w:bidi="ar"/>
        </w:rPr>
        <w:t xml:space="preserve">资金统筹整合方案设计要求 </w:t>
      </w:r>
    </w:p>
    <w:p w14:paraId="2087BE5B">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设计的资金池整合方案必须路径清晰、权责分明。需明确资金归集的具体操作流程、账户管理方案、与银行机构的协作模式。确保既能满足医共体整体“一本账”管理，又能清晰反映各成员单位运营成果。</w:t>
      </w:r>
    </w:p>
    <w:p w14:paraId="18494E78">
      <w:pPr>
        <w:widowControl/>
        <w:spacing w:line="360" w:lineRule="auto"/>
        <w:jc w:val="left"/>
        <w:rPr>
          <w:rFonts w:hint="eastAsia" w:ascii="宋体" w:hAnsi="宋体" w:eastAsia="宋体" w:cs="宋体"/>
          <w:sz w:val="24"/>
        </w:rPr>
      </w:pPr>
      <w:r>
        <w:rPr>
          <w:rFonts w:hint="eastAsia" w:ascii="宋体" w:hAnsi="宋体" w:eastAsia="宋体" w:cs="宋体"/>
          <w:b/>
          <w:bCs/>
          <w:color w:val="000000"/>
          <w:kern w:val="0"/>
          <w:sz w:val="24"/>
          <w:lang w:bidi="ar"/>
        </w:rPr>
        <w:t>3.2.</w:t>
      </w:r>
      <w:r>
        <w:rPr>
          <w:rFonts w:hint="eastAsia" w:ascii="宋体" w:hAnsi="宋体" w:eastAsia="宋体" w:cs="宋体"/>
        </w:rPr>
        <w:t xml:space="preserve"> </w:t>
      </w:r>
      <w:r>
        <w:rPr>
          <w:rFonts w:hint="eastAsia" w:ascii="宋体" w:hAnsi="宋体" w:eastAsia="宋体" w:cs="宋体"/>
          <w:b/>
          <w:bCs/>
          <w:color w:val="000000"/>
          <w:kern w:val="0"/>
          <w:sz w:val="24"/>
          <w:lang w:bidi="ar"/>
        </w:rPr>
        <w:t>绩效预算管理体系设计要求</w:t>
      </w:r>
    </w:p>
    <w:p w14:paraId="28A6443B">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设计绩效预算管理体系需明确每一层级的审议事项、审批权限和决策流程。提供的预算核心指标库需紧密结合医共体战略目标（如分级诊疗、费用控制、健康改善），涵盖医疗、公卫、成本、效率等多维度，并说明关键指标的测算方法与数据来源。预算流程设计必须具象化，能够直接指导年度预算工作的开展。</w:t>
      </w:r>
    </w:p>
    <w:p w14:paraId="1B60C449">
      <w:pPr>
        <w:widowControl/>
        <w:spacing w:line="360" w:lineRule="auto"/>
        <w:jc w:val="left"/>
        <w:rPr>
          <w:rFonts w:hint="eastAsia" w:ascii="宋体" w:hAnsi="宋体" w:eastAsia="宋体" w:cs="宋体"/>
          <w:b/>
          <w:bCs/>
          <w:color w:val="000000"/>
          <w:kern w:val="0"/>
          <w:sz w:val="24"/>
          <w:lang w:bidi="ar"/>
        </w:rPr>
      </w:pPr>
      <w:r>
        <w:rPr>
          <w:rFonts w:hint="eastAsia" w:ascii="宋体" w:hAnsi="宋体" w:eastAsia="宋体" w:cs="宋体"/>
          <w:b/>
          <w:bCs/>
          <w:color w:val="000000"/>
          <w:kern w:val="0"/>
          <w:sz w:val="24"/>
          <w:lang w:bidi="ar"/>
        </w:rPr>
        <w:t>3.3. 内部资金分配与管理设计要求</w:t>
      </w:r>
    </w:p>
    <w:p w14:paraId="53EE5311">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基于本地政策，详细设计医保基金“总额打包、结余留用、超支分担”的协议管理、月度预付、年度清算的全套操作流程、核算办法及与医保部门的对接机制。</w:t>
      </w:r>
    </w:p>
    <w:p w14:paraId="346E8506">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设计医保打包资金在医共体内部向成员单位（特别是基层）进行倾斜性分配的具体模型、拨付规则与考核挂钩机制。必须详细设计“结余留用资金”用于人员绩效分配的方案，明确分配原则、比例、与绩效体系的衔接方式，并落实“两个允许”政策，确保激励向一线和骨干倾斜。</w:t>
      </w:r>
    </w:p>
    <w:p w14:paraId="1FB4353E">
      <w:pPr>
        <w:widowControl/>
        <w:spacing w:line="360" w:lineRule="auto"/>
        <w:jc w:val="left"/>
        <w:rPr>
          <w:rFonts w:hint="eastAsia" w:ascii="宋体" w:hAnsi="宋体" w:eastAsia="宋体" w:cs="宋体"/>
          <w:sz w:val="24"/>
        </w:rPr>
      </w:pPr>
      <w:r>
        <w:rPr>
          <w:rFonts w:hint="eastAsia" w:ascii="宋体" w:hAnsi="宋体" w:eastAsia="宋体" w:cs="宋体"/>
          <w:b/>
          <w:bCs/>
          <w:color w:val="000000"/>
          <w:kern w:val="0"/>
          <w:sz w:val="24"/>
          <w:lang w:bidi="ar"/>
        </w:rPr>
        <w:t>3.4.</w:t>
      </w:r>
      <w:r>
        <w:rPr>
          <w:rFonts w:hint="eastAsia" w:ascii="宋体" w:hAnsi="宋体" w:eastAsia="宋体" w:cs="宋体"/>
        </w:rPr>
        <w:t xml:space="preserve"> </w:t>
      </w:r>
      <w:r>
        <w:rPr>
          <w:rFonts w:hint="eastAsia" w:ascii="宋体" w:hAnsi="宋体" w:eastAsia="宋体" w:cs="宋体"/>
          <w:b/>
          <w:bCs/>
          <w:color w:val="000000"/>
          <w:kern w:val="0"/>
          <w:sz w:val="24"/>
          <w:lang w:bidi="ar"/>
        </w:rPr>
        <w:t>风险防控与监管机制设计要求</w:t>
      </w:r>
    </w:p>
    <w:p w14:paraId="6DC8D0ED">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需构建覆盖关键领域、贯穿资金使用全过程的立体化风控体系。</w:t>
      </w:r>
    </w:p>
    <w:p w14:paraId="53C48232">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针对财务、采购等高危领域，需设计“一权一策”的权力运行流程图和禁止性清单。</w:t>
      </w:r>
    </w:p>
    <w:p w14:paraId="29A36C13">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建立全过程绩效管理机制，明确绩效评价结果与预算安排、资金分配、薪酬待遇的刚性联动规则。</w:t>
      </w:r>
    </w:p>
    <w:p w14:paraId="5B0A5842">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设计由财务管理中心统筹的、定期与专项结合的内部审计监督制度，明确审计重点、流程、问题整改与问责闭环，以强化资金监管、防范财务风险。</w:t>
      </w:r>
    </w:p>
    <w:p w14:paraId="6E62EC1C">
      <w:pPr>
        <w:widowControl/>
        <w:spacing w:line="360" w:lineRule="auto"/>
        <w:jc w:val="left"/>
        <w:rPr>
          <w:rFonts w:hint="eastAsia" w:ascii="宋体" w:hAnsi="宋体" w:eastAsia="宋体" w:cs="宋体"/>
          <w:b/>
          <w:bCs/>
          <w:color w:val="000000"/>
          <w:kern w:val="0"/>
          <w:sz w:val="24"/>
          <w:lang w:bidi="ar"/>
        </w:rPr>
      </w:pPr>
      <w:r>
        <w:rPr>
          <w:rFonts w:hint="eastAsia" w:ascii="宋体" w:hAnsi="宋体" w:eastAsia="宋体" w:cs="宋体"/>
          <w:b/>
          <w:bCs/>
          <w:color w:val="000000"/>
          <w:kern w:val="0"/>
          <w:sz w:val="24"/>
          <w:lang w:bidi="ar"/>
        </w:rPr>
        <w:t>4.</w:t>
      </w:r>
      <w:r>
        <w:rPr>
          <w:rFonts w:hint="eastAsia" w:ascii="宋体" w:hAnsi="宋体" w:eastAsia="宋体" w:cs="宋体"/>
        </w:rPr>
        <w:t xml:space="preserve"> </w:t>
      </w:r>
      <w:r>
        <w:rPr>
          <w:rFonts w:hint="eastAsia" w:ascii="宋体" w:hAnsi="宋体" w:eastAsia="宋体" w:cs="宋体"/>
          <w:b/>
          <w:bCs/>
          <w:color w:val="000000"/>
          <w:kern w:val="0"/>
          <w:sz w:val="24"/>
          <w:lang w:bidi="ar"/>
        </w:rPr>
        <w:t>基于医保打包付费的绩效管理顶层设计与咨询服务</w:t>
      </w:r>
    </w:p>
    <w:p w14:paraId="17DDF638">
      <w:pPr>
        <w:widowControl/>
        <w:spacing w:line="360" w:lineRule="auto"/>
        <w:jc w:val="left"/>
        <w:rPr>
          <w:rFonts w:hint="eastAsia" w:ascii="宋体" w:hAnsi="宋体" w:eastAsia="宋体" w:cs="宋体"/>
          <w:sz w:val="24"/>
        </w:rPr>
      </w:pPr>
      <w:r>
        <w:rPr>
          <w:rFonts w:hint="eastAsia" w:ascii="宋体" w:hAnsi="宋体" w:eastAsia="宋体" w:cs="宋体"/>
          <w:b/>
          <w:bCs/>
          <w:color w:val="000000"/>
          <w:kern w:val="0"/>
          <w:sz w:val="24"/>
          <w:lang w:bidi="ar"/>
        </w:rPr>
        <w:t>4.1.</w:t>
      </w:r>
      <w:r>
        <w:rPr>
          <w:rFonts w:hint="eastAsia" w:ascii="宋体" w:hAnsi="宋体" w:eastAsia="宋体" w:cs="宋体"/>
        </w:rPr>
        <w:t xml:space="preserve"> </w:t>
      </w:r>
      <w:r>
        <w:rPr>
          <w:rFonts w:hint="eastAsia" w:ascii="宋体" w:hAnsi="宋体" w:eastAsia="宋体" w:cs="宋体"/>
          <w:b/>
          <w:bCs/>
          <w:color w:val="000000"/>
          <w:kern w:val="0"/>
          <w:sz w:val="24"/>
          <w:lang w:bidi="ar"/>
        </w:rPr>
        <w:t xml:space="preserve">医共体绩效总额预算与动态调整模型设计要求 </w:t>
      </w:r>
    </w:p>
    <w:p w14:paraId="3DAD36D7">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设计科学的医共体年度绩效工资总额预算模型，计提基数基于医共体医保“打包”付费总额与患者自费总额中的医务性收入部分，确保绩效总额不超预算。需设计动态调整机制，支持在年度中根据医保清算情况及业务变化进行预算调整。 </w:t>
      </w:r>
    </w:p>
    <w:p w14:paraId="7BCBA565">
      <w:pPr>
        <w:widowControl/>
        <w:spacing w:line="360" w:lineRule="auto"/>
        <w:jc w:val="left"/>
        <w:rPr>
          <w:rFonts w:hint="eastAsia" w:ascii="宋体" w:hAnsi="宋体" w:eastAsia="宋体" w:cs="宋体"/>
          <w:b/>
          <w:bCs/>
          <w:color w:val="000000"/>
          <w:kern w:val="0"/>
          <w:sz w:val="24"/>
          <w:lang w:bidi="ar"/>
        </w:rPr>
      </w:pPr>
      <w:r>
        <w:rPr>
          <w:rFonts w:hint="eastAsia" w:ascii="宋体" w:hAnsi="宋体" w:eastAsia="宋体" w:cs="宋体"/>
          <w:b/>
          <w:bCs/>
          <w:color w:val="000000"/>
          <w:kern w:val="0"/>
          <w:sz w:val="24"/>
          <w:lang w:bidi="ar"/>
        </w:rPr>
        <w:t>4.2. 医疗中心管理与绩效考核方案设计要求</w:t>
      </w:r>
    </w:p>
    <w:p w14:paraId="07CAD214">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设计的“医疗中心”管理方案必须详细规划从现有院区科室制向总院中心制平稳过渡的整合路径、阶段划分与资源（设备、床位）配置原则，并清晰界定医疗中心与所属院区在行政管理及业务运营上的权责边界。“人员一体化管理”机制应明确“核心专家层”与“基础医疗层”的划分标准，制定双方在排班协作、业务指导与质量监控方面的协同流程与权责清单。同时，需明确“医疗中心运营助理”岗位的核心职责、任职要求，并规范其在运营数据分析中需输出的标准报告模板。</w:t>
      </w:r>
    </w:p>
    <w:p w14:paraId="4A63BD85">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绩效核算应建立以跨院区医疗中心为考核单元的方法：医师绩效基于其收治病例的“病种绩效总点数”（融合DIP/DRG权重与RBRVS点值评估），并叠加手术/操作等级激励；护理绩效则基于RBRVS工作量绩效分与结合CMI值的护理风险绩效分。此外，需提供医疗中心内部二次分配的指导方案，确保医疗中心主任能依据岗位价值、实际工作量与贡献度等因素进行合理内部分配，有效避免平均主义。</w:t>
      </w:r>
    </w:p>
    <w:p w14:paraId="675FB4B9">
      <w:pPr>
        <w:widowControl/>
        <w:spacing w:line="360" w:lineRule="auto"/>
        <w:jc w:val="left"/>
        <w:rPr>
          <w:rFonts w:hint="eastAsia" w:ascii="宋体" w:hAnsi="宋体" w:eastAsia="宋体" w:cs="宋体"/>
          <w:sz w:val="24"/>
        </w:rPr>
      </w:pPr>
      <w:r>
        <w:rPr>
          <w:rFonts w:hint="eastAsia" w:ascii="宋体" w:hAnsi="宋体" w:eastAsia="宋体" w:cs="宋体"/>
          <w:b/>
          <w:bCs/>
          <w:color w:val="000000"/>
          <w:kern w:val="0"/>
          <w:sz w:val="24"/>
          <w:lang w:bidi="ar"/>
        </w:rPr>
        <w:t>4.3.</w:t>
      </w:r>
      <w:r>
        <w:rPr>
          <w:rFonts w:hint="eastAsia" w:ascii="宋体" w:hAnsi="宋体" w:eastAsia="宋体" w:cs="宋体"/>
        </w:rPr>
        <w:t xml:space="preserve"> </w:t>
      </w:r>
      <w:r>
        <w:rPr>
          <w:rFonts w:hint="eastAsia" w:ascii="宋体" w:hAnsi="宋体" w:eastAsia="宋体" w:cs="宋体"/>
          <w:b/>
          <w:bCs/>
          <w:color w:val="000000"/>
          <w:kern w:val="0"/>
          <w:sz w:val="24"/>
          <w:lang w:bidi="ar"/>
        </w:rPr>
        <w:t>成员单位（分院）绩效考核方案与机构系数设计要求</w:t>
      </w:r>
    </w:p>
    <w:p w14:paraId="2B576C77">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方案设计并量化应用“机构系数”。系数模型需综合考虑各分院的服务人口、地理复杂度、人力资源、设备条件、职能定位等多维度因素，用于调节因客观条件不同造成的绩效核算偏差，并明确设立以上年度实发绩效80%为基准的“托底”保障机制。分院绩效整合医疗绩效、公卫绩效及结余绩效。</w:t>
      </w:r>
    </w:p>
    <w:p w14:paraId="747EAAF8">
      <w:pPr>
        <w:widowControl/>
        <w:spacing w:line="360" w:lineRule="auto"/>
        <w:jc w:val="left"/>
        <w:rPr>
          <w:rFonts w:hint="eastAsia" w:ascii="宋体" w:hAnsi="宋体" w:eastAsia="宋体" w:cs="宋体"/>
          <w:b/>
          <w:bCs/>
          <w:color w:val="000000"/>
          <w:kern w:val="0"/>
          <w:sz w:val="24"/>
          <w:lang w:bidi="ar"/>
        </w:rPr>
      </w:pPr>
      <w:r>
        <w:rPr>
          <w:rFonts w:hint="eastAsia" w:ascii="宋体" w:hAnsi="宋体" w:eastAsia="宋体" w:cs="宋体"/>
          <w:b/>
          <w:bCs/>
          <w:color w:val="000000"/>
          <w:kern w:val="0"/>
          <w:sz w:val="24"/>
          <w:lang w:bidi="ar"/>
        </w:rPr>
        <w:t xml:space="preserve">4.4. 病种绩效点数与可控成本包设计要求 </w:t>
      </w:r>
    </w:p>
    <w:p w14:paraId="364B11DF">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建立DIP/DRG病组与绩效点数的映射关系库，将RBRVS理念转化为病种层面的价值衡量工具。为关键DRG组设定“可控成本包”，</w:t>
      </w:r>
      <w:r>
        <w:rPr>
          <w:rFonts w:hint="eastAsia" w:ascii="宋体" w:hAnsi="宋体" w:eastAsia="宋体" w:cs="宋体"/>
        </w:rPr>
        <w:t xml:space="preserve"> </w:t>
      </w:r>
      <w:r>
        <w:rPr>
          <w:rFonts w:hint="eastAsia" w:ascii="宋体" w:hAnsi="宋体" w:eastAsia="宋体" w:cs="宋体"/>
          <w:color w:val="000000"/>
          <w:kern w:val="0"/>
          <w:sz w:val="24"/>
          <w:lang w:bidi="ar"/>
        </w:rPr>
        <w:t>明确检查、化验、药品、卫生材料等核心可变成本的消耗定额。并设计配套的成本异常病例专家评议制度流程，明确评议团队组成、裁决标准，并将评议结果转化为具体的绩效奖惩系数，嵌入核算体系，从而引导临床诊疗行为合理化、规范化，将原来医保结算超支事后扣款处罚举措改为事前、事中的可控成本管控机制。</w:t>
      </w:r>
    </w:p>
    <w:p w14:paraId="04734873">
      <w:pPr>
        <w:widowControl/>
        <w:spacing w:line="360" w:lineRule="auto"/>
        <w:jc w:val="left"/>
        <w:rPr>
          <w:rFonts w:hint="eastAsia" w:ascii="宋体" w:hAnsi="宋体" w:eastAsia="宋体" w:cs="宋体"/>
          <w:b/>
          <w:bCs/>
          <w:color w:val="000000"/>
          <w:kern w:val="0"/>
          <w:sz w:val="24"/>
          <w:lang w:bidi="ar"/>
        </w:rPr>
      </w:pPr>
      <w:r>
        <w:rPr>
          <w:rFonts w:hint="eastAsia" w:ascii="宋体" w:hAnsi="宋体" w:eastAsia="宋体" w:cs="宋体"/>
          <w:b/>
          <w:bCs/>
          <w:color w:val="000000"/>
          <w:kern w:val="0"/>
          <w:sz w:val="24"/>
          <w:lang w:bidi="ar"/>
        </w:rPr>
        <w:t>4.5. 医保风险调节基金（绩效蓄水池）管理方案要求</w:t>
      </w:r>
    </w:p>
    <w:p w14:paraId="6C35EDE1">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设计“医保风险调节基金”（绩效蓄水池）的完整管理与运作方案。方案需详细规定该基金的计提来源（如从各成员单位年度绩效预算中按比例预留）、资金池管理规则、以及其在年度清算中的具体应用流程。该基金主要用于实现医共体内部的风险共担与“以丰补歉”，即在年度终末清算时，用于抵扣部分单位的超支亏损，并在基金有结余时，对表现优异或有结余的单位进行奖励，保障整体财务的稳定与可持续。</w:t>
      </w:r>
    </w:p>
    <w:p w14:paraId="1169799D">
      <w:pPr>
        <w:widowControl/>
        <w:spacing w:line="360" w:lineRule="auto"/>
        <w:jc w:val="left"/>
        <w:rPr>
          <w:rFonts w:hint="eastAsia" w:ascii="宋体" w:hAnsi="宋体" w:eastAsia="宋体" w:cs="宋体"/>
          <w:b/>
          <w:bCs/>
          <w:color w:val="000000"/>
          <w:kern w:val="0"/>
          <w:sz w:val="24"/>
          <w:lang w:bidi="ar"/>
        </w:rPr>
      </w:pPr>
      <w:r>
        <w:rPr>
          <w:rFonts w:hint="eastAsia" w:ascii="宋体" w:hAnsi="宋体" w:eastAsia="宋体" w:cs="宋体"/>
          <w:b/>
          <w:bCs/>
          <w:color w:val="000000"/>
          <w:kern w:val="0"/>
          <w:sz w:val="24"/>
          <w:lang w:bidi="ar"/>
        </w:rPr>
        <w:t>4.6. 双向转诊、五大资源共享中心考核方案设计要求</w:t>
      </w:r>
    </w:p>
    <w:p w14:paraId="34350A99">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双向转诊考核：设计双向转诊工作的专项考核方案。考核采用多维度方式，包括基于转诊单完整率、收治及时率等下转达标率等关键指标的月度量化评分，对流程执行情况的定期检查，对转诊病例指征符合性的专家抽查（双盲考核），以及对问题整改的追踪考核。</w:t>
      </w:r>
    </w:p>
    <w:p w14:paraId="723830C0">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五大资源共享中心考核：针对影像、心电等远程诊断等服务，设计绩效结算与考核机制。明确由申请分院按标准向总院支付专家诊断费，总院保障专家报酬。绩效考核聚焦效率与质量两大维度：对分院考核设备资源利用率；对总院诊断服务考核诊断及时率与报告准确率/质控达标率。最终绩效通过考核得分与绩效总金额挂钩结算。</w:t>
      </w:r>
    </w:p>
    <w:p w14:paraId="5BF9D1E4">
      <w:pPr>
        <w:widowControl/>
        <w:spacing w:line="360" w:lineRule="auto"/>
        <w:jc w:val="left"/>
        <w:rPr>
          <w:rFonts w:hint="eastAsia" w:ascii="宋体" w:hAnsi="宋体" w:eastAsia="宋体" w:cs="宋体"/>
          <w:b/>
          <w:bCs/>
          <w:color w:val="000000"/>
          <w:kern w:val="0"/>
          <w:sz w:val="24"/>
          <w:lang w:bidi="ar"/>
        </w:rPr>
      </w:pPr>
      <w:r>
        <w:rPr>
          <w:rFonts w:hint="eastAsia" w:ascii="宋体" w:hAnsi="宋体" w:eastAsia="宋体" w:cs="宋体"/>
          <w:b/>
          <w:bCs/>
          <w:color w:val="000000"/>
          <w:kern w:val="0"/>
          <w:sz w:val="24"/>
          <w:lang w:bidi="ar"/>
        </w:rPr>
        <w:t>4.7. 总院医疗专家到基层帮扶及分院医护人员到总院轮训考核方案设计要求</w:t>
      </w:r>
    </w:p>
    <w:p w14:paraId="2DA75B2C">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专家下沉帮扶：设计总院高年资医师下沉分院的绩效方案，明确其绩效按照对应分院的医师绩效考核方案直接核算。同时，需协助总院制定配套的管理规定，将下沉工作的完成情况与专家的职务晋升、职称评定、评优评先等个人发展紧密挂钩。</w:t>
      </w:r>
    </w:p>
    <w:p w14:paraId="02AC46A6">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分院人员轮训：设计分院医护人员到总院轮训的绩效方案，明确轮训人员的绩效由总院接收科室根据其实际工作量、能力与态度，纳入该科室内部二次分配体系进行考核与发放。</w:t>
      </w:r>
    </w:p>
    <w:p w14:paraId="2C849857">
      <w:pPr>
        <w:widowControl/>
        <w:spacing w:line="360" w:lineRule="auto"/>
        <w:jc w:val="left"/>
        <w:rPr>
          <w:rFonts w:hint="eastAsia" w:ascii="宋体" w:hAnsi="宋体" w:eastAsia="宋体" w:cs="宋体"/>
          <w:b/>
          <w:bCs/>
          <w:color w:val="000000"/>
          <w:kern w:val="0"/>
          <w:sz w:val="24"/>
          <w:lang w:bidi="ar"/>
        </w:rPr>
      </w:pPr>
      <w:r>
        <w:rPr>
          <w:rFonts w:hint="eastAsia" w:ascii="宋体" w:hAnsi="宋体" w:eastAsia="宋体" w:cs="宋体"/>
          <w:b/>
          <w:bCs/>
          <w:color w:val="000000"/>
          <w:kern w:val="0"/>
          <w:sz w:val="24"/>
          <w:lang w:bidi="ar"/>
        </w:rPr>
        <w:t>4.8.医防融合与公卫协同服务专项绩效方案设计要求</w:t>
      </w:r>
    </w:p>
    <w:p w14:paraId="5E2D1E76">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设计以“医保基金结余”为核心资金来源的专项绩效激励体系。其根本目标是将分院前端的疾病预防、慢病管理等公共卫生服务成效，与总院后端相关病种的住院费用控制结果相捆绑，共同转化为可分配的绩效，从而系统性激励医共体内部实现从“以治疗为中心”向“以健康为中心”的转变。</w:t>
      </w:r>
    </w:p>
    <w:p w14:paraId="544DBF44">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方案的核心运行机制在于“双向考核、两级分配”。建立分别针对分院医防融合团队和总院对应临床科室的双向考核指标体系，并将双方考核结果共同与同一笔医保结余奖励池挂钩。</w:t>
      </w:r>
    </w:p>
    <w:p w14:paraId="2F48A1B4">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该方案旨在激励的医务人员更有动力持续做好预防与健康管理，由此推动医共体进入“健康管理越好、医疗负担越轻、绩效激励越足、健康管理更强”的可持续发展轨道。</w:t>
      </w:r>
    </w:p>
    <w:p w14:paraId="546ECF5C">
      <w:pPr>
        <w:widowControl/>
        <w:spacing w:line="360" w:lineRule="auto"/>
        <w:jc w:val="left"/>
        <w:rPr>
          <w:rFonts w:hint="eastAsia" w:ascii="宋体" w:hAnsi="宋体" w:eastAsia="宋体" w:cs="宋体"/>
          <w:b/>
          <w:bCs/>
          <w:color w:val="000000"/>
          <w:kern w:val="0"/>
          <w:sz w:val="24"/>
          <w:lang w:bidi="ar"/>
        </w:rPr>
      </w:pPr>
      <w:r>
        <w:rPr>
          <w:rFonts w:hint="eastAsia" w:ascii="宋体" w:hAnsi="宋体" w:eastAsia="宋体" w:cs="宋体"/>
          <w:b/>
          <w:bCs/>
          <w:color w:val="000000"/>
          <w:kern w:val="0"/>
          <w:sz w:val="24"/>
          <w:lang w:bidi="ar"/>
        </w:rPr>
        <w:t>4.9.总院行政职能考核体系设计</w:t>
      </w:r>
      <w:bookmarkStart w:id="0" w:name="_GoBack"/>
      <w:bookmarkEnd w:id="0"/>
      <w:r>
        <w:rPr>
          <w:rFonts w:hint="eastAsia" w:ascii="宋体" w:hAnsi="宋体" w:eastAsia="宋体" w:cs="宋体"/>
          <w:b/>
          <w:bCs/>
          <w:color w:val="000000"/>
          <w:kern w:val="0"/>
          <w:sz w:val="24"/>
          <w:lang w:bidi="ar"/>
        </w:rPr>
        <w:t>要求</w:t>
      </w:r>
    </w:p>
    <w:p w14:paraId="2D4EB845">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需详细设计“部门考核→中层考核→员工考核”​ 三级绩效传导的具体路径与方法，确保总院战略目标能有效分解至每个行政岗位。</w:t>
      </w:r>
    </w:p>
    <w:p w14:paraId="164C640A">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需设计差异化KPI指标库，明确总院部门、院区、分院的考核侧重点。将行政人员的绩效工资计算变成一个透明、公平、完全由规则和数据驱动的过程，实现精准激励。</w:t>
      </w:r>
    </w:p>
    <w:p w14:paraId="07AD8EB0">
      <w:pPr>
        <w:widowControl/>
        <w:spacing w:line="360" w:lineRule="auto"/>
        <w:jc w:val="left"/>
        <w:rPr>
          <w:rFonts w:hint="eastAsia" w:ascii="宋体" w:hAnsi="宋体" w:eastAsia="宋体" w:cs="宋体"/>
          <w:b/>
          <w:bCs/>
          <w:color w:val="000000"/>
          <w:kern w:val="0"/>
          <w:sz w:val="24"/>
          <w:lang w:bidi="ar"/>
        </w:rPr>
      </w:pPr>
      <w:r>
        <w:rPr>
          <w:rFonts w:hint="eastAsia" w:ascii="宋体" w:hAnsi="宋体" w:eastAsia="宋体" w:cs="宋体"/>
          <w:b/>
          <w:bCs/>
          <w:color w:val="000000"/>
          <w:kern w:val="0"/>
          <w:sz w:val="24"/>
          <w:lang w:bidi="ar"/>
        </w:rPr>
        <w:t>4.10.各成员单位内部二次分配指导与监管方案</w:t>
      </w:r>
    </w:p>
    <w:p w14:paraId="577C663E">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设计用于指导与监管各医疗中心中心及各分院进行内部绩效二次分配的方案。方案以“以岗定责、以量定酬、以绩定奖”为核心原则，指导医疗中心主任与分院院长在获得总绩效后，依据岗位价值、实际工作量、贡献度等因素制定内部分配细则。同时，需建立配套的监管与审核机制，确保二次分配过程的公平、公正，防止平均主义，并对分配方案的合理性与执行结果进行监督。</w:t>
      </w:r>
    </w:p>
    <w:p w14:paraId="09C1457A">
      <w:pPr>
        <w:widowControl/>
        <w:spacing w:line="360" w:lineRule="auto"/>
        <w:jc w:val="left"/>
        <w:rPr>
          <w:rFonts w:hint="eastAsia" w:ascii="宋体" w:hAnsi="宋体" w:eastAsia="宋体" w:cs="宋体"/>
          <w:b/>
          <w:bCs/>
          <w:color w:val="000000"/>
          <w:kern w:val="0"/>
          <w:sz w:val="24"/>
          <w:lang w:bidi="ar"/>
        </w:rPr>
      </w:pPr>
      <w:r>
        <w:rPr>
          <w:rFonts w:hint="eastAsia" w:ascii="宋体" w:hAnsi="宋体" w:eastAsia="宋体" w:cs="宋体"/>
          <w:b/>
          <w:bCs/>
          <w:color w:val="000000"/>
          <w:kern w:val="0"/>
          <w:sz w:val="24"/>
          <w:lang w:bidi="ar"/>
        </w:rPr>
        <w:t>4.11. 考核指标体系设计</w:t>
      </w:r>
    </w:p>
    <w:p w14:paraId="69356D7E">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对医疗中心与分院的整合KPI考核：设计包含医疗质量、服务效率、成本控制、患者满意度、医共体协同（如双向转诊、资源共享）等维度的关键绩效指标（KPI），其考核得分直接影响各单元从绩效总额中的最终分配。</w:t>
      </w:r>
    </w:p>
    <w:p w14:paraId="5F9D1493">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公卫考核：针对成员单位（分院）的公共卫生服务工作，设计独立的专项考核体系。考核结果需与分院的公卫绩效部分直接挂钩。</w:t>
      </w:r>
    </w:p>
    <w:p w14:paraId="5A018BB9">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分院院长考核：设计针对分院院长的专项考核方案。此方案建立在对其所辖分院医疗考核与公卫考核结果的基础之上，结合院长个人履职情况进行综合评定。考核由总院牵头，会同财政、人社等部门共同执行，综合运用数据监测、现场检查、双盲考核、第三方调查等方法。考核结果需与院长聘任、个人绩效奖励、分院绩效工资总量核定实行“三挂钩”，并明确优秀、良好、合格、不合格的等级标准与对应奖惩措施。</w:t>
      </w:r>
    </w:p>
    <w:p w14:paraId="6046B3B8">
      <w:pPr>
        <w:widowControl/>
        <w:spacing w:line="360" w:lineRule="auto"/>
        <w:jc w:val="left"/>
        <w:rPr>
          <w:rFonts w:hint="eastAsia" w:ascii="宋体" w:hAnsi="宋体" w:eastAsia="宋体" w:cs="宋体"/>
          <w:sz w:val="24"/>
        </w:rPr>
      </w:pPr>
      <w:r>
        <w:rPr>
          <w:rFonts w:hint="eastAsia" w:ascii="宋体" w:hAnsi="宋体" w:eastAsia="宋体" w:cs="宋体"/>
          <w:b/>
          <w:bCs/>
          <w:color w:val="000000"/>
          <w:kern w:val="0"/>
          <w:sz w:val="24"/>
          <w:lang w:bidi="ar"/>
        </w:rPr>
        <w:t xml:space="preserve">（二）医院绩效评价管理系统 </w:t>
      </w:r>
    </w:p>
    <w:p w14:paraId="7D07E2A3">
      <w:pPr>
        <w:widowControl/>
        <w:spacing w:line="360" w:lineRule="auto"/>
        <w:ind w:firstLine="480" w:firstLineChars="200"/>
        <w:jc w:val="left"/>
        <w:rPr>
          <w:rFonts w:hint="eastAsia" w:ascii="宋体" w:hAnsi="宋体" w:eastAsia="宋体" w:cs="宋体"/>
          <w:color w:val="000000"/>
          <w:kern w:val="0"/>
          <w:sz w:val="24"/>
          <w:lang w:bidi="ar"/>
        </w:rPr>
      </w:pPr>
      <w:r>
        <w:rPr>
          <w:rFonts w:hint="eastAsia" w:ascii="宋体" w:hAnsi="宋体" w:eastAsia="宋体" w:cs="宋体"/>
          <w:color w:val="000000"/>
          <w:kern w:val="0"/>
          <w:sz w:val="24"/>
          <w:lang w:bidi="ar"/>
        </w:rPr>
        <w:t>保证平台 7*24 小时运行，保证在数据量或应用连接数高峰运行时的系统运行正常，保障持久化的系统运行。</w:t>
      </w:r>
    </w:p>
    <w:p w14:paraId="6F49B016">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支持多数据源数据整理及运用，包括文件数据来源、用户数据来源及系统数据来源整理和运用。兼具数据录入、汇总、上传、下发、回传等功能，并设置不同级别人员的查询和维护权限，确保数据安全性、准确性。 </w:t>
      </w:r>
    </w:p>
    <w:p w14:paraId="7BC0D0F2">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系统保证与现行系统实现有效衔接，实现信息的共享和集成，支持跨平台和开放数据接口，按照采购方要求进行源码级定制修改，能进行软件集成和系统整合。系统应保持好的扩展性，有利于逐步升级。 </w:t>
      </w:r>
    </w:p>
    <w:p w14:paraId="1985C6FD">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软件系统功能要求如下： </w:t>
      </w:r>
    </w:p>
    <w:p w14:paraId="6C71FB93">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（1）提供权限管理功能，可对绩效管理系统的用户分配不同的操作权限。 </w:t>
      </w:r>
    </w:p>
    <w:p w14:paraId="7F1ACA55">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（2）可配置绩效核算方法、科室级别长度定义、医生工作量匹配定义等。 </w:t>
      </w:r>
    </w:p>
    <w:p w14:paraId="3B22C585">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（3）支持对不同级别的用户增加、修改和删除，如：主程序用户、采集平台用户、查询平台用户等。 </w:t>
      </w:r>
    </w:p>
    <w:p w14:paraId="6B4B733C">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（4）支持和医院信息系统的连接，如：hrp\his\pacs 等。 </w:t>
      </w:r>
    </w:p>
    <w:p w14:paraId="583E4729">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（5）支持消息发布，管理员可向全院客户端发送消息，在客户端支持弹窗显示。 </w:t>
      </w:r>
    </w:p>
    <w:p w14:paraId="1DFCD1BF">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（6）支持对核算项目进行分类，包括收入类、支出类和其他类。 </w:t>
      </w:r>
    </w:p>
    <w:p w14:paraId="327FC976">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（7）支持对医院的核算单元进行个性化配置，并可设置外部数据库的关联定义，支持多对一的外部关联设置。 </w:t>
      </w:r>
    </w:p>
    <w:p w14:paraId="637B0824">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（8）支持核算到医疗组，可以设置医疗组医师的起始日期 和截止日期。 </w:t>
      </w:r>
    </w:p>
    <w:p w14:paraId="5C595DBC">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（9）支持定义各成本类别的扣除比例设置，并可以按月进行调整。 </w:t>
      </w:r>
    </w:p>
    <w:p w14:paraId="0124F118">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（10）支持自定义收费项目字典的设置，并配置本地化的病种基准绩效点数，手术等级等。同时提供不同科室项目加成管理配置的功能。 </w:t>
      </w:r>
    </w:p>
    <w:p w14:paraId="4767DE92">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（11）支持对耗材进行分类设置管理，包括耗材是否收费、成本扣除比例等。 </w:t>
      </w:r>
    </w:p>
    <w:p w14:paraId="13A4D02B">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（12）支持从 EXCEL 表格导入相类数据，导入时支持一维表或二维表。 </w:t>
      </w:r>
    </w:p>
    <w:p w14:paraId="381FCAF8">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（13）支持从其他外部系统的数据库采集数据，外部数据库支持 sqlserver、oracle 等。 </w:t>
      </w:r>
    </w:p>
    <w:p w14:paraId="39CB2449">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（14）系统提供采集平台功能，可把采集平台安装到各职能科室，由各职能科室录入相关数据后，从采集平台生成数据到主程序中。 </w:t>
      </w:r>
    </w:p>
    <w:p w14:paraId="1227E940">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（15）系统提供从 HIS 系统采集工作量数据,可区分门诊和住院分别采集，包括:开单科室、开单医生、执行科室、执行医生、收费项目、规格 型号、数量、单价、金额等信息，并支持可自定义扩展列，应对个性化数据的采集要求。 </w:t>
      </w:r>
    </w:p>
    <w:p w14:paraId="647593E2">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（16）系统提供从物资系统采集各科室的耗材领用数据，包括高值耗材、普通消耗品等。</w:t>
      </w:r>
    </w:p>
    <w:p w14:paraId="3187B1D5">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17）系统提供从资产管理系统采集各科室资产折旧数据，包括固定资产或低值资产的领用数据，可按财务核算要求计提科室折旧，也可根据医院管理要求，针对绩效核算使用加速折旧。还可支持使用租赁模式计算设备使用费等。 </w:t>
      </w:r>
    </w:p>
    <w:p w14:paraId="45A90F24">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（18）系统需要提供自定义采集管理功能，可满足医院绩效核算的个性化数据采集要求，可支持自定义采集内容的设计，自定义采集表格支持从 EXCEL 导入数据，并支持在导入时可进行数据校验，如：校验工号是否非法、校验科室代码或项目代码是否不存在。保存数据的准确性。 </w:t>
      </w:r>
    </w:p>
    <w:p w14:paraId="3A64CF99">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（19）提供绩效所需要的各种指标定义功能，用户可配置指标的权重等，各指标的数据支持从外部数据库采集生成或从 EXCEL 表导入生成。指标数据是连续使用时，支持从历史月份复制数据，同时支持设置在复制数据时是否允许清空。 </w:t>
      </w:r>
    </w:p>
    <w:p w14:paraId="32194DFA">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20）提供绩效核算分配功能，包括医生的诊断工作量绩效、执行工作量绩效、护理工作量绩效、医技工作量绩效、工作量归科管理、耗材领用处理、成本扣除核算处理等。并支持自定义配置核算步骤，可以根据医院管理要求，配置其他的核算内容，形成自动化的核算分配。 </w:t>
      </w:r>
    </w:p>
    <w:p w14:paraId="0715F76E">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21）提供绩效数据发布管理功能，当月绩效核算完成后，可发布到全院。各临床科室可进入系统进行查看与分配。包括且不限于：医师病种工作量明细查询、医师出入院病人明细查询、医师成本消耗明细查询、医师人员人事成本明细查询、医师奖励性绩效工资汇总结果、护理病种工作量明细查询、护理床日量明细查询、护理入出院病人明细查询、护理成本消耗明细查询、护理人员人事成本明细查询等。对于各临床科室可查询的相关数据不限于固定的部分，还能支持自定义查询设计,也支持设置是否允许打印和导出相关数据等。 </w:t>
      </w:r>
    </w:p>
    <w:p w14:paraId="6915EA03">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（22）提供每月结账功能，结转下月后，当月的数据即为锁定状态，不允许再次修改或重新核算，只能进行查询。 </w:t>
      </w:r>
    </w:p>
    <w:p w14:paraId="31DC48FD">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23）提供绩效数据二次分配收集功能，包括人员档案的管理、人员属性栏目的管理，如：岗位类别、编制类别、职务、职称、系数等，并支持自定义人员栏目属性设置。人员档案支持从外部系统导入或自动更新，同时也支持绩效部门对人员档案进行增加、修改、删除、人员调动等操作。 </w:t>
      </w:r>
    </w:p>
    <w:p w14:paraId="4F9C26DD">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（24）可设置各科室绩效核算人员，并可配置操作权限。同时一人多科的管理模式。 </w:t>
      </w:r>
    </w:p>
    <w:p w14:paraId="5B927F42">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（25）对于科室绩效核算人员，提供密码重置功能，操作者忘记密码时，绩效办可以对其进行密码重置。 </w:t>
      </w:r>
    </w:p>
    <w:p w14:paraId="4A6C7224">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（26）提供绩效二次分配收集表的自定义设计功能。可设计医生、护士、医技、行政后勤等不同的分配表格，并可配置相应的人员的操作权限。 </w:t>
      </w:r>
    </w:p>
    <w:p w14:paraId="693915D9">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（27）二次分配收集时，支持从考勤表自动生成人员，也可自行添加人员或跨科添加人员分配绩效。 </w:t>
      </w:r>
    </w:p>
    <w:p w14:paraId="1B4765A1">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（28）二次分配收集时，支持配置平衡关系校验功能，即核算表的金额需要和分配表的数据相等，对于分配收集不相等的科室进行警告提示，确保科室绩效分配完成。平衡关系支持自定义配置。 </w:t>
      </w:r>
    </w:p>
    <w:p w14:paraId="6A0E4C09">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（29）二次分配收集后，绩效办可实现对数据进行审核锁定，锁定后各科室不允许再次修改分配结果，对于分配不公或有疑问的数据，绩效办有权退回，直到分配合理为止。 </w:t>
      </w:r>
    </w:p>
    <w:p w14:paraId="3CC3BF36">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（30）二次分配的数据能自动传送给财务系统，生成发放表或生成发放凭证。 </w:t>
      </w:r>
    </w:p>
    <w:p w14:paraId="456B9E80">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（31）系统能提供基于二次分配结果数据的各种数据统计报表功能，如：部门发放汇总表、个人发放汇总表、个人发放清单等，并支持跨期间统计操作。 </w:t>
      </w:r>
    </w:p>
    <w:p w14:paraId="299B5DE3">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（32）系统需提供考核管理模块，可设计 KPI 考核指标、考核办法、评分细则和考核科室等。</w:t>
      </w:r>
    </w:p>
    <w:p w14:paraId="5A03FE1C">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（33）提供对考核类别的设置，如：分医师、护理、医技、行政后勤等考核类别的设置。 </w:t>
      </w:r>
    </w:p>
    <w:p w14:paraId="76ABFA90">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（34）提供各科室可配置不同的 KPI 考核指标，如：手术类科室和非手术类科室可配置不同的考核指标。 </w:t>
      </w:r>
    </w:p>
    <w:p w14:paraId="29B8B68E">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（35）考核管理模块支持安装到各考核科室，如：医务科、护理部、质控科等，考核结果由各考核科室录入或导入，并提交到绩效管理部门。 </w:t>
      </w:r>
    </w:p>
    <w:p w14:paraId="065A1A88">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（36）各临床科室可查询各自的 KPI 目标值及各指标的考核得分情况。 </w:t>
      </w:r>
    </w:p>
    <w:p w14:paraId="0373E227">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（37）系统提供考勤数据管理，支持一人多科的考勤数据管理，可查询考勤科室、考勤人员信息、考勤天数、考勤情况，支持考勤数据汇总。 </w:t>
      </w:r>
    </w:p>
    <w:p w14:paraId="0017D8A2">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（38）对考勤数据进行数据检测功能，可有效的检测考勤天数是否非法，是否超过当月工作日天数等。包括对考勤人数的检测校验，以及科室的考勤数据检测，可快速了解全院哪些科室未提交考勤数据。 </w:t>
      </w:r>
    </w:p>
    <w:p w14:paraId="3F26CCAE">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（39）能根据当月的天数自动计算考勤人数，能快速查看各岗位的人数及考勤人数等。 </w:t>
      </w:r>
    </w:p>
    <w:p w14:paraId="0622B717">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（40）在考勤数据管理中心，可提供人员调动的操作，无需去人员档案中操作人员调动。 </w:t>
      </w:r>
    </w:p>
    <w:p w14:paraId="79753310">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（41）提供对考勤数据进行审核的功能，当考勤数据上报后，审核完成时，各科室不允许再修改考勤数据，确实需要修改的需要绩效核算部门确认后，先取消此科室的考勤数据审核才允许科室修改。 </w:t>
      </w:r>
    </w:p>
    <w:p w14:paraId="628C2310">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（42）对考勤数据支持自定义扩展列，满足考勤数据字段个性化扩展的要求。 </w:t>
      </w:r>
    </w:p>
    <w:p w14:paraId="13673AFC">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（43）系统需要支持从第三方软件或数据库导入考勤数据。如：可对接考勤打卡机或 HRP 系统中的考勤数据等。 </w:t>
      </w:r>
    </w:p>
    <w:p w14:paraId="33A0BD64">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44）系统需提供绩效分析功能，包括收入、成本明细查询等，可按核算分类对工作量收入进行汇总统计。并支持按开单科室、开单归科后科室、执行科室、执行归科后科室、所属病区等不同的统计口径进行统计。 </w:t>
      </w:r>
    </w:p>
    <w:p w14:paraId="0C1FF755">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（45）系统需提供按项目或按科室进行对比分析功能。支持跨年度、多类别、多项目进行对比分析，可自定义设置比较期间和分析期间，对于成本数据还支持选择核算前或核算后进行对比。 </w:t>
      </w:r>
    </w:p>
    <w:p w14:paraId="4377AF76">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（46）提供工作量查询功能，可查询医生的各项工作量数据。包括患者信息、收费时间、开单医师、开单科室、执行科室、开单归科后科室、执行归科后科室、所属病区、收费项目、绩效点值等。 </w:t>
      </w:r>
    </w:p>
    <w:p w14:paraId="6491EE6C">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（47）系统需提供 DRG/DIP 数据查询功能，可计算/查询科室 CMI 值、患者明细、病案首页信息、出院绩效等。 </w:t>
      </w:r>
    </w:p>
    <w:p w14:paraId="5E760A0A">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（48）系统需提供耗材领用查询功能，可查询各科室耗材领用情况。包括出库单号、领用人、类别、领用日期、金额等信息。 </w:t>
      </w:r>
    </w:p>
    <w:p w14:paraId="73FC8CD8">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49）系统提供科室绩效查询平台功能，科室绩效查询平台包括可查看本科室绩效核算表，支持按权限查询各类数据报表及分析报表，包括工作量查询，如：病种基准绩效点数、绩效费率、判读绩效、执行绩效、护理绩效、手术等级等。 </w:t>
      </w:r>
    </w:p>
    <w:p w14:paraId="11170624">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color w:val="000000"/>
          <w:kern w:val="0"/>
          <w:sz w:val="24"/>
          <w:lang w:bidi="ar"/>
        </w:rPr>
        <w:t xml:space="preserve">（50）系统在符合网络和数据安全的前提下，根据采购方要求支持在互联网和内网局域网进行相关业务操作。 </w:t>
      </w:r>
    </w:p>
    <w:p w14:paraId="45F085F2">
      <w:pPr>
        <w:widowControl/>
        <w:spacing w:line="360" w:lineRule="auto"/>
        <w:jc w:val="left"/>
        <w:rPr>
          <w:rFonts w:hint="eastAsia" w:ascii="宋体" w:hAnsi="宋体" w:eastAsia="宋体" w:cs="宋体"/>
          <w:b/>
          <w:bCs/>
          <w:color w:val="000000"/>
          <w:kern w:val="0"/>
          <w:sz w:val="24"/>
          <w:lang w:bidi="ar"/>
        </w:rPr>
        <w:sectPr>
          <w:pgSz w:w="11906" w:h="16838"/>
          <w:pgMar w:top="1440" w:right="1800" w:bottom="1440" w:left="1800" w:header="851" w:footer="992" w:gutter="0"/>
          <w:cols w:space="720" w:num="1"/>
          <w:docGrid w:type="lines" w:linePitch="312" w:charSpace="0"/>
        </w:sectPr>
      </w:pPr>
    </w:p>
    <w:p w14:paraId="3A845C73">
      <w:pPr>
        <w:widowControl/>
        <w:spacing w:line="360" w:lineRule="auto"/>
        <w:jc w:val="left"/>
        <w:rPr>
          <w:rFonts w:hint="eastAsia" w:ascii="宋体" w:hAnsi="宋体" w:eastAsia="宋体" w:cs="宋体"/>
          <w:sz w:val="24"/>
        </w:rPr>
      </w:pPr>
      <w:r>
        <w:rPr>
          <w:rFonts w:hint="eastAsia" w:ascii="宋体" w:hAnsi="宋体" w:eastAsia="宋体" w:cs="宋体"/>
          <w:b/>
          <w:bCs/>
          <w:color w:val="000000"/>
          <w:kern w:val="0"/>
          <w:sz w:val="24"/>
          <w:lang w:bidi="ar"/>
        </w:rPr>
        <w:t>（三）绩效管理系统实施要求</w:t>
      </w:r>
    </w:p>
    <w:tbl>
      <w:tblPr>
        <w:tblStyle w:val="10"/>
        <w:tblW w:w="510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4"/>
        <w:gridCol w:w="3127"/>
        <w:gridCol w:w="2869"/>
        <w:gridCol w:w="1133"/>
      </w:tblGrid>
      <w:tr w14:paraId="1F194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4" w:type="pct"/>
            <w:noWrap w:val="0"/>
            <w:vAlign w:val="center"/>
          </w:tcPr>
          <w:p w14:paraId="35C490D2">
            <w:pPr>
              <w:snapToGrid w:val="0"/>
              <w:spacing w:line="360" w:lineRule="auto"/>
              <w:jc w:val="center"/>
              <w:rPr>
                <w:rFonts w:hint="eastAsia" w:ascii="宋体" w:hAnsi="宋体" w:eastAsia="宋体" w:cs="宋体"/>
                <w:sz w:val="24"/>
              </w:rPr>
            </w:pPr>
            <w:r>
              <w:rPr>
                <w:rFonts w:hint="eastAsia" w:ascii="宋体" w:hAnsi="宋体" w:eastAsia="宋体" w:cs="宋体"/>
                <w:sz w:val="24"/>
              </w:rPr>
              <w:t>绩效模块</w:t>
            </w:r>
          </w:p>
        </w:tc>
        <w:tc>
          <w:tcPr>
            <w:tcW w:w="1796" w:type="pct"/>
            <w:noWrap w:val="0"/>
            <w:vAlign w:val="center"/>
          </w:tcPr>
          <w:p w14:paraId="1A8F81EF">
            <w:pPr>
              <w:snapToGrid w:val="0"/>
              <w:spacing w:line="360" w:lineRule="auto"/>
              <w:jc w:val="center"/>
              <w:rPr>
                <w:rFonts w:hint="eastAsia" w:ascii="宋体" w:hAnsi="宋体" w:eastAsia="宋体" w:cs="宋体"/>
                <w:sz w:val="24"/>
              </w:rPr>
            </w:pPr>
            <w:r>
              <w:rPr>
                <w:rFonts w:hint="eastAsia" w:ascii="宋体" w:hAnsi="宋体" w:eastAsia="宋体" w:cs="宋体"/>
                <w:sz w:val="24"/>
              </w:rPr>
              <w:t>模块内容</w:t>
            </w:r>
          </w:p>
        </w:tc>
        <w:tc>
          <w:tcPr>
            <w:tcW w:w="1648" w:type="pct"/>
            <w:noWrap w:val="0"/>
            <w:vAlign w:val="center"/>
          </w:tcPr>
          <w:p w14:paraId="30797941">
            <w:pPr>
              <w:snapToGrid w:val="0"/>
              <w:spacing w:line="360" w:lineRule="auto"/>
              <w:jc w:val="center"/>
              <w:rPr>
                <w:rFonts w:hint="eastAsia" w:ascii="宋体" w:hAnsi="宋体" w:eastAsia="宋体" w:cs="宋体"/>
                <w:sz w:val="24"/>
              </w:rPr>
            </w:pPr>
            <w:r>
              <w:rPr>
                <w:rFonts w:hint="eastAsia" w:ascii="宋体" w:hAnsi="宋体" w:eastAsia="宋体" w:cs="宋体"/>
                <w:sz w:val="24"/>
              </w:rPr>
              <w:t>工作量说明</w:t>
            </w:r>
          </w:p>
        </w:tc>
        <w:tc>
          <w:tcPr>
            <w:tcW w:w="651" w:type="pct"/>
            <w:noWrap w:val="0"/>
            <w:vAlign w:val="center"/>
          </w:tcPr>
          <w:p w14:paraId="27642AB2">
            <w:pPr>
              <w:snapToGrid w:val="0"/>
              <w:spacing w:line="360" w:lineRule="auto"/>
              <w:jc w:val="center"/>
              <w:rPr>
                <w:rFonts w:hint="eastAsia" w:ascii="宋体" w:hAnsi="宋体" w:eastAsia="宋体" w:cs="宋体"/>
                <w:sz w:val="24"/>
              </w:rPr>
            </w:pPr>
            <w:r>
              <w:rPr>
                <w:rFonts w:hint="eastAsia" w:ascii="宋体" w:hAnsi="宋体" w:eastAsia="宋体" w:cs="宋体"/>
                <w:sz w:val="24"/>
              </w:rPr>
              <w:t>备注</w:t>
            </w:r>
          </w:p>
        </w:tc>
      </w:tr>
      <w:tr w14:paraId="232E62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4" w:type="pct"/>
            <w:noWrap w:val="0"/>
            <w:vAlign w:val="center"/>
          </w:tcPr>
          <w:p w14:paraId="7CA889EF">
            <w:pPr>
              <w:snapToGrid w:val="0"/>
              <w:spacing w:line="360" w:lineRule="auto"/>
              <w:jc w:val="center"/>
              <w:rPr>
                <w:rFonts w:hint="eastAsia" w:ascii="宋体" w:hAnsi="宋体" w:eastAsia="宋体" w:cs="宋体"/>
                <w:sz w:val="24"/>
              </w:rPr>
            </w:pPr>
            <w:r>
              <w:rPr>
                <w:rFonts w:hint="eastAsia" w:ascii="宋体" w:hAnsi="宋体" w:eastAsia="宋体" w:cs="宋体"/>
                <w:sz w:val="24"/>
              </w:rPr>
              <w:t>总院绩效改革核算模块</w:t>
            </w:r>
          </w:p>
        </w:tc>
        <w:tc>
          <w:tcPr>
            <w:tcW w:w="1796" w:type="pct"/>
            <w:noWrap w:val="0"/>
            <w:vAlign w:val="top"/>
          </w:tcPr>
          <w:p w14:paraId="780B8132">
            <w:pPr>
              <w:snapToGrid w:val="0"/>
              <w:spacing w:line="360" w:lineRule="auto"/>
              <w:rPr>
                <w:rFonts w:hint="eastAsia" w:ascii="宋体" w:hAnsi="宋体" w:eastAsia="宋体" w:cs="宋体"/>
                <w:sz w:val="24"/>
              </w:rPr>
            </w:pPr>
            <w:r>
              <w:rPr>
                <w:rFonts w:hint="eastAsia" w:ascii="宋体" w:hAnsi="宋体" w:eastAsia="宋体" w:cs="宋体"/>
                <w:sz w:val="24"/>
              </w:rPr>
              <w:t>1.医护技工作量点数（病种/RBRVS）基准设定</w:t>
            </w:r>
          </w:p>
          <w:p w14:paraId="003EFD25">
            <w:pPr>
              <w:snapToGrid w:val="0"/>
              <w:spacing w:line="360" w:lineRule="auto"/>
              <w:rPr>
                <w:rFonts w:hint="eastAsia" w:ascii="宋体" w:hAnsi="宋体" w:eastAsia="宋体" w:cs="宋体"/>
                <w:sz w:val="24"/>
              </w:rPr>
            </w:pPr>
            <w:r>
              <w:rPr>
                <w:rFonts w:hint="eastAsia" w:ascii="宋体" w:hAnsi="宋体" w:eastAsia="宋体" w:cs="宋体"/>
                <w:sz w:val="24"/>
              </w:rPr>
              <w:t>2.医护技绩效公式参数设定</w:t>
            </w:r>
          </w:p>
          <w:p w14:paraId="1A7CB2B3">
            <w:pPr>
              <w:snapToGrid w:val="0"/>
              <w:spacing w:line="360" w:lineRule="auto"/>
              <w:rPr>
                <w:rFonts w:hint="eastAsia" w:ascii="宋体" w:hAnsi="宋体" w:eastAsia="宋体" w:cs="宋体"/>
                <w:sz w:val="24"/>
              </w:rPr>
            </w:pPr>
            <w:r>
              <w:rPr>
                <w:rFonts w:hint="eastAsia" w:ascii="宋体" w:hAnsi="宋体" w:eastAsia="宋体" w:cs="宋体"/>
                <w:sz w:val="24"/>
              </w:rPr>
              <w:t>3.医护技工作量明细查询</w:t>
            </w:r>
          </w:p>
          <w:p w14:paraId="51A1C396">
            <w:pPr>
              <w:snapToGrid w:val="0"/>
              <w:spacing w:line="360" w:lineRule="auto"/>
              <w:rPr>
                <w:rFonts w:hint="eastAsia" w:ascii="宋体" w:hAnsi="宋体" w:eastAsia="宋体" w:cs="宋体"/>
                <w:sz w:val="24"/>
              </w:rPr>
            </w:pPr>
            <w:r>
              <w:rPr>
                <w:rFonts w:hint="eastAsia" w:ascii="宋体" w:hAnsi="宋体" w:eastAsia="宋体" w:cs="宋体"/>
                <w:sz w:val="24"/>
              </w:rPr>
              <w:t>4.医护技绩效考核指标设定</w:t>
            </w:r>
          </w:p>
          <w:p w14:paraId="573C4961">
            <w:pPr>
              <w:snapToGrid w:val="0"/>
              <w:spacing w:line="360" w:lineRule="auto"/>
              <w:rPr>
                <w:rFonts w:hint="eastAsia" w:ascii="宋体" w:hAnsi="宋体" w:eastAsia="宋体" w:cs="宋体"/>
                <w:sz w:val="24"/>
              </w:rPr>
            </w:pPr>
            <w:r>
              <w:rPr>
                <w:rFonts w:hint="eastAsia" w:ascii="宋体" w:hAnsi="宋体" w:eastAsia="宋体" w:cs="宋体"/>
                <w:sz w:val="24"/>
              </w:rPr>
              <w:t>5.医护技绩效工资分配设定</w:t>
            </w:r>
          </w:p>
          <w:p w14:paraId="651A30AB">
            <w:pPr>
              <w:snapToGrid w:val="0"/>
              <w:spacing w:line="360" w:lineRule="auto"/>
              <w:rPr>
                <w:rFonts w:hint="eastAsia" w:ascii="宋体" w:hAnsi="宋体" w:eastAsia="宋体" w:cs="宋体"/>
                <w:sz w:val="24"/>
              </w:rPr>
            </w:pPr>
            <w:r>
              <w:rPr>
                <w:rFonts w:hint="eastAsia" w:ascii="宋体" w:hAnsi="宋体" w:eastAsia="宋体" w:cs="宋体"/>
                <w:sz w:val="24"/>
              </w:rPr>
              <w:t>设定</w:t>
            </w:r>
          </w:p>
        </w:tc>
        <w:tc>
          <w:tcPr>
            <w:tcW w:w="1648" w:type="pct"/>
            <w:noWrap w:val="0"/>
            <w:vAlign w:val="top"/>
          </w:tcPr>
          <w:p w14:paraId="797A9771">
            <w:pPr>
              <w:snapToGrid w:val="0"/>
              <w:spacing w:line="360" w:lineRule="auto"/>
              <w:rPr>
                <w:rFonts w:hint="eastAsia" w:ascii="宋体" w:hAnsi="宋体" w:eastAsia="宋体" w:cs="宋体"/>
                <w:sz w:val="24"/>
              </w:rPr>
            </w:pPr>
            <w:r>
              <w:rPr>
                <w:rFonts w:hint="eastAsia" w:ascii="宋体" w:hAnsi="宋体" w:eastAsia="宋体" w:cs="宋体"/>
                <w:sz w:val="24"/>
              </w:rPr>
              <w:t>1.全面导入病种基准绩效点数与RBRVS绩效点数。</w:t>
            </w:r>
          </w:p>
          <w:p w14:paraId="535B68DD">
            <w:pPr>
              <w:snapToGrid w:val="0"/>
              <w:spacing w:line="360" w:lineRule="auto"/>
              <w:rPr>
                <w:rFonts w:hint="eastAsia" w:ascii="宋体" w:hAnsi="宋体" w:eastAsia="宋体" w:cs="宋体"/>
                <w:sz w:val="24"/>
              </w:rPr>
            </w:pPr>
            <w:r>
              <w:rPr>
                <w:rFonts w:hint="eastAsia" w:ascii="宋体" w:hAnsi="宋体" w:eastAsia="宋体" w:cs="宋体"/>
                <w:sz w:val="24"/>
              </w:rPr>
              <w:t>2.病种工作量测试</w:t>
            </w:r>
          </w:p>
          <w:p w14:paraId="2247F048">
            <w:pPr>
              <w:snapToGrid w:val="0"/>
              <w:spacing w:line="360" w:lineRule="auto"/>
              <w:rPr>
                <w:rFonts w:hint="eastAsia" w:ascii="宋体" w:hAnsi="宋体" w:eastAsia="宋体" w:cs="宋体"/>
                <w:sz w:val="24"/>
              </w:rPr>
            </w:pPr>
            <w:r>
              <w:rPr>
                <w:rFonts w:hint="eastAsia" w:ascii="宋体" w:hAnsi="宋体" w:eastAsia="宋体" w:cs="宋体"/>
                <w:sz w:val="24"/>
              </w:rPr>
              <w:t>3.2~3次科室访谈、培训，与科室沟通达成共识并提供科室确认的文字说明</w:t>
            </w:r>
          </w:p>
          <w:p w14:paraId="19979E3F">
            <w:pPr>
              <w:snapToGrid w:val="0"/>
              <w:spacing w:line="360" w:lineRule="auto"/>
              <w:rPr>
                <w:rFonts w:hint="eastAsia" w:ascii="宋体" w:hAnsi="宋体" w:eastAsia="宋体" w:cs="宋体"/>
                <w:sz w:val="24"/>
              </w:rPr>
            </w:pPr>
            <w:r>
              <w:rPr>
                <w:rFonts w:hint="eastAsia" w:ascii="宋体" w:hAnsi="宋体" w:eastAsia="宋体" w:cs="宋体"/>
                <w:sz w:val="24"/>
              </w:rPr>
              <w:t>4.客制化系统配置</w:t>
            </w:r>
          </w:p>
        </w:tc>
        <w:tc>
          <w:tcPr>
            <w:tcW w:w="651" w:type="pct"/>
            <w:vMerge w:val="restart"/>
            <w:noWrap w:val="0"/>
            <w:vAlign w:val="center"/>
          </w:tcPr>
          <w:p w14:paraId="061426DE">
            <w:pPr>
              <w:snapToGrid w:val="0"/>
              <w:spacing w:line="360" w:lineRule="auto"/>
              <w:jc w:val="center"/>
              <w:rPr>
                <w:rFonts w:hint="eastAsia" w:ascii="宋体" w:hAnsi="宋体" w:eastAsia="宋体" w:cs="宋体"/>
                <w:sz w:val="24"/>
              </w:rPr>
            </w:pPr>
            <w:r>
              <w:rPr>
                <w:rFonts w:hint="eastAsia" w:ascii="宋体" w:hAnsi="宋体" w:eastAsia="宋体" w:cs="宋体"/>
                <w:sz w:val="24"/>
              </w:rPr>
              <w:t>符合新医改政策要求，结合医保支付制度改革，设计客制化绩效考核方案，全面实现</w:t>
            </w:r>
            <w:r>
              <w:rPr>
                <w:rFonts w:hint="eastAsia" w:ascii="宋体" w:hAnsi="宋体" w:eastAsia="宋体" w:cs="宋体"/>
                <w:spacing w:val="-2"/>
                <w:sz w:val="24"/>
              </w:rPr>
              <w:t>总医院及成员单位</w:t>
            </w:r>
            <w:r>
              <w:rPr>
                <w:rFonts w:hint="eastAsia" w:ascii="宋体" w:hAnsi="宋体" w:eastAsia="宋体" w:cs="宋体"/>
                <w:sz w:val="24"/>
              </w:rPr>
              <w:t>精细化绩效管理目标</w:t>
            </w:r>
          </w:p>
        </w:tc>
      </w:tr>
      <w:tr w14:paraId="1BD60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4" w:type="pct"/>
            <w:noWrap w:val="0"/>
            <w:vAlign w:val="center"/>
          </w:tcPr>
          <w:p w14:paraId="1679018C">
            <w:pPr>
              <w:snapToGrid w:val="0"/>
              <w:spacing w:line="360" w:lineRule="auto"/>
              <w:jc w:val="center"/>
              <w:rPr>
                <w:rFonts w:hint="eastAsia" w:ascii="宋体" w:hAnsi="宋体" w:eastAsia="宋体" w:cs="宋体"/>
                <w:sz w:val="24"/>
              </w:rPr>
            </w:pPr>
            <w:r>
              <w:rPr>
                <w:rFonts w:hint="eastAsia" w:ascii="宋体" w:hAnsi="宋体" w:eastAsia="宋体" w:cs="宋体"/>
                <w:sz w:val="24"/>
              </w:rPr>
              <w:t>总院行政后勤绩效方案改革模块</w:t>
            </w:r>
          </w:p>
        </w:tc>
        <w:tc>
          <w:tcPr>
            <w:tcW w:w="1796" w:type="pct"/>
            <w:noWrap w:val="0"/>
            <w:vAlign w:val="top"/>
          </w:tcPr>
          <w:p w14:paraId="47E52AF3">
            <w:pPr>
              <w:numPr>
                <w:ilvl w:val="0"/>
                <w:numId w:val="2"/>
              </w:numPr>
              <w:snapToGrid w:val="0"/>
              <w:spacing w:line="360" w:lineRule="auto"/>
              <w:rPr>
                <w:rFonts w:hint="eastAsia" w:ascii="宋体" w:hAnsi="宋体" w:eastAsia="宋体" w:cs="宋体"/>
                <w:sz w:val="24"/>
              </w:rPr>
            </w:pPr>
            <w:r>
              <w:rPr>
                <w:rFonts w:hint="eastAsia" w:ascii="宋体" w:hAnsi="宋体" w:eastAsia="宋体" w:cs="宋体"/>
                <w:sz w:val="24"/>
              </w:rPr>
              <w:t>依据岗位评级结果划分岗位层级，设计各岗位层级绩效系数</w:t>
            </w:r>
          </w:p>
          <w:p w14:paraId="7828AFFB">
            <w:pPr>
              <w:numPr>
                <w:ilvl w:val="0"/>
                <w:numId w:val="2"/>
              </w:numPr>
              <w:snapToGrid w:val="0"/>
              <w:spacing w:line="360" w:lineRule="auto"/>
              <w:rPr>
                <w:rFonts w:hint="eastAsia" w:ascii="宋体" w:hAnsi="宋体" w:eastAsia="宋体" w:cs="宋体"/>
                <w:sz w:val="24"/>
              </w:rPr>
            </w:pPr>
            <w:r>
              <w:rPr>
                <w:rFonts w:hint="eastAsia" w:ascii="宋体" w:hAnsi="宋体" w:eastAsia="宋体" w:cs="宋体"/>
                <w:sz w:val="24"/>
              </w:rPr>
              <w:t>提供行政后勤人员绩效核算与考核方案参考</w:t>
            </w:r>
          </w:p>
        </w:tc>
        <w:tc>
          <w:tcPr>
            <w:tcW w:w="1648" w:type="pct"/>
            <w:noWrap w:val="0"/>
            <w:vAlign w:val="top"/>
          </w:tcPr>
          <w:p w14:paraId="43ABD26A">
            <w:pPr>
              <w:snapToGrid w:val="0"/>
              <w:spacing w:line="360" w:lineRule="auto"/>
              <w:rPr>
                <w:rFonts w:hint="eastAsia" w:ascii="宋体" w:hAnsi="宋体" w:eastAsia="宋体" w:cs="宋体"/>
                <w:sz w:val="24"/>
              </w:rPr>
            </w:pPr>
            <w:r>
              <w:rPr>
                <w:rFonts w:hint="eastAsia" w:ascii="宋体" w:hAnsi="宋体" w:eastAsia="宋体" w:cs="宋体"/>
                <w:sz w:val="24"/>
              </w:rPr>
              <w:t>1.各岗位访谈、调研</w:t>
            </w:r>
          </w:p>
          <w:p w14:paraId="12F77A87">
            <w:pPr>
              <w:snapToGrid w:val="0"/>
              <w:spacing w:line="360" w:lineRule="auto"/>
              <w:rPr>
                <w:rFonts w:hint="eastAsia" w:ascii="宋体" w:hAnsi="宋体" w:eastAsia="宋体" w:cs="宋体"/>
                <w:sz w:val="24"/>
              </w:rPr>
            </w:pPr>
            <w:r>
              <w:rPr>
                <w:rFonts w:hint="eastAsia" w:ascii="宋体" w:hAnsi="宋体" w:eastAsia="宋体" w:cs="宋体"/>
                <w:sz w:val="24"/>
              </w:rPr>
              <w:t>2.进行各岗位评分</w:t>
            </w:r>
          </w:p>
          <w:p w14:paraId="39F7CF30">
            <w:pPr>
              <w:snapToGrid w:val="0"/>
              <w:spacing w:line="360" w:lineRule="auto"/>
              <w:rPr>
                <w:rFonts w:hint="eastAsia" w:ascii="宋体" w:hAnsi="宋体" w:eastAsia="宋体" w:cs="宋体"/>
                <w:sz w:val="24"/>
              </w:rPr>
            </w:pPr>
            <w:r>
              <w:rPr>
                <w:rFonts w:hint="eastAsia" w:ascii="宋体" w:hAnsi="宋体" w:eastAsia="宋体" w:cs="宋体"/>
                <w:sz w:val="24"/>
              </w:rPr>
              <w:t>3.划分岗位层级</w:t>
            </w:r>
          </w:p>
          <w:p w14:paraId="723CE301">
            <w:pPr>
              <w:snapToGrid w:val="0"/>
              <w:spacing w:line="360" w:lineRule="auto"/>
              <w:rPr>
                <w:rFonts w:hint="eastAsia" w:ascii="宋体" w:hAnsi="宋体" w:eastAsia="宋体" w:cs="宋体"/>
                <w:sz w:val="24"/>
              </w:rPr>
            </w:pPr>
            <w:r>
              <w:rPr>
                <w:rFonts w:hint="eastAsia" w:ascii="宋体" w:hAnsi="宋体" w:eastAsia="宋体" w:cs="宋体"/>
                <w:sz w:val="24"/>
              </w:rPr>
              <w:t>4.测算各岗位绩效系数</w:t>
            </w:r>
          </w:p>
        </w:tc>
        <w:tc>
          <w:tcPr>
            <w:tcW w:w="651" w:type="pct"/>
            <w:vMerge w:val="continue"/>
            <w:noWrap w:val="0"/>
            <w:vAlign w:val="center"/>
          </w:tcPr>
          <w:p w14:paraId="707964F3">
            <w:pPr>
              <w:snapToGrid w:val="0"/>
              <w:spacing w:line="360" w:lineRule="auto"/>
              <w:jc w:val="center"/>
              <w:rPr>
                <w:rFonts w:hint="eastAsia" w:ascii="宋体" w:hAnsi="宋体" w:eastAsia="宋体" w:cs="宋体"/>
                <w:sz w:val="24"/>
              </w:rPr>
            </w:pPr>
          </w:p>
        </w:tc>
      </w:tr>
      <w:tr w14:paraId="3ED00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4" w:type="pct"/>
            <w:noWrap w:val="0"/>
            <w:vAlign w:val="center"/>
          </w:tcPr>
          <w:p w14:paraId="36B6BFDC">
            <w:pPr>
              <w:snapToGrid w:val="0"/>
              <w:spacing w:line="360" w:lineRule="auto"/>
              <w:jc w:val="center"/>
              <w:rPr>
                <w:rFonts w:hint="eastAsia" w:ascii="宋体" w:hAnsi="宋体" w:eastAsia="宋体" w:cs="宋体"/>
                <w:sz w:val="24"/>
              </w:rPr>
            </w:pPr>
            <w:r>
              <w:rPr>
                <w:rFonts w:hint="eastAsia" w:ascii="宋体" w:hAnsi="宋体" w:eastAsia="宋体" w:cs="宋体"/>
                <w:sz w:val="24"/>
              </w:rPr>
              <w:t>医共体医院可控成本核算模块、支出明细分析系统</w:t>
            </w:r>
          </w:p>
        </w:tc>
        <w:tc>
          <w:tcPr>
            <w:tcW w:w="1796" w:type="pct"/>
            <w:noWrap w:val="0"/>
            <w:vAlign w:val="top"/>
          </w:tcPr>
          <w:p w14:paraId="620606FA">
            <w:pPr>
              <w:snapToGrid w:val="0"/>
              <w:spacing w:line="360" w:lineRule="auto"/>
              <w:rPr>
                <w:rFonts w:hint="eastAsia" w:ascii="宋体" w:hAnsi="宋体" w:eastAsia="宋体" w:cs="宋体"/>
                <w:sz w:val="24"/>
              </w:rPr>
            </w:pPr>
            <w:r>
              <w:rPr>
                <w:rFonts w:hint="eastAsia" w:ascii="宋体" w:hAnsi="宋体" w:eastAsia="宋体" w:cs="宋体"/>
                <w:sz w:val="24"/>
              </w:rPr>
              <w:t>1.医院可控成本分类管理</w:t>
            </w:r>
          </w:p>
          <w:p w14:paraId="11034D31">
            <w:pPr>
              <w:snapToGrid w:val="0"/>
              <w:spacing w:line="360" w:lineRule="auto"/>
              <w:rPr>
                <w:rFonts w:hint="eastAsia" w:ascii="宋体" w:hAnsi="宋体" w:eastAsia="宋体" w:cs="宋体"/>
                <w:sz w:val="24"/>
              </w:rPr>
            </w:pPr>
            <w:r>
              <w:rPr>
                <w:rFonts w:hint="eastAsia" w:ascii="宋体" w:hAnsi="宋体" w:eastAsia="宋体" w:cs="宋体"/>
                <w:sz w:val="24"/>
              </w:rPr>
              <w:t>2.医院可控成本领用跟踪</w:t>
            </w:r>
          </w:p>
          <w:p w14:paraId="13784801">
            <w:pPr>
              <w:snapToGrid w:val="0"/>
              <w:spacing w:line="360" w:lineRule="auto"/>
              <w:rPr>
                <w:rFonts w:hint="eastAsia" w:ascii="宋体" w:hAnsi="宋体" w:eastAsia="宋体" w:cs="宋体"/>
                <w:sz w:val="24"/>
              </w:rPr>
            </w:pPr>
            <w:r>
              <w:rPr>
                <w:rFonts w:hint="eastAsia" w:ascii="宋体" w:hAnsi="宋体" w:eastAsia="宋体" w:cs="宋体"/>
                <w:sz w:val="24"/>
              </w:rPr>
              <w:t>3.医院可控成本耗用分析</w:t>
            </w:r>
          </w:p>
        </w:tc>
        <w:tc>
          <w:tcPr>
            <w:tcW w:w="1648" w:type="pct"/>
            <w:noWrap w:val="0"/>
            <w:vAlign w:val="top"/>
          </w:tcPr>
          <w:p w14:paraId="0AFD3DF6">
            <w:pPr>
              <w:snapToGrid w:val="0"/>
              <w:spacing w:line="360" w:lineRule="auto"/>
              <w:rPr>
                <w:rFonts w:hint="eastAsia" w:ascii="宋体" w:hAnsi="宋体" w:eastAsia="宋体" w:cs="宋体"/>
                <w:sz w:val="24"/>
              </w:rPr>
            </w:pPr>
            <w:r>
              <w:rPr>
                <w:rFonts w:hint="eastAsia" w:ascii="宋体" w:hAnsi="宋体" w:eastAsia="宋体" w:cs="宋体"/>
                <w:sz w:val="24"/>
              </w:rPr>
              <w:t>1.医院可控成本耗用调查</w:t>
            </w:r>
          </w:p>
          <w:p w14:paraId="155DD22A">
            <w:pPr>
              <w:snapToGrid w:val="0"/>
              <w:spacing w:line="360" w:lineRule="auto"/>
              <w:rPr>
                <w:rFonts w:hint="eastAsia" w:ascii="宋体" w:hAnsi="宋体" w:eastAsia="宋体" w:cs="宋体"/>
                <w:sz w:val="24"/>
              </w:rPr>
            </w:pPr>
            <w:r>
              <w:rPr>
                <w:rFonts w:hint="eastAsia" w:ascii="宋体" w:hAnsi="宋体" w:eastAsia="宋体" w:cs="宋体"/>
                <w:sz w:val="24"/>
              </w:rPr>
              <w:t>2.医院可控成本核算设计</w:t>
            </w:r>
          </w:p>
          <w:p w14:paraId="03C732B4">
            <w:pPr>
              <w:snapToGrid w:val="0"/>
              <w:spacing w:line="360" w:lineRule="auto"/>
              <w:rPr>
                <w:rFonts w:hint="eastAsia" w:ascii="宋体" w:hAnsi="宋体" w:eastAsia="宋体" w:cs="宋体"/>
                <w:sz w:val="24"/>
              </w:rPr>
            </w:pPr>
            <w:r>
              <w:rPr>
                <w:rFonts w:hint="eastAsia" w:ascii="宋体" w:hAnsi="宋体" w:eastAsia="宋体" w:cs="宋体"/>
                <w:sz w:val="24"/>
              </w:rPr>
              <w:t>3.医院可控成本使用分析</w:t>
            </w:r>
          </w:p>
        </w:tc>
        <w:tc>
          <w:tcPr>
            <w:tcW w:w="651" w:type="pct"/>
            <w:vMerge w:val="continue"/>
            <w:noWrap w:val="0"/>
            <w:vAlign w:val="center"/>
          </w:tcPr>
          <w:p w14:paraId="33D3FFE1">
            <w:pPr>
              <w:snapToGrid w:val="0"/>
              <w:spacing w:line="360" w:lineRule="auto"/>
              <w:jc w:val="center"/>
              <w:rPr>
                <w:rFonts w:hint="eastAsia" w:ascii="宋体" w:hAnsi="宋体" w:eastAsia="宋体" w:cs="宋体"/>
                <w:sz w:val="24"/>
              </w:rPr>
            </w:pPr>
          </w:p>
        </w:tc>
      </w:tr>
      <w:tr w14:paraId="170C1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4" w:type="pct"/>
            <w:noWrap w:val="0"/>
            <w:vAlign w:val="center"/>
          </w:tcPr>
          <w:p w14:paraId="54E60D8A">
            <w:pPr>
              <w:snapToGrid w:val="0"/>
              <w:spacing w:line="360" w:lineRule="auto"/>
              <w:jc w:val="center"/>
              <w:rPr>
                <w:rFonts w:hint="eastAsia" w:ascii="宋体" w:hAnsi="宋体" w:eastAsia="宋体" w:cs="宋体"/>
                <w:sz w:val="24"/>
              </w:rPr>
            </w:pPr>
            <w:r>
              <w:rPr>
                <w:rFonts w:hint="eastAsia" w:ascii="宋体" w:hAnsi="宋体" w:eastAsia="宋体" w:cs="宋体"/>
                <w:sz w:val="24"/>
              </w:rPr>
              <w:t>总院绩效考核指标库模块</w:t>
            </w:r>
          </w:p>
        </w:tc>
        <w:tc>
          <w:tcPr>
            <w:tcW w:w="1796" w:type="pct"/>
            <w:noWrap w:val="0"/>
            <w:vAlign w:val="top"/>
          </w:tcPr>
          <w:p w14:paraId="40E5BD8C">
            <w:pPr>
              <w:snapToGrid w:val="0"/>
              <w:spacing w:line="360" w:lineRule="auto"/>
              <w:rPr>
                <w:rFonts w:hint="eastAsia" w:ascii="宋体" w:hAnsi="宋体" w:eastAsia="宋体" w:cs="宋体"/>
                <w:sz w:val="24"/>
              </w:rPr>
            </w:pPr>
            <w:r>
              <w:rPr>
                <w:rFonts w:hint="eastAsia" w:ascii="宋体" w:hAnsi="宋体" w:eastAsia="宋体" w:cs="宋体"/>
                <w:sz w:val="24"/>
              </w:rPr>
              <w:t>1.总院绩效考核指标库和明细的指标设定</w:t>
            </w:r>
          </w:p>
          <w:p w14:paraId="7B0171B4">
            <w:pPr>
              <w:snapToGrid w:val="0"/>
              <w:spacing w:line="360" w:lineRule="auto"/>
              <w:rPr>
                <w:rFonts w:hint="eastAsia" w:ascii="宋体" w:hAnsi="宋体" w:eastAsia="宋体" w:cs="宋体"/>
                <w:sz w:val="24"/>
              </w:rPr>
            </w:pPr>
            <w:r>
              <w:rPr>
                <w:rFonts w:hint="eastAsia" w:ascii="宋体" w:hAnsi="宋体" w:eastAsia="宋体" w:cs="宋体"/>
                <w:sz w:val="24"/>
              </w:rPr>
              <w:t>2.总院绩效考核指标库各考核指标计算公式设定</w:t>
            </w:r>
          </w:p>
          <w:p w14:paraId="28095F83">
            <w:pPr>
              <w:snapToGrid w:val="0"/>
              <w:spacing w:line="360" w:lineRule="auto"/>
              <w:rPr>
                <w:rFonts w:hint="eastAsia" w:ascii="宋体" w:hAnsi="宋体" w:eastAsia="宋体" w:cs="宋体"/>
                <w:sz w:val="24"/>
              </w:rPr>
            </w:pPr>
            <w:r>
              <w:rPr>
                <w:rFonts w:hint="eastAsia" w:ascii="宋体" w:hAnsi="宋体" w:eastAsia="宋体" w:cs="宋体"/>
                <w:sz w:val="24"/>
              </w:rPr>
              <w:t>3.总院绩效考核指标查询、汇总功能设定</w:t>
            </w:r>
          </w:p>
        </w:tc>
        <w:tc>
          <w:tcPr>
            <w:tcW w:w="1648" w:type="pct"/>
            <w:noWrap w:val="0"/>
            <w:vAlign w:val="top"/>
          </w:tcPr>
          <w:p w14:paraId="521D6A54">
            <w:pPr>
              <w:snapToGrid w:val="0"/>
              <w:spacing w:line="360" w:lineRule="auto"/>
              <w:rPr>
                <w:rFonts w:hint="eastAsia" w:ascii="宋体" w:hAnsi="宋体" w:eastAsia="宋体" w:cs="宋体"/>
                <w:sz w:val="24"/>
              </w:rPr>
            </w:pPr>
            <w:r>
              <w:rPr>
                <w:rFonts w:hint="eastAsia" w:ascii="宋体" w:hAnsi="宋体" w:eastAsia="宋体" w:cs="宋体"/>
                <w:sz w:val="24"/>
              </w:rPr>
              <w:t>1.指标分类设定</w:t>
            </w:r>
          </w:p>
          <w:p w14:paraId="47EA8913">
            <w:pPr>
              <w:snapToGrid w:val="0"/>
              <w:spacing w:line="360" w:lineRule="auto"/>
              <w:rPr>
                <w:rFonts w:hint="eastAsia" w:ascii="宋体" w:hAnsi="宋体" w:eastAsia="宋体" w:cs="宋体"/>
                <w:sz w:val="24"/>
              </w:rPr>
            </w:pPr>
            <w:r>
              <w:rPr>
                <w:rFonts w:hint="eastAsia" w:ascii="宋体" w:hAnsi="宋体" w:eastAsia="宋体" w:cs="宋体"/>
                <w:sz w:val="24"/>
              </w:rPr>
              <w:t>2.指标计算公式设定</w:t>
            </w:r>
          </w:p>
          <w:p w14:paraId="32231B41">
            <w:pPr>
              <w:snapToGrid w:val="0"/>
              <w:spacing w:line="360" w:lineRule="auto"/>
              <w:rPr>
                <w:rFonts w:hint="eastAsia" w:ascii="宋体" w:hAnsi="宋体" w:eastAsia="宋体" w:cs="宋体"/>
                <w:sz w:val="24"/>
              </w:rPr>
            </w:pPr>
            <w:r>
              <w:rPr>
                <w:rFonts w:hint="eastAsia" w:ascii="宋体" w:hAnsi="宋体" w:eastAsia="宋体" w:cs="宋体"/>
                <w:sz w:val="24"/>
              </w:rPr>
              <w:t>3.指标明细对比分析</w:t>
            </w:r>
          </w:p>
        </w:tc>
        <w:tc>
          <w:tcPr>
            <w:tcW w:w="651" w:type="pct"/>
            <w:vMerge w:val="continue"/>
            <w:noWrap w:val="0"/>
            <w:vAlign w:val="center"/>
          </w:tcPr>
          <w:p w14:paraId="2139E43F">
            <w:pPr>
              <w:snapToGrid w:val="0"/>
              <w:spacing w:line="360" w:lineRule="auto"/>
              <w:jc w:val="center"/>
              <w:rPr>
                <w:rFonts w:hint="eastAsia" w:ascii="宋体" w:hAnsi="宋体" w:eastAsia="宋体" w:cs="宋体"/>
                <w:sz w:val="24"/>
              </w:rPr>
            </w:pPr>
          </w:p>
        </w:tc>
      </w:tr>
    </w:tbl>
    <w:p w14:paraId="5A9D3B20">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Times New Roman" w:hAnsi="Times New Roman" w:eastAsia="方正仿宋_GB2312" w:cs="Times New Roman"/>
          <w:color w:val="auto"/>
          <w:sz w:val="28"/>
          <w:szCs w:val="28"/>
          <w:lang w:val="en-US" w:eastAsia="zh-CN"/>
        </w:rPr>
      </w:pPr>
    </w:p>
    <w:p w14:paraId="5F715E29">
      <w:pPr>
        <w:keepNext w:val="0"/>
        <w:keepLines w:val="0"/>
        <w:pageBreakBefore w:val="0"/>
        <w:widowControl w:val="0"/>
        <w:kinsoku/>
        <w:wordWrap/>
        <w:overflowPunct/>
        <w:topLinePunct w:val="0"/>
        <w:autoSpaceDE/>
        <w:autoSpaceDN/>
        <w:bidi w:val="0"/>
        <w:adjustRightInd/>
        <w:snapToGrid/>
        <w:spacing w:line="360" w:lineRule="auto"/>
        <w:ind w:firstLine="422" w:firstLineChars="200"/>
        <w:jc w:val="left"/>
        <w:textAlignment w:val="auto"/>
        <w:rPr>
          <w:rFonts w:hint="eastAsia" w:ascii="宋体" w:hAnsi="宋体" w:eastAsia="宋体" w:cs="宋体"/>
          <w:snapToGrid/>
          <w:color w:val="auto"/>
          <w:kern w:val="2"/>
          <w:sz w:val="21"/>
          <w:szCs w:val="21"/>
          <w:lang w:eastAsia="zh-CN"/>
        </w:rPr>
      </w:pPr>
      <w:r>
        <w:rPr>
          <w:rFonts w:hint="eastAsia" w:ascii="宋体" w:hAnsi="宋体" w:eastAsia="宋体" w:cs="宋体"/>
          <w:b/>
          <w:bCs/>
          <w:color w:val="auto"/>
          <w:sz w:val="21"/>
          <w:szCs w:val="21"/>
        </w:rPr>
        <w:t>注：以上</w:t>
      </w:r>
      <w:r>
        <w:rPr>
          <w:rFonts w:hint="eastAsia" w:ascii="宋体" w:hAnsi="宋体" w:eastAsia="宋体" w:cs="宋体"/>
          <w:b/>
          <w:bCs/>
          <w:color w:val="auto"/>
          <w:sz w:val="21"/>
          <w:szCs w:val="21"/>
          <w:lang w:val="en-US" w:eastAsia="zh-CN"/>
        </w:rPr>
        <w:t>服务</w:t>
      </w:r>
      <w:r>
        <w:rPr>
          <w:rFonts w:hint="eastAsia" w:ascii="宋体" w:hAnsi="宋体" w:eastAsia="宋体" w:cs="宋体"/>
          <w:b/>
          <w:bCs/>
          <w:color w:val="auto"/>
          <w:sz w:val="21"/>
          <w:szCs w:val="21"/>
        </w:rPr>
        <w:t>需求均为实质性条款，供应商须</w:t>
      </w:r>
      <w:r>
        <w:rPr>
          <w:rFonts w:hint="eastAsia" w:ascii="宋体" w:hAnsi="宋体" w:eastAsia="宋体" w:cs="宋体"/>
          <w:b/>
          <w:bCs/>
          <w:color w:val="auto"/>
          <w:sz w:val="21"/>
          <w:szCs w:val="21"/>
          <w:lang w:val="en-US" w:eastAsia="zh-CN"/>
        </w:rPr>
        <w:t>完全</w:t>
      </w:r>
      <w:r>
        <w:rPr>
          <w:rFonts w:hint="eastAsia" w:ascii="宋体" w:hAnsi="宋体" w:eastAsia="宋体" w:cs="宋体"/>
          <w:b/>
          <w:bCs/>
          <w:color w:val="auto"/>
          <w:sz w:val="21"/>
          <w:szCs w:val="21"/>
        </w:rPr>
        <w:t>响应</w:t>
      </w:r>
      <w:r>
        <w:rPr>
          <w:rFonts w:hint="eastAsia" w:ascii="宋体" w:hAnsi="宋体" w:eastAsia="宋体" w:cs="宋体"/>
          <w:b/>
          <w:bCs/>
          <w:color w:val="auto"/>
          <w:sz w:val="21"/>
          <w:szCs w:val="21"/>
          <w:lang w:eastAsia="zh-CN"/>
        </w:rPr>
        <w:t>（</w:t>
      </w:r>
      <w:r>
        <w:rPr>
          <w:rFonts w:hint="eastAsia" w:ascii="宋体" w:hAnsi="宋体" w:eastAsia="宋体" w:cs="宋体"/>
          <w:b/>
          <w:bCs/>
          <w:color w:val="auto"/>
          <w:sz w:val="21"/>
          <w:szCs w:val="21"/>
          <w:lang w:val="en-US" w:eastAsia="zh-CN"/>
        </w:rPr>
        <w:t>满足</w:t>
      </w:r>
      <w:r>
        <w:rPr>
          <w:rFonts w:hint="eastAsia" w:ascii="宋体" w:hAnsi="宋体" w:eastAsia="宋体" w:cs="宋体"/>
          <w:b/>
          <w:bCs/>
          <w:color w:val="auto"/>
          <w:sz w:val="21"/>
          <w:szCs w:val="21"/>
        </w:rPr>
        <w:t>或优于</w:t>
      </w:r>
      <w:r>
        <w:rPr>
          <w:rFonts w:hint="eastAsia" w:ascii="宋体" w:hAnsi="宋体" w:eastAsia="宋体" w:cs="宋体"/>
          <w:b/>
          <w:bCs/>
          <w:color w:val="auto"/>
          <w:sz w:val="21"/>
          <w:szCs w:val="21"/>
          <w:lang w:eastAsia="zh-CN"/>
        </w:rPr>
        <w:t>），</w:t>
      </w:r>
      <w:r>
        <w:rPr>
          <w:rFonts w:hint="eastAsia" w:ascii="宋体" w:hAnsi="宋体" w:eastAsia="宋体" w:cs="宋体"/>
          <w:b/>
          <w:bCs/>
          <w:color w:val="auto"/>
          <w:sz w:val="21"/>
          <w:szCs w:val="21"/>
        </w:rPr>
        <w:t>否则，视为无效</w:t>
      </w:r>
      <w:r>
        <w:rPr>
          <w:rFonts w:hint="eastAsia" w:ascii="宋体" w:hAnsi="宋体" w:eastAsia="宋体" w:cs="宋体"/>
          <w:b/>
          <w:bCs/>
          <w:color w:val="auto"/>
          <w:sz w:val="21"/>
          <w:szCs w:val="21"/>
          <w:lang w:val="en-US" w:eastAsia="zh-CN"/>
        </w:rPr>
        <w:t>投标</w:t>
      </w:r>
      <w:r>
        <w:rPr>
          <w:rFonts w:hint="eastAsia" w:ascii="宋体" w:hAnsi="宋体" w:eastAsia="宋体" w:cs="宋体"/>
          <w:b/>
          <w:bCs/>
          <w:color w:val="auto"/>
          <w:sz w:val="21"/>
          <w:szCs w:val="21"/>
        </w:rPr>
        <w:t>。</w:t>
      </w:r>
    </w:p>
    <w:p w14:paraId="57D229F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b/>
          <w:sz w:val="30"/>
          <w:szCs w:val="30"/>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F"/>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仿宋_GB2312">
    <w:altName w:val="仿宋"/>
    <w:panose1 w:val="02000000000000000000"/>
    <w:charset w:val="86"/>
    <w:family w:val="auto"/>
    <w:pitch w:val="default"/>
    <w:sig w:usb0="00000000" w:usb1="00000000" w:usb2="00000012" w:usb3="00000000" w:csb0="00040001"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F2F20C"/>
    <w:multiLevelType w:val="singleLevel"/>
    <w:tmpl w:val="B7F2F20C"/>
    <w:lvl w:ilvl="0" w:tentative="0">
      <w:start w:val="1"/>
      <w:numFmt w:val="decimal"/>
      <w:lvlText w:val="%1."/>
      <w:lvlJc w:val="left"/>
      <w:pPr>
        <w:tabs>
          <w:tab w:val="left" w:pos="312"/>
        </w:tabs>
      </w:pPr>
    </w:lvl>
  </w:abstractNum>
  <w:abstractNum w:abstractNumId="1">
    <w:nsid w:val="7BEF5A74"/>
    <w:multiLevelType w:val="multilevel"/>
    <w:tmpl w:val="7BEF5A74"/>
    <w:lvl w:ilvl="0" w:tentative="0">
      <w:start w:val="1"/>
      <w:numFmt w:val="japaneseCounting"/>
      <w:lvlText w:val="%1、"/>
      <w:lvlJc w:val="left"/>
      <w:pPr>
        <w:ind w:left="500" w:hanging="50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703B5F"/>
    <w:rsid w:val="00000911"/>
    <w:rsid w:val="00030231"/>
    <w:rsid w:val="000B3842"/>
    <w:rsid w:val="000D2141"/>
    <w:rsid w:val="001819F9"/>
    <w:rsid w:val="002038B3"/>
    <w:rsid w:val="00235731"/>
    <w:rsid w:val="00244EA8"/>
    <w:rsid w:val="00263C6D"/>
    <w:rsid w:val="002A75DD"/>
    <w:rsid w:val="003C01CB"/>
    <w:rsid w:val="003E786D"/>
    <w:rsid w:val="00425834"/>
    <w:rsid w:val="004A116D"/>
    <w:rsid w:val="00507785"/>
    <w:rsid w:val="00522A44"/>
    <w:rsid w:val="005267C0"/>
    <w:rsid w:val="00543B85"/>
    <w:rsid w:val="00552F46"/>
    <w:rsid w:val="00562407"/>
    <w:rsid w:val="00585191"/>
    <w:rsid w:val="00603C92"/>
    <w:rsid w:val="00673830"/>
    <w:rsid w:val="006A255F"/>
    <w:rsid w:val="006A7FB3"/>
    <w:rsid w:val="00703B5F"/>
    <w:rsid w:val="00733D52"/>
    <w:rsid w:val="00735E71"/>
    <w:rsid w:val="00882E81"/>
    <w:rsid w:val="008A6433"/>
    <w:rsid w:val="008A6768"/>
    <w:rsid w:val="008F0BBD"/>
    <w:rsid w:val="009570AD"/>
    <w:rsid w:val="009A0541"/>
    <w:rsid w:val="009E76D5"/>
    <w:rsid w:val="00A039C8"/>
    <w:rsid w:val="00B04436"/>
    <w:rsid w:val="00B5085B"/>
    <w:rsid w:val="00B561F0"/>
    <w:rsid w:val="00C200B7"/>
    <w:rsid w:val="00C7466F"/>
    <w:rsid w:val="00C966AB"/>
    <w:rsid w:val="00CC57FA"/>
    <w:rsid w:val="00CF2EE1"/>
    <w:rsid w:val="00D02223"/>
    <w:rsid w:val="00D23099"/>
    <w:rsid w:val="00DB1DD3"/>
    <w:rsid w:val="00E86053"/>
    <w:rsid w:val="00EF6C55"/>
    <w:rsid w:val="00F2204B"/>
    <w:rsid w:val="00F620EF"/>
    <w:rsid w:val="00F62EC1"/>
    <w:rsid w:val="00F848BA"/>
    <w:rsid w:val="02C23C7E"/>
    <w:rsid w:val="1CE123EB"/>
    <w:rsid w:val="25D921CE"/>
    <w:rsid w:val="31554CFE"/>
    <w:rsid w:val="3350748D"/>
    <w:rsid w:val="62540537"/>
    <w:rsid w:val="77792F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nhideWhenUsed="0" w:uiPriority="9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16"/>
    <w:qFormat/>
    <w:uiPriority w:val="0"/>
    <w:pPr>
      <w:keepNext/>
      <w:keepLines/>
      <w:spacing w:before="260" w:after="260" w:line="413" w:lineRule="auto"/>
      <w:outlineLvl w:val="1"/>
    </w:pPr>
    <w:rPr>
      <w:rFonts w:ascii="Arial" w:hAnsi="Arial" w:eastAsia="黑体" w:cs="Times New Roman"/>
      <w:b/>
      <w:bCs/>
      <w:kern w:val="0"/>
      <w:sz w:val="32"/>
      <w:szCs w:val="32"/>
    </w:rPr>
  </w:style>
  <w:style w:type="paragraph" w:styleId="3">
    <w:name w:val="heading 3"/>
    <w:basedOn w:val="1"/>
    <w:next w:val="1"/>
    <w:link w:val="17"/>
    <w:qFormat/>
    <w:uiPriority w:val="0"/>
    <w:pPr>
      <w:keepNext/>
      <w:keepLines/>
      <w:spacing w:before="260" w:after="260" w:line="413" w:lineRule="auto"/>
      <w:outlineLvl w:val="2"/>
    </w:pPr>
    <w:rPr>
      <w:rFonts w:ascii="Times New Roman" w:hAnsi="Times New Roman" w:eastAsia="宋体" w:cs="Times New Roman"/>
      <w:b/>
      <w:bCs/>
      <w:sz w:val="32"/>
      <w:szCs w:val="32"/>
    </w:rPr>
  </w:style>
  <w:style w:type="paragraph" w:styleId="4">
    <w:name w:val="heading 4"/>
    <w:basedOn w:val="1"/>
    <w:next w:val="1"/>
    <w:link w:val="18"/>
    <w:qFormat/>
    <w:uiPriority w:val="99"/>
    <w:pPr>
      <w:keepNext/>
      <w:keepLines/>
      <w:spacing w:before="280" w:after="290" w:line="374" w:lineRule="auto"/>
      <w:outlineLvl w:val="3"/>
    </w:pPr>
    <w:rPr>
      <w:rFonts w:ascii="Cambria" w:hAnsi="Cambria" w:eastAsia="宋体" w:cs="Times New Roman"/>
      <w:b/>
      <w:bCs/>
      <w:sz w:val="28"/>
      <w:szCs w:val="28"/>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5">
    <w:name w:val="Body Text"/>
    <w:basedOn w:val="1"/>
    <w:link w:val="19"/>
    <w:qFormat/>
    <w:uiPriority w:val="0"/>
    <w:rPr>
      <w:rFonts w:ascii="黑体" w:hAnsi="Times New Roman" w:eastAsia="黑体" w:cs="Times New Roman"/>
      <w:sz w:val="22"/>
      <w:szCs w:val="24"/>
    </w:rPr>
  </w:style>
  <w:style w:type="paragraph" w:styleId="6">
    <w:name w:val="Body Text Indent"/>
    <w:basedOn w:val="1"/>
    <w:link w:val="20"/>
    <w:semiHidden/>
    <w:unhideWhenUsed/>
    <w:qFormat/>
    <w:uiPriority w:val="99"/>
    <w:pPr>
      <w:spacing w:after="120"/>
      <w:ind w:left="420" w:leftChars="200"/>
    </w:pPr>
  </w:style>
  <w:style w:type="paragraph" w:styleId="7">
    <w:name w:val="footer"/>
    <w:basedOn w:val="1"/>
    <w:link w:val="15"/>
    <w:semiHidden/>
    <w:unhideWhenUsed/>
    <w:qFormat/>
    <w:uiPriority w:val="99"/>
    <w:pPr>
      <w:tabs>
        <w:tab w:val="center" w:pos="4153"/>
        <w:tab w:val="right" w:pos="8306"/>
      </w:tabs>
      <w:snapToGrid w:val="0"/>
      <w:jc w:val="left"/>
    </w:pPr>
    <w:rPr>
      <w:sz w:val="18"/>
      <w:szCs w:val="18"/>
    </w:rPr>
  </w:style>
  <w:style w:type="paragraph" w:styleId="8">
    <w:name w:val="header"/>
    <w:basedOn w:val="1"/>
    <w:link w:val="14"/>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Body Text First Indent 2"/>
    <w:basedOn w:val="6"/>
    <w:link w:val="21"/>
    <w:qFormat/>
    <w:uiPriority w:val="0"/>
    <w:pPr>
      <w:tabs>
        <w:tab w:val="left" w:pos="900"/>
      </w:tabs>
      <w:ind w:firstLine="420" w:firstLineChars="200"/>
    </w:pPr>
    <w:rPr>
      <w:rFonts w:ascii="Times New Roman" w:hAnsi="Times New Roman" w:eastAsia="宋体" w:cs="Times New Roman"/>
      <w:szCs w:val="24"/>
    </w:rPr>
  </w:style>
  <w:style w:type="table" w:styleId="11">
    <w:name w:val="Table Grid"/>
    <w:basedOn w:val="10"/>
    <w:unhideWhenUse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3">
    <w:name w:val="Strong"/>
    <w:basedOn w:val="12"/>
    <w:qFormat/>
    <w:uiPriority w:val="22"/>
    <w:rPr>
      <w:b/>
      <w:bCs/>
    </w:rPr>
  </w:style>
  <w:style w:type="character" w:customStyle="1" w:styleId="14">
    <w:name w:val="页眉 Char"/>
    <w:basedOn w:val="12"/>
    <w:link w:val="8"/>
    <w:semiHidden/>
    <w:qFormat/>
    <w:uiPriority w:val="99"/>
    <w:rPr>
      <w:sz w:val="18"/>
      <w:szCs w:val="18"/>
    </w:rPr>
  </w:style>
  <w:style w:type="character" w:customStyle="1" w:styleId="15">
    <w:name w:val="页脚 Char"/>
    <w:basedOn w:val="12"/>
    <w:link w:val="7"/>
    <w:semiHidden/>
    <w:qFormat/>
    <w:uiPriority w:val="99"/>
    <w:rPr>
      <w:sz w:val="18"/>
      <w:szCs w:val="18"/>
    </w:rPr>
  </w:style>
  <w:style w:type="character" w:customStyle="1" w:styleId="16">
    <w:name w:val="标题 2 Char"/>
    <w:basedOn w:val="12"/>
    <w:link w:val="2"/>
    <w:qFormat/>
    <w:uiPriority w:val="0"/>
    <w:rPr>
      <w:rFonts w:ascii="Arial" w:hAnsi="Arial" w:eastAsia="黑体" w:cs="Times New Roman"/>
      <w:b/>
      <w:bCs/>
      <w:kern w:val="0"/>
      <w:sz w:val="32"/>
      <w:szCs w:val="32"/>
    </w:rPr>
  </w:style>
  <w:style w:type="character" w:customStyle="1" w:styleId="17">
    <w:name w:val="标题 3 Char"/>
    <w:basedOn w:val="12"/>
    <w:link w:val="3"/>
    <w:qFormat/>
    <w:uiPriority w:val="0"/>
    <w:rPr>
      <w:rFonts w:ascii="Times New Roman" w:hAnsi="Times New Roman" w:eastAsia="宋体" w:cs="Times New Roman"/>
      <w:b/>
      <w:bCs/>
      <w:sz w:val="32"/>
      <w:szCs w:val="32"/>
    </w:rPr>
  </w:style>
  <w:style w:type="character" w:customStyle="1" w:styleId="18">
    <w:name w:val="标题 4 Char"/>
    <w:basedOn w:val="12"/>
    <w:link w:val="4"/>
    <w:qFormat/>
    <w:uiPriority w:val="99"/>
    <w:rPr>
      <w:rFonts w:ascii="Cambria" w:hAnsi="Cambria" w:eastAsia="宋体" w:cs="Times New Roman"/>
      <w:b/>
      <w:bCs/>
      <w:sz w:val="28"/>
      <w:szCs w:val="28"/>
    </w:rPr>
  </w:style>
  <w:style w:type="character" w:customStyle="1" w:styleId="19">
    <w:name w:val="正文文本 Char"/>
    <w:basedOn w:val="12"/>
    <w:link w:val="5"/>
    <w:qFormat/>
    <w:uiPriority w:val="0"/>
    <w:rPr>
      <w:rFonts w:ascii="黑体" w:hAnsi="Times New Roman" w:eastAsia="黑体" w:cs="Times New Roman"/>
      <w:sz w:val="22"/>
      <w:szCs w:val="24"/>
    </w:rPr>
  </w:style>
  <w:style w:type="character" w:customStyle="1" w:styleId="20">
    <w:name w:val="正文文本缩进 Char"/>
    <w:basedOn w:val="12"/>
    <w:link w:val="6"/>
    <w:semiHidden/>
    <w:qFormat/>
    <w:uiPriority w:val="99"/>
  </w:style>
  <w:style w:type="character" w:customStyle="1" w:styleId="21">
    <w:name w:val="正文首行缩进 2 Char"/>
    <w:basedOn w:val="20"/>
    <w:link w:val="9"/>
    <w:qFormat/>
    <w:uiPriority w:val="0"/>
    <w:rPr>
      <w:rFonts w:ascii="Times New Roman" w:hAnsi="Times New Roman" w:eastAsia="宋体" w:cs="Times New Roman"/>
      <w:szCs w:val="24"/>
    </w:rPr>
  </w:style>
  <w:style w:type="paragraph" w:styleId="22">
    <w:name w:val="List Paragraph"/>
    <w:basedOn w:val="1"/>
    <w:qFormat/>
    <w:uiPriority w:val="34"/>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13</Pages>
  <Words>1675</Words>
  <Characters>1745</Characters>
  <Lines>33</Lines>
  <Paragraphs>9</Paragraphs>
  <TotalTime>0</TotalTime>
  <ScaleCrop>false</ScaleCrop>
  <LinksUpToDate>false</LinksUpToDate>
  <CharactersWithSpaces>1748</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2020-08-12T09:22:00Z</dcterms:created>
  <dc:creator>AutoBVT</dc:creator>
  <cp:lastModifiedBy>Administrator</cp:lastModifiedBy>
  <dcterms:modified xsi:type="dcterms:W3CDTF">2026-06-24T15:43:16Z</dcterms:modified>
  <cp:revision>49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eyJoZGlkIjoiZDMyZDc3N2FiYjg1YjI5ZTRkMTAwNTg3M2EzMjRlZjUiLCJ1c2VySWQiOiI0NDg0MjM2NTIifQ==</vt:lpwstr>
  </property>
  <property fmtid="{D5CDD505-2E9C-101B-9397-08002B2CF9AE}" pid="3" name="KSOProductBuildVer">
    <vt:lpwstr>2052-12.1.0.26895</vt:lpwstr>
  </property>
  <property fmtid="{D5CDD505-2E9C-101B-9397-08002B2CF9AE}" pid="4" name="ICV">
    <vt:lpwstr>A7A10945D51E47AC8A6DE65276407737_12</vt:lpwstr>
  </property>
</Properties>
</file>