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538E81">
      <w:pPr>
        <w:pStyle w:val="5"/>
        <w:numPr>
          <w:numId w:val="0"/>
        </w:numPr>
        <w:spacing w:before="0" w:after="0" w:line="400" w:lineRule="exact"/>
        <w:ind w:leftChars="0"/>
        <w:jc w:val="center"/>
        <w:rPr>
          <w:rFonts w:ascii="宋体" w:hAnsi="宋体" w:eastAsia="宋体" w:cs="宋体"/>
          <w:color w:val="auto"/>
          <w:sz w:val="28"/>
          <w:szCs w:val="28"/>
        </w:rPr>
      </w:pPr>
      <w:bookmarkStart w:id="1" w:name="_GoBack"/>
      <w:bookmarkEnd w:id="1"/>
      <w:bookmarkStart w:id="0" w:name="_Toc149810081"/>
      <w:r>
        <w:rPr>
          <w:rFonts w:hint="eastAsia" w:ascii="宋体" w:hAnsi="宋体" w:eastAsia="宋体" w:cs="宋体"/>
          <w:color w:val="auto"/>
          <w:sz w:val="28"/>
          <w:szCs w:val="28"/>
        </w:rPr>
        <w:t>采购需求</w:t>
      </w:r>
      <w:bookmarkEnd w:id="0"/>
    </w:p>
    <w:p w14:paraId="6D9EF0EB">
      <w:pPr>
        <w:numPr>
          <w:ilvl w:val="0"/>
          <w:numId w:val="1"/>
        </w:numPr>
        <w:spacing w:line="360" w:lineRule="auto"/>
        <w:rPr>
          <w:rFonts w:ascii="宋体" w:hAnsi="宋体" w:cs="宋体"/>
          <w:b/>
          <w:bCs/>
          <w:color w:val="auto"/>
          <w:sz w:val="24"/>
          <w:szCs w:val="24"/>
        </w:rPr>
      </w:pPr>
      <w:r>
        <w:rPr>
          <w:rFonts w:hint="eastAsia" w:ascii="宋体" w:hAnsi="宋体" w:cs="宋体"/>
          <w:b/>
          <w:bCs/>
          <w:color w:val="auto"/>
          <w:sz w:val="24"/>
          <w:szCs w:val="24"/>
        </w:rPr>
        <w:t>采购条目名称及数量</w:t>
      </w:r>
    </w:p>
    <w:tbl>
      <w:tblPr>
        <w:tblStyle w:val="32"/>
        <w:tblW w:w="90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82"/>
        <w:gridCol w:w="1900"/>
        <w:gridCol w:w="700"/>
        <w:gridCol w:w="925"/>
        <w:gridCol w:w="1213"/>
        <w:gridCol w:w="1287"/>
        <w:gridCol w:w="870"/>
      </w:tblGrid>
      <w:tr w14:paraId="6B3A1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2182" w:type="dxa"/>
            <w:noWrap/>
            <w:vAlign w:val="center"/>
          </w:tcPr>
          <w:p w14:paraId="638162BA">
            <w:pPr>
              <w:spacing w:line="360" w:lineRule="auto"/>
              <w:jc w:val="center"/>
              <w:rPr>
                <w:rFonts w:ascii="宋体" w:hAnsi="宋体" w:cs="宋体"/>
                <w:color w:val="auto"/>
                <w:sz w:val="24"/>
                <w:szCs w:val="24"/>
              </w:rPr>
            </w:pPr>
            <w:r>
              <w:rPr>
                <w:rFonts w:hint="eastAsia" w:ascii="宋体" w:hAnsi="宋体" w:cs="宋体"/>
                <w:color w:val="auto"/>
                <w:sz w:val="24"/>
                <w:szCs w:val="24"/>
              </w:rPr>
              <w:t>项目名称</w:t>
            </w:r>
          </w:p>
        </w:tc>
        <w:tc>
          <w:tcPr>
            <w:tcW w:w="1900" w:type="dxa"/>
            <w:noWrap/>
            <w:vAlign w:val="center"/>
          </w:tcPr>
          <w:p w14:paraId="15324082">
            <w:pPr>
              <w:spacing w:line="360" w:lineRule="auto"/>
              <w:jc w:val="center"/>
              <w:rPr>
                <w:rFonts w:ascii="宋体" w:hAnsi="宋体" w:cs="宋体"/>
                <w:color w:val="auto"/>
                <w:sz w:val="24"/>
                <w:szCs w:val="24"/>
              </w:rPr>
            </w:pPr>
            <w:r>
              <w:rPr>
                <w:rFonts w:hint="eastAsia" w:ascii="宋体" w:hAnsi="宋体" w:cs="宋体"/>
                <w:color w:val="auto"/>
                <w:sz w:val="24"/>
                <w:szCs w:val="24"/>
              </w:rPr>
              <w:t>采购条目</w:t>
            </w:r>
          </w:p>
        </w:tc>
        <w:tc>
          <w:tcPr>
            <w:tcW w:w="700" w:type="dxa"/>
            <w:noWrap/>
            <w:vAlign w:val="center"/>
          </w:tcPr>
          <w:p w14:paraId="1316B171">
            <w:pPr>
              <w:spacing w:line="360" w:lineRule="auto"/>
              <w:jc w:val="center"/>
              <w:rPr>
                <w:rFonts w:ascii="宋体" w:hAnsi="宋体" w:cs="宋体"/>
                <w:color w:val="auto"/>
                <w:sz w:val="24"/>
                <w:szCs w:val="24"/>
              </w:rPr>
            </w:pPr>
            <w:r>
              <w:rPr>
                <w:rFonts w:hint="eastAsia" w:ascii="宋体" w:hAnsi="宋体" w:cs="宋体"/>
                <w:color w:val="auto"/>
                <w:sz w:val="24"/>
                <w:szCs w:val="24"/>
              </w:rPr>
              <w:t>数量</w:t>
            </w:r>
          </w:p>
        </w:tc>
        <w:tc>
          <w:tcPr>
            <w:tcW w:w="925" w:type="dxa"/>
            <w:noWrap/>
            <w:vAlign w:val="center"/>
          </w:tcPr>
          <w:p w14:paraId="314E0BD1">
            <w:pPr>
              <w:spacing w:line="360" w:lineRule="auto"/>
              <w:jc w:val="center"/>
              <w:rPr>
                <w:rFonts w:ascii="宋体" w:hAnsi="宋体" w:cs="宋体"/>
                <w:color w:val="auto"/>
                <w:sz w:val="24"/>
                <w:szCs w:val="24"/>
              </w:rPr>
            </w:pPr>
            <w:r>
              <w:rPr>
                <w:rFonts w:hint="eastAsia" w:ascii="宋体" w:hAnsi="宋体" w:cs="宋体"/>
                <w:color w:val="auto"/>
                <w:sz w:val="24"/>
                <w:szCs w:val="24"/>
              </w:rPr>
              <w:t>进口/国产</w:t>
            </w:r>
          </w:p>
        </w:tc>
        <w:tc>
          <w:tcPr>
            <w:tcW w:w="1213" w:type="dxa"/>
            <w:noWrap/>
            <w:vAlign w:val="center"/>
          </w:tcPr>
          <w:p w14:paraId="03CAE943">
            <w:pPr>
              <w:spacing w:line="360" w:lineRule="auto"/>
              <w:jc w:val="center"/>
              <w:rPr>
                <w:rFonts w:ascii="宋体" w:hAnsi="宋体" w:cs="宋体"/>
                <w:color w:val="auto"/>
                <w:sz w:val="24"/>
                <w:szCs w:val="24"/>
              </w:rPr>
            </w:pPr>
            <w:r>
              <w:rPr>
                <w:rFonts w:hint="eastAsia" w:ascii="宋体" w:hAnsi="宋体" w:cs="宋体"/>
                <w:color w:val="auto"/>
                <w:sz w:val="24"/>
                <w:szCs w:val="24"/>
              </w:rPr>
              <w:t>预算（万元）</w:t>
            </w:r>
          </w:p>
        </w:tc>
        <w:tc>
          <w:tcPr>
            <w:tcW w:w="1287" w:type="dxa"/>
            <w:noWrap/>
            <w:vAlign w:val="center"/>
          </w:tcPr>
          <w:p w14:paraId="05B353AD">
            <w:pPr>
              <w:spacing w:line="360" w:lineRule="auto"/>
              <w:jc w:val="center"/>
              <w:rPr>
                <w:rFonts w:ascii="宋体" w:hAnsi="宋体" w:cs="宋体"/>
                <w:color w:val="auto"/>
                <w:sz w:val="24"/>
                <w:szCs w:val="24"/>
              </w:rPr>
            </w:pPr>
            <w:r>
              <w:rPr>
                <w:rFonts w:hint="eastAsia" w:ascii="宋体" w:hAnsi="宋体" w:cs="宋体"/>
                <w:color w:val="auto"/>
                <w:sz w:val="24"/>
                <w:szCs w:val="24"/>
              </w:rPr>
              <w:t>最高限价（万元）</w:t>
            </w:r>
          </w:p>
        </w:tc>
        <w:tc>
          <w:tcPr>
            <w:tcW w:w="870" w:type="dxa"/>
            <w:noWrap/>
            <w:vAlign w:val="center"/>
          </w:tcPr>
          <w:p w14:paraId="1526EE2F">
            <w:pPr>
              <w:spacing w:line="360" w:lineRule="auto"/>
              <w:jc w:val="center"/>
              <w:rPr>
                <w:rFonts w:ascii="宋体" w:hAnsi="宋体" w:cs="宋体"/>
                <w:color w:val="auto"/>
                <w:sz w:val="24"/>
                <w:szCs w:val="24"/>
              </w:rPr>
            </w:pPr>
            <w:r>
              <w:rPr>
                <w:rFonts w:hint="eastAsia" w:ascii="宋体" w:hAnsi="宋体" w:cs="宋体"/>
                <w:color w:val="auto"/>
                <w:sz w:val="24"/>
                <w:szCs w:val="24"/>
              </w:rPr>
              <w:t>备注</w:t>
            </w:r>
          </w:p>
        </w:tc>
      </w:tr>
      <w:tr w14:paraId="12E39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4" w:hRule="atLeast"/>
          <w:jc w:val="center"/>
        </w:trPr>
        <w:tc>
          <w:tcPr>
            <w:tcW w:w="2182" w:type="dxa"/>
            <w:noWrap/>
            <w:vAlign w:val="center"/>
          </w:tcPr>
          <w:p w14:paraId="6088DF1F">
            <w:pPr>
              <w:spacing w:line="360" w:lineRule="auto"/>
              <w:rPr>
                <w:rFonts w:ascii="宋体" w:hAnsi="宋体" w:cs="宋体"/>
                <w:color w:val="auto"/>
                <w:sz w:val="24"/>
                <w:szCs w:val="24"/>
              </w:rPr>
            </w:pPr>
            <w:r>
              <w:rPr>
                <w:rFonts w:hint="eastAsia" w:ascii="宋体" w:hAnsi="宋体" w:cs="宋体"/>
                <w:color w:val="auto"/>
                <w:sz w:val="24"/>
                <w:szCs w:val="24"/>
              </w:rPr>
              <w:t>南昌市洪都中学</w:t>
            </w:r>
            <w:r>
              <w:rPr>
                <w:rFonts w:hint="eastAsia" w:ascii="宋体" w:hAnsi="宋体" w:cs="宋体"/>
                <w:color w:val="auto"/>
                <w:sz w:val="24"/>
                <w:szCs w:val="24"/>
                <w:lang w:val="en-US" w:eastAsia="zh-CN"/>
              </w:rPr>
              <w:t>迎宾</w:t>
            </w:r>
            <w:r>
              <w:rPr>
                <w:rFonts w:hint="eastAsia" w:ascii="宋体" w:hAnsi="宋体" w:cs="宋体"/>
                <w:color w:val="auto"/>
                <w:sz w:val="24"/>
                <w:szCs w:val="24"/>
              </w:rPr>
              <w:t>校区一体机采购项</w:t>
            </w:r>
          </w:p>
        </w:tc>
        <w:tc>
          <w:tcPr>
            <w:tcW w:w="1900" w:type="dxa"/>
            <w:noWrap/>
            <w:vAlign w:val="center"/>
          </w:tcPr>
          <w:p w14:paraId="0483BA87">
            <w:pPr>
              <w:spacing w:line="360" w:lineRule="auto"/>
              <w:rPr>
                <w:rFonts w:ascii="宋体" w:hAnsi="宋体" w:cs="宋体"/>
                <w:color w:val="auto"/>
                <w:sz w:val="24"/>
                <w:szCs w:val="24"/>
              </w:rPr>
            </w:pPr>
            <w:r>
              <w:rPr>
                <w:rFonts w:hint="eastAsia" w:ascii="宋体" w:hAnsi="宋体" w:cs="宋体"/>
                <w:color w:val="auto"/>
                <w:sz w:val="24"/>
                <w:szCs w:val="24"/>
              </w:rPr>
              <w:t>洪购2026J000208229</w:t>
            </w:r>
          </w:p>
        </w:tc>
        <w:tc>
          <w:tcPr>
            <w:tcW w:w="700" w:type="dxa"/>
            <w:noWrap/>
            <w:vAlign w:val="center"/>
          </w:tcPr>
          <w:p w14:paraId="498D664C">
            <w:pPr>
              <w:spacing w:line="360" w:lineRule="auto"/>
              <w:jc w:val="center"/>
              <w:rPr>
                <w:rFonts w:ascii="宋体" w:hAnsi="宋体" w:cs="宋体"/>
                <w:color w:val="auto"/>
                <w:sz w:val="24"/>
                <w:szCs w:val="24"/>
              </w:rPr>
            </w:pPr>
            <w:r>
              <w:rPr>
                <w:rFonts w:hint="eastAsia" w:ascii="宋体" w:hAnsi="宋体" w:cs="宋体"/>
                <w:color w:val="auto"/>
                <w:sz w:val="24"/>
                <w:szCs w:val="24"/>
              </w:rPr>
              <w:t>1批</w:t>
            </w:r>
          </w:p>
        </w:tc>
        <w:tc>
          <w:tcPr>
            <w:tcW w:w="925" w:type="dxa"/>
            <w:noWrap/>
            <w:vAlign w:val="center"/>
          </w:tcPr>
          <w:p w14:paraId="1F4D0628">
            <w:pPr>
              <w:spacing w:line="360" w:lineRule="auto"/>
              <w:jc w:val="center"/>
              <w:rPr>
                <w:rFonts w:ascii="宋体" w:hAnsi="宋体" w:cs="宋体"/>
                <w:color w:val="auto"/>
                <w:sz w:val="24"/>
                <w:szCs w:val="24"/>
              </w:rPr>
            </w:pPr>
            <w:r>
              <w:rPr>
                <w:rFonts w:hint="eastAsia" w:ascii="宋体" w:hAnsi="宋体" w:cs="宋体"/>
                <w:color w:val="auto"/>
                <w:sz w:val="24"/>
                <w:szCs w:val="24"/>
              </w:rPr>
              <w:t>国产</w:t>
            </w:r>
          </w:p>
        </w:tc>
        <w:tc>
          <w:tcPr>
            <w:tcW w:w="1213" w:type="dxa"/>
            <w:noWrap/>
            <w:vAlign w:val="center"/>
          </w:tcPr>
          <w:p w14:paraId="039F6BDF">
            <w:pPr>
              <w:spacing w:line="360" w:lineRule="auto"/>
              <w:jc w:val="center"/>
              <w:rPr>
                <w:rFonts w:ascii="宋体" w:hAnsi="宋体" w:cs="宋体"/>
                <w:color w:val="auto"/>
                <w:sz w:val="24"/>
                <w:szCs w:val="24"/>
              </w:rPr>
            </w:pPr>
            <w:r>
              <w:rPr>
                <w:rFonts w:hint="eastAsia" w:ascii="宋体" w:hAnsi="宋体" w:cs="宋体"/>
                <w:color w:val="auto"/>
                <w:sz w:val="24"/>
                <w:szCs w:val="24"/>
              </w:rPr>
              <w:t>5</w:t>
            </w:r>
            <w:r>
              <w:rPr>
                <w:rFonts w:hint="eastAsia" w:ascii="宋体" w:hAnsi="宋体" w:cs="宋体"/>
                <w:color w:val="auto"/>
                <w:sz w:val="24"/>
                <w:szCs w:val="24"/>
                <w:lang w:val="en-US" w:eastAsia="zh-CN"/>
              </w:rPr>
              <w:t>2</w:t>
            </w:r>
          </w:p>
        </w:tc>
        <w:tc>
          <w:tcPr>
            <w:tcW w:w="1287" w:type="dxa"/>
            <w:noWrap/>
            <w:vAlign w:val="center"/>
          </w:tcPr>
          <w:p w14:paraId="04AB4FE8">
            <w:pPr>
              <w:spacing w:line="360" w:lineRule="auto"/>
              <w:jc w:val="center"/>
              <w:rPr>
                <w:rFonts w:ascii="宋体" w:hAnsi="宋体" w:cs="宋体"/>
                <w:color w:val="auto"/>
                <w:sz w:val="24"/>
                <w:szCs w:val="24"/>
              </w:rPr>
            </w:pPr>
            <w:r>
              <w:rPr>
                <w:rFonts w:hint="eastAsia" w:ascii="宋体" w:hAnsi="宋体" w:cs="宋体"/>
                <w:color w:val="auto"/>
                <w:sz w:val="24"/>
                <w:szCs w:val="24"/>
              </w:rPr>
              <w:t>无</w:t>
            </w:r>
          </w:p>
        </w:tc>
        <w:tc>
          <w:tcPr>
            <w:tcW w:w="870" w:type="dxa"/>
            <w:noWrap/>
            <w:vAlign w:val="center"/>
          </w:tcPr>
          <w:p w14:paraId="2C8A5234">
            <w:pPr>
              <w:spacing w:line="360" w:lineRule="auto"/>
              <w:jc w:val="center"/>
              <w:rPr>
                <w:rFonts w:ascii="宋体" w:hAnsi="宋体" w:cs="宋体"/>
                <w:color w:val="auto"/>
                <w:sz w:val="24"/>
                <w:szCs w:val="24"/>
              </w:rPr>
            </w:pPr>
          </w:p>
        </w:tc>
      </w:tr>
      <w:tr w14:paraId="06BBC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2182" w:type="dxa"/>
            <w:noWrap/>
            <w:vAlign w:val="center"/>
          </w:tcPr>
          <w:p w14:paraId="6E957CB5">
            <w:pPr>
              <w:spacing w:line="360" w:lineRule="auto"/>
              <w:jc w:val="left"/>
              <w:rPr>
                <w:rFonts w:ascii="宋体" w:hAnsi="宋体" w:cs="宋体"/>
                <w:b/>
                <w:color w:val="auto"/>
                <w:sz w:val="24"/>
                <w:szCs w:val="24"/>
              </w:rPr>
            </w:pPr>
            <w:r>
              <w:rPr>
                <w:rFonts w:hint="eastAsia" w:ascii="宋体" w:hAnsi="宋体" w:cs="宋体"/>
                <w:b/>
                <w:color w:val="auto"/>
                <w:sz w:val="24"/>
                <w:szCs w:val="24"/>
              </w:rPr>
              <w:t>核心产品</w:t>
            </w:r>
          </w:p>
        </w:tc>
        <w:tc>
          <w:tcPr>
            <w:tcW w:w="6895" w:type="dxa"/>
            <w:gridSpan w:val="6"/>
            <w:noWrap/>
            <w:vAlign w:val="center"/>
          </w:tcPr>
          <w:p w14:paraId="226C935F">
            <w:pPr>
              <w:spacing w:line="360" w:lineRule="auto"/>
              <w:jc w:val="left"/>
              <w:rPr>
                <w:rFonts w:ascii="宋体" w:hAnsi="宋体" w:cs="宋体"/>
                <w:b/>
                <w:color w:val="auto"/>
                <w:sz w:val="24"/>
                <w:szCs w:val="24"/>
              </w:rPr>
            </w:pPr>
            <w:r>
              <w:rPr>
                <w:rFonts w:hint="eastAsia" w:ascii="宋体" w:hAnsi="宋体" w:cs="宋体"/>
                <w:b/>
                <w:color w:val="auto"/>
                <w:sz w:val="24"/>
                <w:szCs w:val="24"/>
              </w:rPr>
              <w:t>86英寸智慧黑板。本项目所有一体机和智慧黑板要求为同品牌产品。</w:t>
            </w:r>
          </w:p>
        </w:tc>
      </w:tr>
    </w:tbl>
    <w:p w14:paraId="0A91565C">
      <w:pPr>
        <w:pStyle w:val="2"/>
        <w:rPr>
          <w:rFonts w:ascii="宋体" w:hAnsi="宋体" w:cs="宋体"/>
          <w:color w:val="auto"/>
        </w:rPr>
      </w:pPr>
    </w:p>
    <w:p w14:paraId="02B06829">
      <w:pPr>
        <w:pStyle w:val="2"/>
        <w:numPr>
          <w:ilvl w:val="0"/>
          <w:numId w:val="1"/>
        </w:numPr>
        <w:spacing w:line="360" w:lineRule="auto"/>
        <w:ind w:left="0" w:leftChars="0" w:firstLine="0" w:firstLineChars="0"/>
        <w:rPr>
          <w:rFonts w:hint="eastAsia" w:ascii="宋体" w:hAnsi="宋体" w:cs="宋体"/>
          <w:b/>
          <w:color w:val="auto"/>
          <w:sz w:val="24"/>
        </w:rPr>
      </w:pPr>
      <w:r>
        <w:rPr>
          <w:rFonts w:hint="eastAsia" w:ascii="宋体" w:hAnsi="宋体" w:cs="宋体"/>
          <w:b/>
          <w:color w:val="auto"/>
          <w:sz w:val="24"/>
        </w:rPr>
        <w:t>采购清单</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9"/>
        <w:gridCol w:w="1343"/>
        <w:gridCol w:w="1400"/>
        <w:gridCol w:w="938"/>
        <w:gridCol w:w="942"/>
        <w:gridCol w:w="1088"/>
        <w:gridCol w:w="937"/>
        <w:gridCol w:w="614"/>
        <w:gridCol w:w="615"/>
      </w:tblGrid>
      <w:tr w14:paraId="58EA6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noWrap w:val="0"/>
            <w:vAlign w:val="top"/>
          </w:tcPr>
          <w:p w14:paraId="30128870">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宋体" w:hAnsi="宋体" w:eastAsia="宋体" w:cs="宋体"/>
                <w:b w:val="0"/>
                <w:bCs/>
                <w:color w:val="auto"/>
                <w:kern w:val="2"/>
                <w:sz w:val="24"/>
                <w:szCs w:val="24"/>
                <w:highlight w:val="none"/>
                <w:vertAlign w:val="baseline"/>
                <w:lang w:val="en-US" w:eastAsia="zh-CN" w:bidi="ar-SA"/>
              </w:rPr>
            </w:pPr>
            <w:r>
              <w:rPr>
                <w:rFonts w:hint="eastAsia" w:ascii="宋体" w:hAnsi="宋体" w:eastAsia="宋体" w:cs="宋体"/>
                <w:b w:val="0"/>
                <w:bCs/>
                <w:color w:val="auto"/>
                <w:sz w:val="24"/>
                <w:szCs w:val="24"/>
                <w:highlight w:val="none"/>
                <w:vertAlign w:val="baseline"/>
                <w:lang w:val="en-US" w:eastAsia="zh-CN"/>
              </w:rPr>
              <w:t>序号</w:t>
            </w:r>
          </w:p>
        </w:tc>
        <w:tc>
          <w:tcPr>
            <w:tcW w:w="1343" w:type="dxa"/>
            <w:noWrap w:val="0"/>
            <w:vAlign w:val="top"/>
          </w:tcPr>
          <w:p w14:paraId="0D1A419B">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宋体" w:hAnsi="宋体" w:eastAsia="宋体" w:cs="宋体"/>
                <w:b w:val="0"/>
                <w:bCs/>
                <w:color w:val="auto"/>
                <w:kern w:val="2"/>
                <w:sz w:val="24"/>
                <w:szCs w:val="24"/>
                <w:highlight w:val="none"/>
                <w:vertAlign w:val="baseline"/>
                <w:lang w:val="en-US" w:eastAsia="zh-CN" w:bidi="ar-SA"/>
              </w:rPr>
            </w:pPr>
            <w:r>
              <w:rPr>
                <w:rFonts w:hint="eastAsia" w:ascii="宋体" w:hAnsi="宋体" w:eastAsia="宋体" w:cs="宋体"/>
                <w:b w:val="0"/>
                <w:bCs/>
                <w:color w:val="auto"/>
                <w:sz w:val="24"/>
                <w:szCs w:val="24"/>
                <w:highlight w:val="none"/>
                <w:vertAlign w:val="baseline"/>
                <w:lang w:val="en-US" w:eastAsia="zh-CN"/>
              </w:rPr>
              <w:t>产品名称</w:t>
            </w:r>
          </w:p>
        </w:tc>
        <w:tc>
          <w:tcPr>
            <w:tcW w:w="1400" w:type="dxa"/>
            <w:noWrap w:val="0"/>
            <w:vAlign w:val="top"/>
          </w:tcPr>
          <w:p w14:paraId="79C4248D">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政府采购品目分类编码</w:t>
            </w:r>
          </w:p>
        </w:tc>
        <w:tc>
          <w:tcPr>
            <w:tcW w:w="938" w:type="dxa"/>
            <w:noWrap w:val="0"/>
            <w:vAlign w:val="top"/>
          </w:tcPr>
          <w:p w14:paraId="1D3F8BD6">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计量单位</w:t>
            </w:r>
          </w:p>
        </w:tc>
        <w:tc>
          <w:tcPr>
            <w:tcW w:w="942" w:type="dxa"/>
            <w:noWrap w:val="0"/>
            <w:vAlign w:val="top"/>
          </w:tcPr>
          <w:p w14:paraId="61219877">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数量</w:t>
            </w:r>
          </w:p>
        </w:tc>
        <w:tc>
          <w:tcPr>
            <w:tcW w:w="1088" w:type="dxa"/>
            <w:noWrap w:val="0"/>
            <w:vAlign w:val="top"/>
          </w:tcPr>
          <w:p w14:paraId="3A8BAD58">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预算金额</w:t>
            </w:r>
          </w:p>
        </w:tc>
        <w:tc>
          <w:tcPr>
            <w:tcW w:w="937" w:type="dxa"/>
            <w:noWrap w:val="0"/>
            <w:vAlign w:val="top"/>
          </w:tcPr>
          <w:p w14:paraId="206B0183">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是否进口</w:t>
            </w:r>
          </w:p>
        </w:tc>
        <w:tc>
          <w:tcPr>
            <w:tcW w:w="614" w:type="dxa"/>
            <w:noWrap w:val="0"/>
            <w:vAlign w:val="top"/>
          </w:tcPr>
          <w:p w14:paraId="65D8697A">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所属行业</w:t>
            </w:r>
          </w:p>
        </w:tc>
        <w:tc>
          <w:tcPr>
            <w:tcW w:w="615" w:type="dxa"/>
            <w:noWrap w:val="0"/>
            <w:vAlign w:val="top"/>
          </w:tcPr>
          <w:p w14:paraId="6D1D4FE1">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备注</w:t>
            </w:r>
          </w:p>
        </w:tc>
      </w:tr>
      <w:tr w14:paraId="51E5D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noWrap w:val="0"/>
            <w:vAlign w:val="center"/>
          </w:tcPr>
          <w:p w14:paraId="3E8F3582">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cs="宋体"/>
                <w:b w:val="0"/>
                <w:bCs/>
                <w:color w:val="auto"/>
                <w:sz w:val="24"/>
                <w:szCs w:val="24"/>
                <w:highlight w:val="none"/>
                <w:vertAlign w:val="baseline"/>
                <w:lang w:val="en-US" w:eastAsia="zh-CN"/>
              </w:rPr>
              <w:t>1</w:t>
            </w:r>
          </w:p>
        </w:tc>
        <w:tc>
          <w:tcPr>
            <w:tcW w:w="1343" w:type="dxa"/>
            <w:noWrap w:val="0"/>
            <w:vAlign w:val="center"/>
          </w:tcPr>
          <w:p w14:paraId="67E299C4">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98英寸一体机</w:t>
            </w:r>
            <w:r>
              <w:rPr>
                <w:rFonts w:hint="eastAsia" w:ascii="宋体" w:hAnsi="宋体" w:cs="宋体"/>
                <w:color w:val="auto"/>
                <w:kern w:val="0"/>
                <w:sz w:val="24"/>
                <w:szCs w:val="24"/>
                <w:lang w:val="en-US" w:eastAsia="zh-CN"/>
              </w:rPr>
              <w:t>（</w:t>
            </w:r>
            <w:r>
              <w:rPr>
                <w:rFonts w:hint="eastAsia" w:ascii="宋体" w:hAnsi="宋体" w:eastAsia="宋体" w:cs="宋体"/>
                <w:color w:val="auto"/>
                <w:kern w:val="0"/>
                <w:sz w:val="24"/>
                <w:szCs w:val="24"/>
                <w:lang w:val="en-US" w:eastAsia="zh-CN"/>
              </w:rPr>
              <w:t>配套移动支架</w:t>
            </w:r>
            <w:r>
              <w:rPr>
                <w:rFonts w:hint="eastAsia" w:ascii="宋体" w:hAnsi="宋体" w:cs="宋体"/>
                <w:color w:val="auto"/>
                <w:kern w:val="0"/>
                <w:sz w:val="24"/>
                <w:szCs w:val="24"/>
                <w:lang w:val="en-US" w:eastAsia="zh-CN"/>
              </w:rPr>
              <w:t>）</w:t>
            </w:r>
          </w:p>
        </w:tc>
        <w:tc>
          <w:tcPr>
            <w:tcW w:w="1400" w:type="dxa"/>
            <w:noWrap w:val="0"/>
            <w:vAlign w:val="center"/>
          </w:tcPr>
          <w:p w14:paraId="34612C65">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A02020800</w:t>
            </w:r>
          </w:p>
        </w:tc>
        <w:tc>
          <w:tcPr>
            <w:tcW w:w="938" w:type="dxa"/>
            <w:noWrap w:val="0"/>
            <w:vAlign w:val="center"/>
          </w:tcPr>
          <w:p w14:paraId="014BD464">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套</w:t>
            </w:r>
          </w:p>
        </w:tc>
        <w:tc>
          <w:tcPr>
            <w:tcW w:w="942" w:type="dxa"/>
            <w:noWrap w:val="0"/>
            <w:vAlign w:val="center"/>
          </w:tcPr>
          <w:p w14:paraId="0961BE03">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3</w:t>
            </w:r>
          </w:p>
        </w:tc>
        <w:tc>
          <w:tcPr>
            <w:tcW w:w="1088" w:type="dxa"/>
            <w:vMerge w:val="restart"/>
            <w:noWrap w:val="0"/>
            <w:vAlign w:val="center"/>
          </w:tcPr>
          <w:p w14:paraId="6CBAD890">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sz w:val="24"/>
                <w:szCs w:val="24"/>
                <w:lang w:val="en-US" w:eastAsia="zh-CN"/>
              </w:rPr>
              <w:t>52.00</w:t>
            </w:r>
            <w:r>
              <w:rPr>
                <w:rFonts w:hint="eastAsia" w:ascii="宋体" w:hAnsi="宋体" w:eastAsia="宋体" w:cs="宋体"/>
                <w:color w:val="auto"/>
                <w:kern w:val="0"/>
                <w:sz w:val="24"/>
                <w:szCs w:val="24"/>
                <w:lang w:val="en-US" w:eastAsia="zh-CN"/>
              </w:rPr>
              <w:t>万元</w:t>
            </w:r>
          </w:p>
        </w:tc>
        <w:tc>
          <w:tcPr>
            <w:tcW w:w="937" w:type="dxa"/>
            <w:vMerge w:val="restart"/>
            <w:noWrap w:val="0"/>
            <w:vAlign w:val="center"/>
          </w:tcPr>
          <w:p w14:paraId="03200E39">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否</w:t>
            </w:r>
          </w:p>
        </w:tc>
        <w:tc>
          <w:tcPr>
            <w:tcW w:w="614" w:type="dxa"/>
            <w:vMerge w:val="restart"/>
            <w:noWrap w:val="0"/>
            <w:vAlign w:val="center"/>
          </w:tcPr>
          <w:p w14:paraId="1336BB74">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工业</w:t>
            </w:r>
          </w:p>
        </w:tc>
        <w:tc>
          <w:tcPr>
            <w:tcW w:w="615" w:type="dxa"/>
            <w:noWrap w:val="0"/>
            <w:vAlign w:val="center"/>
          </w:tcPr>
          <w:p w14:paraId="61302AD9">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0842C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noWrap w:val="0"/>
            <w:vAlign w:val="center"/>
          </w:tcPr>
          <w:p w14:paraId="30FB56D7">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cs="宋体"/>
                <w:color w:val="auto"/>
                <w:kern w:val="0"/>
                <w:sz w:val="24"/>
                <w:szCs w:val="24"/>
                <w:lang w:val="en-US" w:eastAsia="zh-CN"/>
              </w:rPr>
              <w:t>2</w:t>
            </w:r>
          </w:p>
        </w:tc>
        <w:tc>
          <w:tcPr>
            <w:tcW w:w="1343" w:type="dxa"/>
            <w:noWrap w:val="0"/>
            <w:vAlign w:val="center"/>
          </w:tcPr>
          <w:p w14:paraId="08821BF1">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86英寸智慧黑板</w:t>
            </w:r>
            <w:r>
              <w:rPr>
                <w:rFonts w:hint="eastAsia" w:ascii="宋体" w:hAnsi="宋体" w:cs="宋体"/>
                <w:color w:val="auto"/>
                <w:kern w:val="0"/>
                <w:sz w:val="24"/>
                <w:szCs w:val="24"/>
                <w:lang w:val="en-US" w:eastAsia="zh-CN"/>
              </w:rPr>
              <w:t>（</w:t>
            </w:r>
            <w:r>
              <w:rPr>
                <w:rFonts w:hint="eastAsia" w:ascii="宋体" w:hAnsi="宋体" w:eastAsia="宋体" w:cs="宋体"/>
                <w:color w:val="auto"/>
                <w:kern w:val="0"/>
                <w:sz w:val="24"/>
                <w:szCs w:val="24"/>
                <w:lang w:val="en-US" w:eastAsia="zh-CN"/>
              </w:rPr>
              <w:t>配套移动支架</w:t>
            </w:r>
            <w:r>
              <w:rPr>
                <w:rFonts w:hint="eastAsia" w:ascii="宋体" w:hAnsi="宋体" w:cs="宋体"/>
                <w:color w:val="auto"/>
                <w:kern w:val="0"/>
                <w:sz w:val="24"/>
                <w:szCs w:val="24"/>
                <w:lang w:val="en-US" w:eastAsia="zh-CN"/>
              </w:rPr>
              <w:t>）</w:t>
            </w:r>
          </w:p>
        </w:tc>
        <w:tc>
          <w:tcPr>
            <w:tcW w:w="1400" w:type="dxa"/>
            <w:noWrap w:val="0"/>
            <w:vAlign w:val="center"/>
          </w:tcPr>
          <w:p w14:paraId="7EEC1A16">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A02020800</w:t>
            </w:r>
          </w:p>
        </w:tc>
        <w:tc>
          <w:tcPr>
            <w:tcW w:w="938" w:type="dxa"/>
            <w:noWrap w:val="0"/>
            <w:vAlign w:val="center"/>
          </w:tcPr>
          <w:p w14:paraId="1E39D39C">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台</w:t>
            </w:r>
          </w:p>
        </w:tc>
        <w:tc>
          <w:tcPr>
            <w:tcW w:w="942" w:type="dxa"/>
            <w:noWrap w:val="0"/>
            <w:vAlign w:val="center"/>
          </w:tcPr>
          <w:p w14:paraId="276167DE">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37</w:t>
            </w:r>
          </w:p>
        </w:tc>
        <w:tc>
          <w:tcPr>
            <w:tcW w:w="1088" w:type="dxa"/>
            <w:vMerge w:val="continue"/>
            <w:noWrap w:val="0"/>
            <w:vAlign w:val="center"/>
          </w:tcPr>
          <w:p w14:paraId="6D2039B6">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37" w:type="dxa"/>
            <w:vMerge w:val="continue"/>
            <w:noWrap w:val="0"/>
            <w:vAlign w:val="center"/>
          </w:tcPr>
          <w:p w14:paraId="3EB99C7E">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14" w:type="dxa"/>
            <w:vMerge w:val="continue"/>
            <w:noWrap w:val="0"/>
            <w:vAlign w:val="center"/>
          </w:tcPr>
          <w:p w14:paraId="2CEB9908">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15" w:type="dxa"/>
            <w:noWrap w:val="0"/>
            <w:vAlign w:val="center"/>
          </w:tcPr>
          <w:p w14:paraId="6FC8A37E">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4B4B2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6" w:type="dxa"/>
            <w:gridSpan w:val="9"/>
            <w:noWrap w:val="0"/>
            <w:vAlign w:val="top"/>
          </w:tcPr>
          <w:p w14:paraId="1C24D64F">
            <w:pPr>
              <w:keepNext w:val="0"/>
              <w:keepLines w:val="0"/>
              <w:pageBreakBefore w:val="0"/>
              <w:widowControl w:val="0"/>
              <w:numPr>
                <w:ilvl w:val="0"/>
                <w:numId w:val="0"/>
              </w:numPr>
              <w:kinsoku/>
              <w:wordWrap/>
              <w:overflowPunct/>
              <w:topLinePunct w:val="0"/>
              <w:autoSpaceDE/>
              <w:autoSpaceDN/>
              <w:bidi w:val="0"/>
              <w:adjustRightInd/>
              <w:snapToGrid/>
              <w:spacing w:line="500" w:lineRule="exact"/>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核心产品：</w:t>
            </w:r>
            <w:r>
              <w:rPr>
                <w:rFonts w:hint="eastAsia" w:ascii="宋体" w:hAnsi="宋体" w:eastAsia="宋体" w:cs="宋体"/>
                <w:color w:val="auto"/>
                <w:kern w:val="0"/>
                <w:sz w:val="24"/>
                <w:szCs w:val="24"/>
                <w:lang w:val="en-US" w:eastAsia="zh-CN"/>
              </w:rPr>
              <w:t>86英寸智慧黑板</w:t>
            </w:r>
          </w:p>
        </w:tc>
      </w:tr>
    </w:tbl>
    <w:p w14:paraId="7C9A5ADE">
      <w:pPr>
        <w:spacing w:line="360" w:lineRule="auto"/>
        <w:rPr>
          <w:rFonts w:ascii="宋体" w:hAnsi="宋体" w:eastAsia="宋体" w:cs="宋体"/>
          <w:b/>
          <w:bCs/>
          <w:sz w:val="24"/>
          <w:szCs w:val="24"/>
        </w:rPr>
      </w:pPr>
      <w:r>
        <w:rPr>
          <w:rFonts w:ascii="宋体" w:hAnsi="宋体" w:eastAsia="宋体" w:cs="宋体"/>
          <w:b/>
          <w:bCs/>
          <w:sz w:val="24"/>
          <w:szCs w:val="24"/>
        </w:rPr>
        <w:t xml:space="preserve">（三）采购需求 </w:t>
      </w:r>
    </w:p>
    <w:p w14:paraId="68D15A64">
      <w:pPr>
        <w:spacing w:line="360" w:lineRule="auto"/>
        <w:rPr>
          <w:rFonts w:hint="default" w:ascii="宋体" w:hAnsi="宋体" w:eastAsia="宋体" w:cs="宋体"/>
          <w:b/>
          <w:bCs/>
          <w:color w:val="FF0000"/>
          <w:sz w:val="24"/>
          <w:szCs w:val="24"/>
          <w:lang w:val="en-US" w:eastAsia="zh-CN"/>
        </w:rPr>
      </w:pPr>
      <w:r>
        <w:rPr>
          <w:rFonts w:ascii="宋体" w:hAnsi="宋体" w:eastAsia="宋体" w:cs="宋体"/>
          <w:b/>
          <w:bCs/>
          <w:sz w:val="24"/>
          <w:szCs w:val="24"/>
        </w:rPr>
        <w:t>1、一体机：</w:t>
      </w:r>
      <w:r>
        <w:rPr>
          <w:rFonts w:ascii="宋体" w:hAnsi="宋体" w:eastAsia="宋体" w:cs="宋体"/>
          <w:sz w:val="24"/>
          <w:szCs w:val="24"/>
        </w:rPr>
        <w:t>每台一体机均须配备包括但不限于：集控点一个、壁挂安装支 架1套、≥3m成品VGA线1根、≥3m成品HDMI线1根、≥1米 USB3.0延长线 1根，配套≥3米的成品网线、无线遥控器、书写笔（无线遥控器和书写笔可二 合一且包含至少一个标准大小笔头）及一套无线键鼠（键鼠需同品牌）及其他 配套安装件。</w:t>
      </w:r>
    </w:p>
    <w:tbl>
      <w:tblPr>
        <w:tblStyle w:val="32"/>
        <w:tblpPr w:leftFromText="180" w:rightFromText="180" w:vertAnchor="text" w:horzAnchor="page" w:tblpX="1257" w:tblpY="596"/>
        <w:tblOverlap w:val="never"/>
        <w:tblW w:w="9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6"/>
        <w:gridCol w:w="1527"/>
        <w:gridCol w:w="6927"/>
      </w:tblGrid>
      <w:tr w14:paraId="637DD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7297382A">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1527" w:type="dxa"/>
            <w:noWrap w:val="0"/>
            <w:vAlign w:val="center"/>
          </w:tcPr>
          <w:p w14:paraId="02E69841">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设备名称</w:t>
            </w:r>
          </w:p>
        </w:tc>
        <w:tc>
          <w:tcPr>
            <w:tcW w:w="6927" w:type="dxa"/>
            <w:noWrap w:val="0"/>
            <w:vAlign w:val="center"/>
          </w:tcPr>
          <w:p w14:paraId="4E8819B0">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核心参数</w:t>
            </w:r>
          </w:p>
        </w:tc>
      </w:tr>
      <w:tr w14:paraId="5C571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1F839321">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w:t>
            </w:r>
          </w:p>
        </w:tc>
        <w:tc>
          <w:tcPr>
            <w:tcW w:w="1527" w:type="dxa"/>
            <w:noWrap w:val="0"/>
            <w:vAlign w:val="center"/>
          </w:tcPr>
          <w:p w14:paraId="6E15C3B2">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显示器性能</w:t>
            </w:r>
          </w:p>
        </w:tc>
        <w:tc>
          <w:tcPr>
            <w:tcW w:w="6927" w:type="dxa"/>
            <w:noWrap w:val="0"/>
            <w:vAlign w:val="center"/>
          </w:tcPr>
          <w:p w14:paraId="7B858F3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ascii="宋体" w:hAnsi="宋体" w:eastAsia="宋体" w:cs="宋体"/>
                <w:sz w:val="24"/>
                <w:szCs w:val="24"/>
              </w:rPr>
            </w:pPr>
            <w:r>
              <w:rPr>
                <w:rFonts w:hint="eastAsia" w:ascii="宋体" w:hAnsi="宋体" w:eastAsia="宋体" w:cs="宋体"/>
                <w:sz w:val="24"/>
                <w:szCs w:val="24"/>
                <w:lang w:val="en-US" w:eastAsia="zh-CN"/>
              </w:rPr>
              <w:t>1、</w:t>
            </w:r>
            <w:r>
              <w:rPr>
                <w:rFonts w:ascii="宋体" w:hAnsi="宋体" w:eastAsia="宋体" w:cs="宋体"/>
                <w:sz w:val="24"/>
                <w:szCs w:val="24"/>
              </w:rPr>
              <w:t>采用防眩光全钢化玻璃屏，防划防撞且屏幕视觉清晰。能清晰显 示图片与文字，近距离书写和远距离观看无重影模糊。</w:t>
            </w:r>
          </w:p>
          <w:p w14:paraId="4A6ED99D">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textAlignment w:val="auto"/>
              <w:rPr>
                <w:rFonts w:ascii="宋体" w:hAnsi="宋体" w:eastAsia="宋体" w:cs="宋体"/>
                <w:sz w:val="24"/>
                <w:szCs w:val="24"/>
              </w:rPr>
            </w:pPr>
            <w:r>
              <w:rPr>
                <w:rFonts w:ascii="宋体" w:hAnsi="宋体" w:eastAsia="宋体" w:cs="宋体"/>
                <w:sz w:val="24"/>
                <w:szCs w:val="24"/>
              </w:rPr>
              <w:t xml:space="preserve">2、分辨率≥3840*2160；亮度≥350cd/m²；对比度：≥4000:1。（该项指标均为整机含玻璃指标，厚度≥3mm，透光率达≥92% 以上，雾度≥5%，具备防指纹、防刮耐磨特性，与整机贴合精度达 0.01mm。） </w:t>
            </w:r>
          </w:p>
          <w:p w14:paraId="214D937C">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textAlignment w:val="auto"/>
              <w:rPr>
                <w:rFonts w:ascii="宋体" w:hAnsi="宋体" w:eastAsia="宋体" w:cs="宋体"/>
                <w:sz w:val="24"/>
                <w:szCs w:val="24"/>
              </w:rPr>
            </w:pPr>
            <w:r>
              <w:rPr>
                <w:rFonts w:ascii="宋体" w:hAnsi="宋体" w:eastAsia="宋体" w:cs="宋体"/>
                <w:sz w:val="24"/>
                <w:szCs w:val="24"/>
              </w:rPr>
              <w:t xml:space="preserve">3、水平可视角度≥170°。（该项指标均为整机含玻璃指标，厚度≥ 3mm，透光率达≥92%以上，雾度≥5%，具备防指纹、防刮耐磨特性，与整机贴合精度达 0.01mm。） </w:t>
            </w:r>
          </w:p>
          <w:p w14:paraId="13BCBF80">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textAlignment w:val="auto"/>
              <w:rPr>
                <w:rFonts w:ascii="宋体" w:hAnsi="宋体" w:eastAsia="宋体" w:cs="宋体"/>
                <w:sz w:val="24"/>
                <w:szCs w:val="24"/>
              </w:rPr>
            </w:pPr>
            <w:r>
              <w:rPr>
                <w:rFonts w:ascii="宋体" w:hAnsi="宋体" w:eastAsia="宋体" w:cs="宋体"/>
                <w:sz w:val="24"/>
                <w:szCs w:val="24"/>
              </w:rPr>
              <w:t xml:space="preserve">4、屏幕比例：16:9。 </w:t>
            </w:r>
          </w:p>
          <w:p w14:paraId="5780DCE4">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textAlignment w:val="auto"/>
              <w:rPr>
                <w:rFonts w:ascii="宋体" w:hAnsi="宋体" w:eastAsia="宋体" w:cs="宋体"/>
                <w:sz w:val="24"/>
                <w:szCs w:val="24"/>
              </w:rPr>
            </w:pPr>
            <w:r>
              <w:rPr>
                <w:rFonts w:ascii="宋体" w:hAnsi="宋体" w:eastAsia="宋体" w:cs="宋体"/>
                <w:sz w:val="24"/>
                <w:szCs w:val="24"/>
              </w:rPr>
              <w:t xml:space="preserve">5、屏体：缺陷像素总数≤20个。（包括坏点、亮点、暗点等缺陷像素形式） </w:t>
            </w:r>
          </w:p>
          <w:p w14:paraId="351AE837">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textAlignment w:val="auto"/>
              <w:rPr>
                <w:rFonts w:ascii="宋体" w:hAnsi="宋体" w:eastAsia="宋体" w:cs="宋体"/>
                <w:sz w:val="24"/>
                <w:szCs w:val="24"/>
              </w:rPr>
            </w:pPr>
            <w:r>
              <w:rPr>
                <w:rFonts w:ascii="宋体" w:hAnsi="宋体" w:eastAsia="宋体" w:cs="宋体"/>
                <w:sz w:val="24"/>
                <w:szCs w:val="24"/>
              </w:rPr>
              <w:t xml:space="preserve">6、屏幕尺寸（对角线）≥86英寸（9台）；屏幕尺寸（对角线）≥98 英寸（1台）。 </w:t>
            </w:r>
          </w:p>
          <w:p w14:paraId="49A6CFBD">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textAlignment w:val="auto"/>
              <w:rPr>
                <w:rFonts w:hint="eastAsia"/>
              </w:rPr>
            </w:pPr>
            <w:r>
              <w:rPr>
                <w:rFonts w:ascii="宋体" w:hAnsi="宋体" w:eastAsia="宋体" w:cs="宋体"/>
                <w:sz w:val="24"/>
                <w:szCs w:val="24"/>
              </w:rPr>
              <w:t>7、整机各通道及系统书写软件下，屏幕支持手动调整屏幕显示参数如对比度、饱和度等。</w:t>
            </w:r>
          </w:p>
        </w:tc>
      </w:tr>
      <w:tr w14:paraId="157E6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4FD227B4">
            <w:pPr>
              <w:spacing w:line="360" w:lineRule="auto"/>
              <w:jc w:val="center"/>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2</w:t>
            </w:r>
          </w:p>
        </w:tc>
        <w:tc>
          <w:tcPr>
            <w:tcW w:w="1527" w:type="dxa"/>
            <w:noWrap w:val="0"/>
            <w:vAlign w:val="center"/>
          </w:tcPr>
          <w:p w14:paraId="4AA21F5B">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触控技术 要求</w:t>
            </w:r>
          </w:p>
        </w:tc>
        <w:tc>
          <w:tcPr>
            <w:tcW w:w="6927" w:type="dxa"/>
            <w:noWrap w:val="0"/>
            <w:vAlign w:val="center"/>
          </w:tcPr>
          <w:p w14:paraId="6F0D8A5B">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内置红外精准触控技术（不接受外挂触件方式或屏体覆盖触控网纹方式）。 </w:t>
            </w:r>
          </w:p>
          <w:p w14:paraId="344377DE">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支持20点或以上同时触摸；支持两人以上同时书写。 </w:t>
            </w:r>
          </w:p>
          <w:p w14:paraId="13B9F45C">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触摸方式：手指、笔，或其他任何非透明物体（任何直径大于≥ 5mm的不透光物体）。 </w:t>
            </w:r>
          </w:p>
          <w:p w14:paraId="65CFA388">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连续响应速度：连续点≤5ms。 </w:t>
            </w:r>
          </w:p>
          <w:p w14:paraId="58465388">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首点响应时间≤15ms，连续响应时间≤10ms。 </w:t>
            </w:r>
          </w:p>
          <w:p w14:paraId="08403040">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书写显示延迟时间≤80ms，书写、批注无延迟感，无断笔。 </w:t>
            </w:r>
          </w:p>
          <w:p w14:paraId="14088C7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7、触摸有效识别≤4mm，定位精度≤2mm。</w:t>
            </w:r>
          </w:p>
        </w:tc>
      </w:tr>
      <w:tr w14:paraId="73839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5F7524D0">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3</w:t>
            </w:r>
          </w:p>
        </w:tc>
        <w:tc>
          <w:tcPr>
            <w:tcW w:w="1527" w:type="dxa"/>
            <w:noWrap w:val="0"/>
            <w:vAlign w:val="center"/>
          </w:tcPr>
          <w:p w14:paraId="6C579F0D">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摄录配置 要求</w:t>
            </w:r>
          </w:p>
        </w:tc>
        <w:tc>
          <w:tcPr>
            <w:tcW w:w="6927" w:type="dxa"/>
            <w:noWrap w:val="0"/>
            <w:vAlign w:val="center"/>
          </w:tcPr>
          <w:p w14:paraId="67619B63">
            <w:pPr>
              <w:keepNext w:val="0"/>
              <w:keepLines w:val="0"/>
              <w:pageBreakBefore w:val="0"/>
              <w:widowControl w:val="0"/>
              <w:numPr>
                <w:ilvl w:val="0"/>
                <w:numId w:val="3"/>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具有≥1300万像素的原厂摄像头和内置全向麦克风，拾音距离≥9米。 </w:t>
            </w:r>
          </w:p>
          <w:p w14:paraId="598E450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2、摄像头与一体机为固定内置式的一体化造型设计，一体机的正面、侧面和背面均无布置任何连接线缆。</w:t>
            </w:r>
          </w:p>
        </w:tc>
      </w:tr>
      <w:tr w14:paraId="3914A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2A9E8FC5">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4</w:t>
            </w:r>
          </w:p>
        </w:tc>
        <w:tc>
          <w:tcPr>
            <w:tcW w:w="1527" w:type="dxa"/>
            <w:noWrap w:val="0"/>
            <w:vAlign w:val="center"/>
          </w:tcPr>
          <w:p w14:paraId="6A20283C">
            <w:pPr>
              <w:spacing w:line="360" w:lineRule="auto"/>
              <w:jc w:val="center"/>
              <w:rPr>
                <w:rFonts w:hint="default" w:ascii="宋体" w:hAnsi="宋体" w:eastAsia="宋体" w:cs="宋体"/>
                <w:color w:val="auto"/>
                <w:sz w:val="24"/>
                <w:szCs w:val="24"/>
                <w:lang w:val="en-US" w:eastAsia="zh-CN"/>
              </w:rPr>
            </w:pPr>
            <w:r>
              <w:rPr>
                <w:rFonts w:ascii="宋体" w:hAnsi="宋体" w:eastAsia="宋体" w:cs="宋体"/>
                <w:sz w:val="24"/>
                <w:szCs w:val="24"/>
              </w:rPr>
              <w:t>电视系统 配置</w:t>
            </w:r>
            <w:r>
              <w:rPr>
                <w:rFonts w:hint="eastAsia" w:ascii="宋体" w:hAnsi="宋体" w:eastAsia="宋体" w:cs="宋体"/>
                <w:sz w:val="24"/>
                <w:szCs w:val="24"/>
                <w:lang w:val="en-US" w:eastAsia="zh-CN"/>
              </w:rPr>
              <w:t>要求</w:t>
            </w:r>
          </w:p>
        </w:tc>
        <w:tc>
          <w:tcPr>
            <w:tcW w:w="6927" w:type="dxa"/>
            <w:noWrap w:val="0"/>
            <w:vAlign w:val="top"/>
          </w:tcPr>
          <w:p w14:paraId="2D89757D">
            <w:pPr>
              <w:keepNext w:val="0"/>
              <w:keepLines w:val="0"/>
              <w:pageBreakBefore w:val="0"/>
              <w:widowControl w:val="0"/>
              <w:numPr>
                <w:ilvl w:val="0"/>
                <w:numId w:val="4"/>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视频输入接口： HDMI≥1个</w:t>
            </w:r>
            <w:r>
              <w:rPr>
                <w:rFonts w:hint="eastAsia" w:ascii="宋体" w:hAnsi="宋体" w:cs="宋体"/>
                <w:sz w:val="24"/>
                <w:szCs w:val="24"/>
                <w:lang w:val="en-US" w:eastAsia="zh-CN"/>
              </w:rPr>
              <w:t>；</w:t>
            </w:r>
            <w:r>
              <w:rPr>
                <w:rFonts w:hint="eastAsia" w:ascii="宋体" w:hAnsi="宋体" w:eastAsia="宋体" w:cs="宋体"/>
                <w:sz w:val="24"/>
                <w:szCs w:val="24"/>
                <w:lang w:val="en-US" w:eastAsia="zh-CN"/>
              </w:rPr>
              <w:t xml:space="preserve">整机具备至少 3 路前置 USB 3.0 接口（其中至少两个TYPE-A）。 </w:t>
            </w:r>
          </w:p>
          <w:p w14:paraId="286239DF">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2、VGA≥1个(VGA可为转接形式，但须随整机附有专用转接件）。</w:t>
            </w:r>
          </w:p>
          <w:p w14:paraId="16C7817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3、前置扬声器≥2个，总功率≥40W。 </w:t>
            </w:r>
          </w:p>
          <w:p w14:paraId="31AC9A14">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4、音频输入接口≥1个。 </w:t>
            </w:r>
          </w:p>
          <w:p w14:paraId="5A349794">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5、音频输出接口≥1个。 </w:t>
            </w:r>
          </w:p>
          <w:p w14:paraId="2A7BDA5E">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6、USB触摸外接控制端口≥1个。 </w:t>
            </w:r>
          </w:p>
          <w:p w14:paraId="3648EBA9">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7、USB功能包括但不仅限于存储、连接控制设备如外接鼠标键盘等。</w:t>
            </w:r>
          </w:p>
        </w:tc>
      </w:tr>
      <w:tr w14:paraId="6A823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4676F18F">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5</w:t>
            </w:r>
          </w:p>
        </w:tc>
        <w:tc>
          <w:tcPr>
            <w:tcW w:w="1527" w:type="dxa"/>
            <w:noWrap w:val="0"/>
            <w:vAlign w:val="center"/>
          </w:tcPr>
          <w:p w14:paraId="6442E02B">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移动终端</w:t>
            </w:r>
          </w:p>
        </w:tc>
        <w:tc>
          <w:tcPr>
            <w:tcW w:w="6927" w:type="dxa"/>
            <w:noWrap w:val="0"/>
            <w:vAlign w:val="top"/>
          </w:tcPr>
          <w:p w14:paraId="0F2585E5">
            <w:pPr>
              <w:keepNext w:val="0"/>
              <w:keepLines w:val="0"/>
              <w:pageBreakBefore w:val="0"/>
              <w:widowControl w:val="0"/>
              <w:numPr>
                <w:ilvl w:val="0"/>
                <w:numId w:val="5"/>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内置PC采用芯片模块化抽拉式台式机方案，智能多核心多线程技术。 </w:t>
            </w:r>
          </w:p>
          <w:p w14:paraId="7C326665">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CPU：≥8核16线程、最大睿频≥5.0Ghz、缓存≥16M。 </w:t>
            </w:r>
          </w:p>
          <w:p w14:paraId="16B0C299">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内存：16G DDR4 及以上。 </w:t>
            </w:r>
          </w:p>
          <w:p w14:paraId="719CD0B1">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硬盘：≥256G 固态硬盘。 </w:t>
            </w:r>
          </w:p>
          <w:p w14:paraId="4C40C944">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有线网络：≥1个千兆 RJ45网络端口，用于内部网络和外部网络连接；无线网络:采用符合IEEE 802.11b/g/n标准，最高传输速率可达300Mbps。 </w:t>
            </w:r>
          </w:p>
          <w:p w14:paraId="6C98951E">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产品通过 3C 认证。 </w:t>
            </w:r>
          </w:p>
          <w:p w14:paraId="78C6CC76">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具有耳麦接口。 </w:t>
            </w:r>
          </w:p>
          <w:p w14:paraId="5CA2C4EB">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预装正版Windows操作系统。 </w:t>
            </w:r>
          </w:p>
          <w:p w14:paraId="60830EE6">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还原克隆功能及硬盘保护功能：支持创设系统还原点，实现磁盘级的系统还原保护，可根据教学需要自由选择磁盘分区设立还原点、取消还原点；支持将本机配置克隆到其他机器。硬盘保护功能能够分别冻结、解冻不同的分区。（本项功能允许投标人通过安装第三方软件实现） </w:t>
            </w:r>
          </w:p>
          <w:p w14:paraId="3EAF1A1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10、弹窗拦截功能：支持对软件应用弹窗进行无差别拦截，可自定义自动拦截、手动点选拦截，保证教学过程中无干扰。（本项功能允许投标人通过安装第三方软件实现）</w:t>
            </w:r>
          </w:p>
        </w:tc>
      </w:tr>
      <w:tr w14:paraId="05DD1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1E64F350">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6</w:t>
            </w:r>
          </w:p>
        </w:tc>
        <w:tc>
          <w:tcPr>
            <w:tcW w:w="1527" w:type="dxa"/>
            <w:noWrap w:val="0"/>
            <w:vAlign w:val="center"/>
          </w:tcPr>
          <w:p w14:paraId="53049EBE">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易用性要 求</w:t>
            </w:r>
          </w:p>
        </w:tc>
        <w:tc>
          <w:tcPr>
            <w:tcW w:w="6927" w:type="dxa"/>
            <w:noWrap w:val="0"/>
            <w:vAlign w:val="top"/>
          </w:tcPr>
          <w:p w14:paraId="3F5E0F5C">
            <w:pPr>
              <w:keepNext w:val="0"/>
              <w:keepLines w:val="0"/>
              <w:pageBreakBefore w:val="0"/>
              <w:widowControl w:val="0"/>
              <w:numPr>
                <w:ilvl w:val="0"/>
                <w:numId w:val="6"/>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具有屏幕快捷按键一键黑屏或其他形式绿色节能功能。 </w:t>
            </w:r>
          </w:p>
          <w:p w14:paraId="5E2B84BD">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屏幕快捷按键采用触摸式设计或物理式设计，按键位置应与配套推拉黑板整体考虑，按键使用方便、有效。 </w:t>
            </w:r>
          </w:p>
          <w:p w14:paraId="3CEE1B12">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支持任意通道下，如HDMI等的即时批注书写功能。 </w:t>
            </w:r>
          </w:p>
          <w:p w14:paraId="628F3981">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具有外部信号输入智能识别功能：当HDMI端口有信号输入时，设备能自动切换至对应通道，无需手动调整；当外接信号断开时，能自动切换回原始通道。 </w:t>
            </w:r>
          </w:p>
          <w:p w14:paraId="1FE44CD7">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在不采用任何物理升降结构的前提下，Windows通道下可实现液晶屏显示窗口下移。 </w:t>
            </w:r>
          </w:p>
          <w:p w14:paraId="19183684">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易维护（无需拆卸显示屏的前提下）：各主要模块中至少OPS模块可单独拆卸维修。 </w:t>
            </w:r>
          </w:p>
          <w:p w14:paraId="26D1F78C">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在Windows、安卓等至少一个通道中支持扫描二维码或登录账号形式一键投屏（可依托第三方软件实现）。 </w:t>
            </w:r>
          </w:p>
          <w:p w14:paraId="5CBA2BD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8、支持录课功能（含录制屏幕和现场人声），可借助选择时间轴上视频片段的方式定位对应教学录课视频位置。（可依托第三方软件实现）</w:t>
            </w:r>
          </w:p>
        </w:tc>
      </w:tr>
      <w:tr w14:paraId="136F4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55458602">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7</w:t>
            </w:r>
          </w:p>
        </w:tc>
        <w:tc>
          <w:tcPr>
            <w:tcW w:w="1527" w:type="dxa"/>
            <w:noWrap w:val="0"/>
            <w:vAlign w:val="center"/>
          </w:tcPr>
          <w:p w14:paraId="2726D3E3">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教学白板 软件技术 要求</w:t>
            </w:r>
          </w:p>
        </w:tc>
        <w:tc>
          <w:tcPr>
            <w:tcW w:w="6927" w:type="dxa"/>
            <w:noWrap w:val="0"/>
            <w:vAlign w:val="top"/>
          </w:tcPr>
          <w:p w14:paraId="2BEEBDEC">
            <w:pPr>
              <w:keepNext w:val="0"/>
              <w:keepLines w:val="0"/>
              <w:pageBreakBefore w:val="0"/>
              <w:widowControl w:val="0"/>
              <w:numPr>
                <w:ilvl w:val="0"/>
                <w:numId w:val="7"/>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提供整机触摸书写功能的笔迹粗细选择，具有擦除功能，提供普通笔等常用类型笔的书写功能。 </w:t>
            </w:r>
          </w:p>
          <w:p w14:paraId="4CB5933C">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屏幕录制：能将在白板上操作的全过程进行录制和回放，包括支持同步录制屏幕内容和麦克风声音。 </w:t>
            </w:r>
          </w:p>
          <w:p w14:paraId="18E088B5">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操作界面简单：提供方便快捷的方式让任课老师迅速组织上课所需辅助工具、素材、课件。 </w:t>
            </w:r>
          </w:p>
          <w:p w14:paraId="37B5AD0F">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图形识别：能将手绘的图形自动识别成标准图形，能至少识别正圆、椭圆、矩形、三角形、四边形等。 </w:t>
            </w:r>
          </w:p>
          <w:p w14:paraId="64B96EE2">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几何工具：提供几何画图工具，包括三角板，圆规，量角器，直尺等。 </w:t>
            </w:r>
          </w:p>
          <w:p w14:paraId="2B061ECD">
            <w:pPr>
              <w:keepNext w:val="0"/>
              <w:keepLines w:val="0"/>
              <w:pageBreakBefore w:val="0"/>
              <w:widowControl w:val="0"/>
              <w:numPr>
                <w:ilvl w:val="0"/>
                <w:numId w:val="7"/>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专用学科工具：能按学科分类提供中学相关的学科工具，涵盖语文、数学、英语、物理、化学等学科，包含但不限于：知识点梳理、习题演练、实验模拟等功能，依学科差异优化参数，满足多样化学习需求。 </w:t>
            </w:r>
          </w:p>
          <w:p w14:paraId="3DE00EF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7、免费升级：在软件在线更新有效期内，可在线获得软件最新版本的更新下载。</w:t>
            </w:r>
          </w:p>
        </w:tc>
      </w:tr>
      <w:tr w14:paraId="0FA67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3BF8C213">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8</w:t>
            </w:r>
          </w:p>
        </w:tc>
        <w:tc>
          <w:tcPr>
            <w:tcW w:w="1527" w:type="dxa"/>
            <w:noWrap w:val="0"/>
            <w:vAlign w:val="center"/>
          </w:tcPr>
          <w:p w14:paraId="5751D7C6">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嵌入式系 统</w:t>
            </w:r>
          </w:p>
        </w:tc>
        <w:tc>
          <w:tcPr>
            <w:tcW w:w="6927" w:type="dxa"/>
            <w:noWrap w:val="0"/>
            <w:vAlign w:val="top"/>
          </w:tcPr>
          <w:p w14:paraId="167A1049">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整机须安装嵌入式安卓操作系统，≥Android 11，内存≥2GB，存储空间≥8GB。</w:t>
            </w:r>
          </w:p>
        </w:tc>
      </w:tr>
      <w:tr w14:paraId="1CFC8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2EE2229E">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9</w:t>
            </w:r>
          </w:p>
        </w:tc>
        <w:tc>
          <w:tcPr>
            <w:tcW w:w="1527" w:type="dxa"/>
            <w:noWrap w:val="0"/>
            <w:vAlign w:val="center"/>
          </w:tcPr>
          <w:p w14:paraId="5F872BE8">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教学资源 要求</w:t>
            </w:r>
          </w:p>
        </w:tc>
        <w:tc>
          <w:tcPr>
            <w:tcW w:w="6927" w:type="dxa"/>
            <w:noWrap w:val="0"/>
            <w:vAlign w:val="top"/>
          </w:tcPr>
          <w:p w14:paraId="6AE7ED8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提供配套教学资源，资源形态应包含音视频资源，并涵盖初中、高中阶段。</w:t>
            </w:r>
          </w:p>
        </w:tc>
      </w:tr>
      <w:tr w14:paraId="27AE9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6F728A1A">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10</w:t>
            </w:r>
          </w:p>
        </w:tc>
        <w:tc>
          <w:tcPr>
            <w:tcW w:w="1527" w:type="dxa"/>
            <w:noWrap w:val="0"/>
            <w:vAlign w:val="center"/>
          </w:tcPr>
          <w:p w14:paraId="538C1CEF">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集中控制 系统要求</w:t>
            </w:r>
          </w:p>
        </w:tc>
        <w:tc>
          <w:tcPr>
            <w:tcW w:w="6927" w:type="dxa"/>
            <w:noWrap w:val="0"/>
            <w:vAlign w:val="top"/>
          </w:tcPr>
          <w:p w14:paraId="3B9F12D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集中控制系统不限定由所响应的液晶一体机制造商提供，但必须满足以下功能要求： </w:t>
            </w:r>
          </w:p>
          <w:p w14:paraId="68B9CC45">
            <w:pPr>
              <w:keepNext w:val="0"/>
              <w:keepLines w:val="0"/>
              <w:pageBreakBefore w:val="0"/>
              <w:widowControl w:val="0"/>
              <w:numPr>
                <w:ilvl w:val="0"/>
                <w:numId w:val="8"/>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集控系统应支持多类型多品牌设备接入，与交互智能教学设备、投影白板一体机等教学设备对接。 </w:t>
            </w:r>
          </w:p>
          <w:p w14:paraId="57EFF800">
            <w:pPr>
              <w:keepNext w:val="0"/>
              <w:keepLines w:val="0"/>
              <w:pageBreakBefore w:val="0"/>
              <w:widowControl w:val="0"/>
              <w:numPr>
                <w:ilvl w:val="0"/>
                <w:numId w:val="8"/>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基础管理：并行管理≥100台终端，可实时展示≥10台设备的使用状态以及设备运行画面。远程监测设备的开关机状态等设备数据。 </w:t>
            </w:r>
          </w:p>
          <w:p w14:paraId="270FF79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（3）具有远程控制功能：屏幕锁定、消息通知、文件传输、远程控制桌面等。</w:t>
            </w:r>
          </w:p>
        </w:tc>
      </w:tr>
    </w:tbl>
    <w:p w14:paraId="77263029">
      <w:pPr>
        <w:tabs>
          <w:tab w:val="left" w:pos="570"/>
        </w:tabs>
        <w:adjustRightInd w:val="0"/>
        <w:spacing w:line="360" w:lineRule="auto"/>
        <w:rPr>
          <w:rFonts w:hint="eastAsia" w:ascii="宋体" w:hAnsi="宋体" w:cs="宋体"/>
          <w:b/>
          <w:color w:val="auto"/>
          <w:sz w:val="24"/>
          <w:szCs w:val="24"/>
        </w:rPr>
      </w:pPr>
    </w:p>
    <w:p w14:paraId="01F33D5B">
      <w:pPr>
        <w:tabs>
          <w:tab w:val="left" w:pos="570"/>
        </w:tabs>
        <w:adjustRightInd w:val="0"/>
        <w:spacing w:line="360" w:lineRule="auto"/>
        <w:rPr>
          <w:rFonts w:ascii="宋体" w:hAnsi="宋体" w:eastAsia="宋体" w:cs="宋体"/>
          <w:sz w:val="24"/>
          <w:szCs w:val="24"/>
        </w:rPr>
      </w:pPr>
      <w:r>
        <w:rPr>
          <w:rFonts w:hint="eastAsia" w:ascii="宋体" w:hAnsi="宋体" w:eastAsia="宋体" w:cs="宋体"/>
          <w:b/>
          <w:bCs/>
          <w:sz w:val="24"/>
          <w:szCs w:val="24"/>
          <w:lang w:val="en-US" w:eastAsia="zh-CN"/>
        </w:rPr>
        <w:t>2</w:t>
      </w:r>
      <w:r>
        <w:rPr>
          <w:rFonts w:ascii="宋体" w:hAnsi="宋体" w:eastAsia="宋体" w:cs="宋体"/>
          <w:b/>
          <w:bCs/>
          <w:sz w:val="24"/>
          <w:szCs w:val="24"/>
        </w:rPr>
        <w:t>、86英寸智慧黑板：</w:t>
      </w:r>
      <w:r>
        <w:rPr>
          <w:rFonts w:ascii="宋体" w:hAnsi="宋体" w:eastAsia="宋体" w:cs="宋体"/>
          <w:sz w:val="24"/>
          <w:szCs w:val="24"/>
        </w:rPr>
        <w:t>每台智慧黑板均须配备包括但不限于：集控软件1 个点、≥3m成品VGA线1根、≥3m成品HDMI线1根、≥1米USB3.0延长线1 根，一个遥控器，一支触控专用笔（遥控器和书写笔可二合一）、一根≥3米的 成品网线、一套无线键鼠（键鼠需同品牌）及其他配套安装件。</w:t>
      </w:r>
    </w:p>
    <w:tbl>
      <w:tblPr>
        <w:tblStyle w:val="32"/>
        <w:tblpPr w:leftFromText="180" w:rightFromText="180" w:vertAnchor="text" w:horzAnchor="page" w:tblpX="1257" w:tblpY="596"/>
        <w:tblOverlap w:val="never"/>
        <w:tblW w:w="9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6"/>
        <w:gridCol w:w="1527"/>
        <w:gridCol w:w="6927"/>
      </w:tblGrid>
      <w:tr w14:paraId="5ED47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5B168AF1">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1527" w:type="dxa"/>
            <w:noWrap w:val="0"/>
            <w:vAlign w:val="center"/>
          </w:tcPr>
          <w:p w14:paraId="1D4BE122">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设备名称</w:t>
            </w:r>
          </w:p>
        </w:tc>
        <w:tc>
          <w:tcPr>
            <w:tcW w:w="6927" w:type="dxa"/>
            <w:noWrap w:val="0"/>
            <w:vAlign w:val="center"/>
          </w:tcPr>
          <w:p w14:paraId="321EB1D0">
            <w:pPr>
              <w:spacing w:line="360" w:lineRule="auto"/>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核心参数</w:t>
            </w:r>
          </w:p>
        </w:tc>
      </w:tr>
      <w:tr w14:paraId="4BC15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06EC4D78">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w:t>
            </w:r>
          </w:p>
        </w:tc>
        <w:tc>
          <w:tcPr>
            <w:tcW w:w="1527" w:type="dxa"/>
            <w:noWrap w:val="0"/>
            <w:vAlign w:val="center"/>
          </w:tcPr>
          <w:p w14:paraId="7E067E51">
            <w:pPr>
              <w:spacing w:line="360" w:lineRule="auto"/>
              <w:jc w:val="center"/>
              <w:rPr>
                <w:rFonts w:hint="default" w:ascii="宋体" w:hAnsi="宋体" w:eastAsia="宋体" w:cs="宋体"/>
                <w:color w:val="auto"/>
                <w:sz w:val="24"/>
                <w:szCs w:val="24"/>
                <w:lang w:val="en-US" w:eastAsia="zh-CN"/>
              </w:rPr>
            </w:pPr>
            <w:r>
              <w:rPr>
                <w:rFonts w:ascii="宋体" w:hAnsi="宋体" w:eastAsia="宋体" w:cs="宋体"/>
                <w:sz w:val="24"/>
                <w:szCs w:val="24"/>
              </w:rPr>
              <w:t>整体设计</w:t>
            </w:r>
          </w:p>
        </w:tc>
        <w:tc>
          <w:tcPr>
            <w:tcW w:w="6927" w:type="dxa"/>
            <w:noWrap w:val="0"/>
            <w:vAlign w:val="center"/>
          </w:tcPr>
          <w:p w14:paraId="24164DD4">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textAlignment w:val="auto"/>
              <w:rPr>
                <w:rFonts w:ascii="宋体" w:hAnsi="宋体" w:eastAsia="宋体" w:cs="宋体"/>
                <w:sz w:val="24"/>
                <w:szCs w:val="24"/>
              </w:rPr>
            </w:pPr>
            <w:r>
              <w:rPr>
                <w:rFonts w:hint="eastAsia" w:ascii="宋体" w:hAnsi="宋体" w:eastAsia="宋体" w:cs="宋体"/>
                <w:sz w:val="24"/>
                <w:szCs w:val="24"/>
                <w:lang w:val="en-US" w:eastAsia="zh-CN"/>
              </w:rPr>
              <w:t>1、</w:t>
            </w:r>
            <w:r>
              <w:rPr>
                <w:rFonts w:ascii="宋体" w:hAnsi="宋体" w:eastAsia="宋体" w:cs="宋体"/>
                <w:sz w:val="24"/>
                <w:szCs w:val="24"/>
              </w:rPr>
              <w:t xml:space="preserve">整体外观尺寸：宽度≥4000mm、高度≥1100mm、厚度≤100mm。 2、整机中间区域为 LED 屏幕，可清晰显示视频和文字内容，进行交 互触控操作等。 </w:t>
            </w:r>
          </w:p>
          <w:p w14:paraId="31F6E974">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ascii="宋体" w:hAnsi="宋体" w:eastAsia="宋体" w:cs="宋体"/>
                <w:sz w:val="24"/>
                <w:szCs w:val="24"/>
              </w:rPr>
            </w:pPr>
            <w:r>
              <w:rPr>
                <w:rFonts w:hint="eastAsia" w:ascii="宋体" w:hAnsi="宋体" w:eastAsia="宋体" w:cs="宋体"/>
                <w:sz w:val="24"/>
                <w:szCs w:val="24"/>
                <w:lang w:val="en-US" w:eastAsia="zh-CN"/>
              </w:rPr>
              <w:t>3、</w:t>
            </w:r>
            <w:r>
              <w:rPr>
                <w:rFonts w:ascii="宋体" w:hAnsi="宋体" w:eastAsia="宋体" w:cs="宋体"/>
                <w:sz w:val="24"/>
                <w:szCs w:val="24"/>
              </w:rPr>
              <w:t xml:space="preserve">整机前面包含中间区域及两侧区域均可满足白板笔、无尘粉笔与普 通粉笔的正常书写功能，书写不打滑。 </w:t>
            </w:r>
          </w:p>
          <w:p w14:paraId="69F828E7">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ascii="宋体" w:hAnsi="宋体" w:eastAsia="宋体" w:cs="宋体"/>
                <w:sz w:val="24"/>
                <w:szCs w:val="24"/>
              </w:rPr>
            </w:pPr>
            <w:r>
              <w:rPr>
                <w:rFonts w:hint="eastAsia" w:ascii="宋体" w:hAnsi="宋体" w:eastAsia="宋体" w:cs="宋体"/>
                <w:sz w:val="24"/>
                <w:szCs w:val="24"/>
                <w:lang w:val="en-US" w:eastAsia="zh-CN"/>
              </w:rPr>
              <w:t>4、</w:t>
            </w:r>
            <w:r>
              <w:rPr>
                <w:rFonts w:ascii="宋体" w:hAnsi="宋体" w:eastAsia="宋体" w:cs="宋体"/>
                <w:sz w:val="24"/>
                <w:szCs w:val="24"/>
              </w:rPr>
              <w:t>屏幕（触控显示屏）贴合方式：全贴合</w:t>
            </w:r>
            <w:r>
              <w:rPr>
                <w:rFonts w:ascii="宋体" w:hAnsi="宋体" w:eastAsia="宋体" w:cs="宋体"/>
                <w:b/>
                <w:bCs/>
                <w:sz w:val="24"/>
                <w:szCs w:val="24"/>
              </w:rPr>
              <w:t>（★响应文件须提供经国家 认可的第三方检测机构出具的具有CNAS或CMA标志的检测报告原件扫 描件加盖公章，否则，视为无效投标。）</w:t>
            </w:r>
            <w:r>
              <w:rPr>
                <w:rFonts w:ascii="宋体" w:hAnsi="宋体" w:eastAsia="宋体" w:cs="宋体"/>
                <w:sz w:val="24"/>
                <w:szCs w:val="24"/>
              </w:rPr>
              <w:t xml:space="preserve">，采用86 英寸 LED 液晶屏，显示比例 16:9；触控显示屏屏体缺陷像素总数≤20个（包括坏点、亮点、暗点等缺陷像素形式）。能清晰显示图片与文字，近距离书写和远距离观看无重影模糊 </w:t>
            </w:r>
          </w:p>
          <w:p w14:paraId="487A371A">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ascii="宋体" w:hAnsi="宋体" w:eastAsia="宋体" w:cs="宋体"/>
                <w:sz w:val="24"/>
                <w:szCs w:val="24"/>
              </w:rPr>
            </w:pPr>
            <w:r>
              <w:rPr>
                <w:rFonts w:hint="eastAsia" w:ascii="宋体" w:hAnsi="宋体" w:eastAsia="宋体" w:cs="宋体"/>
                <w:sz w:val="24"/>
                <w:szCs w:val="24"/>
                <w:lang w:val="en-US" w:eastAsia="zh-CN"/>
              </w:rPr>
              <w:t>5、</w:t>
            </w:r>
            <w:r>
              <w:rPr>
                <w:rFonts w:ascii="宋体" w:hAnsi="宋体" w:eastAsia="宋体" w:cs="宋体"/>
                <w:sz w:val="24"/>
                <w:szCs w:val="24"/>
              </w:rPr>
              <w:t xml:space="preserve">中间区域屏幕（外屏）采用钢化玻璃，硬度≥莫氏 7 级。 </w:t>
            </w:r>
          </w:p>
          <w:p w14:paraId="2681285F">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ascii="宋体" w:hAnsi="宋体" w:eastAsia="宋体" w:cs="宋体"/>
                <w:sz w:val="24"/>
                <w:szCs w:val="24"/>
              </w:rPr>
            </w:pPr>
            <w:r>
              <w:rPr>
                <w:rFonts w:hint="eastAsia" w:ascii="宋体" w:hAnsi="宋体" w:eastAsia="宋体" w:cs="宋体"/>
                <w:sz w:val="24"/>
                <w:szCs w:val="24"/>
                <w:lang w:val="en-US" w:eastAsia="zh-CN"/>
              </w:rPr>
              <w:t>6、</w:t>
            </w:r>
            <w:r>
              <w:rPr>
                <w:rFonts w:ascii="宋体" w:hAnsi="宋体" w:eastAsia="宋体" w:cs="宋体"/>
                <w:sz w:val="24"/>
                <w:szCs w:val="24"/>
              </w:rPr>
              <w:t xml:space="preserve">整机可实现 Windows 及 Android 系统同时联网。 </w:t>
            </w:r>
          </w:p>
          <w:p w14:paraId="74EB34A7">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ascii="宋体" w:hAnsi="宋体" w:eastAsia="宋体" w:cs="宋体"/>
                <w:sz w:val="24"/>
                <w:szCs w:val="24"/>
              </w:rPr>
            </w:pPr>
            <w:r>
              <w:rPr>
                <w:rFonts w:hint="eastAsia" w:ascii="宋体" w:hAnsi="宋体" w:eastAsia="宋体" w:cs="宋体"/>
                <w:sz w:val="24"/>
                <w:szCs w:val="24"/>
                <w:lang w:val="en-US" w:eastAsia="zh-CN"/>
              </w:rPr>
              <w:t>7、</w:t>
            </w:r>
            <w:r>
              <w:rPr>
                <w:rFonts w:ascii="宋体" w:hAnsi="宋体" w:eastAsia="宋体" w:cs="宋体"/>
                <w:sz w:val="24"/>
                <w:szCs w:val="24"/>
              </w:rPr>
              <w:t xml:space="preserve">整机防尘防水，采用全封闭式结构设计，关键接口配备防水防尘胶塞，缝隙处添加密封胶条，有效阻挡灰尘、水汽及微小颗粒侵入，日常粉笔灰不进入主机内，湿布清洁不进水；水平可视角度≥170°（该项指标均为整机含玻璃指标，厚度≥3mm，透光率达≥92% 以上，雾度≥5%，具备防指纹、防刮耐磨特性，与整机贴合精度达 0.01mm。），响应速度:≤8ms（该项指标均为整机含玻璃指标，厚度≥3mm，透光率达≥92% 以上，雾度≥5%，具备防指纹、防刮耐磨特性，与整机贴合精度达 0.01mm。）。 </w:t>
            </w:r>
          </w:p>
          <w:p w14:paraId="360A7187">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ascii="宋体" w:hAnsi="宋体" w:eastAsia="宋体" w:cs="宋体"/>
                <w:sz w:val="24"/>
                <w:szCs w:val="24"/>
              </w:rPr>
            </w:pPr>
            <w:r>
              <w:rPr>
                <w:rFonts w:hint="eastAsia" w:ascii="宋体" w:hAnsi="宋体" w:eastAsia="宋体" w:cs="宋体"/>
                <w:sz w:val="24"/>
                <w:szCs w:val="24"/>
                <w:lang w:val="en-US" w:eastAsia="zh-CN"/>
              </w:rPr>
              <w:t>8、</w:t>
            </w:r>
            <w:r>
              <w:rPr>
                <w:rFonts w:ascii="宋体" w:hAnsi="宋体" w:eastAsia="宋体" w:cs="宋体"/>
                <w:sz w:val="24"/>
                <w:szCs w:val="24"/>
              </w:rPr>
              <w:t>整机触控玻璃具有安全性。</w:t>
            </w:r>
          </w:p>
          <w:p w14:paraId="3014180C">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ascii="宋体" w:hAnsi="宋体" w:eastAsia="宋体" w:cs="宋体"/>
                <w:sz w:val="24"/>
                <w:szCs w:val="24"/>
              </w:rPr>
            </w:pPr>
            <w:r>
              <w:rPr>
                <w:rFonts w:hint="eastAsia" w:ascii="宋体" w:hAnsi="宋体" w:eastAsia="宋体" w:cs="宋体"/>
                <w:sz w:val="24"/>
                <w:szCs w:val="24"/>
                <w:lang w:val="en-US" w:eastAsia="zh-CN"/>
              </w:rPr>
              <w:t>9、</w:t>
            </w:r>
            <w:r>
              <w:rPr>
                <w:rFonts w:ascii="宋体" w:hAnsi="宋体" w:eastAsia="宋体" w:cs="宋体"/>
                <w:sz w:val="24"/>
                <w:szCs w:val="24"/>
              </w:rPr>
              <w:t xml:space="preserve">具备≥1300万像素的摄像头和麦克风，摄像头的安装与智慧黑板为固定内置式的一体化造型设计，智慧黑板的正面、侧面和背面均无外露连接线，内置麦克风，摄像头应具备包含但不限于人脸、教学场景的智能化拍摄功能。 </w:t>
            </w:r>
          </w:p>
          <w:p w14:paraId="7395FAEB">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ascii="宋体" w:hAnsi="宋体" w:eastAsia="宋体" w:cs="宋体"/>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 xml:space="preserve">具备录课功能，可将屏幕中显示的画面音频与现场人声同步录制，拾音距离≥9米。 </w:t>
            </w:r>
          </w:p>
          <w:p w14:paraId="4B13A53A">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hint="eastAsia"/>
              </w:rPr>
            </w:pPr>
            <w:r>
              <w:rPr>
                <w:rFonts w:ascii="宋体" w:hAnsi="宋体" w:eastAsia="宋体" w:cs="宋体"/>
                <w:sz w:val="24"/>
                <w:szCs w:val="24"/>
              </w:rPr>
              <w:t>11、触控显示屏平均无故障时间(MTBF)≥5万小时。</w:t>
            </w:r>
          </w:p>
        </w:tc>
      </w:tr>
      <w:tr w14:paraId="3504D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72DF00F3">
            <w:pPr>
              <w:spacing w:line="360" w:lineRule="auto"/>
              <w:jc w:val="center"/>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2</w:t>
            </w:r>
          </w:p>
        </w:tc>
        <w:tc>
          <w:tcPr>
            <w:tcW w:w="1527" w:type="dxa"/>
            <w:noWrap w:val="0"/>
            <w:vAlign w:val="center"/>
          </w:tcPr>
          <w:p w14:paraId="40287462">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主要功能</w:t>
            </w:r>
          </w:p>
        </w:tc>
        <w:tc>
          <w:tcPr>
            <w:tcW w:w="6927" w:type="dxa"/>
            <w:noWrap w:val="0"/>
            <w:vAlign w:val="center"/>
          </w:tcPr>
          <w:p w14:paraId="705AC212">
            <w:pPr>
              <w:numPr>
                <w:ilvl w:val="0"/>
                <w:numId w:val="9"/>
              </w:numPr>
              <w:spacing w:line="360" w:lineRule="auto"/>
              <w:jc w:val="left"/>
              <w:rPr>
                <w:rFonts w:ascii="宋体" w:hAnsi="宋体" w:eastAsia="宋体" w:cs="宋体"/>
                <w:sz w:val="24"/>
                <w:szCs w:val="24"/>
              </w:rPr>
            </w:pPr>
            <w:r>
              <w:rPr>
                <w:rFonts w:ascii="宋体" w:hAnsi="宋体" w:eastAsia="宋体" w:cs="宋体"/>
                <w:sz w:val="24"/>
                <w:szCs w:val="24"/>
              </w:rPr>
              <w:t xml:space="preserve">整机具备至少 3 路前置 USB 3.0接口，传输速率≥3.2Gbps，采用全双工通信，支持同时收发数据，能够更快地传输大容量数据，如高清视频、大型文件等，其中至少两个TYPE-A）。至少两路前置 USB 接口全部支持 Windows及 Android 双系统读取，将 U 盘插入任意前置 USB 接口，均能被 Windows及 Android 系统识别。 </w:t>
            </w:r>
          </w:p>
          <w:p w14:paraId="4931B29D">
            <w:pPr>
              <w:numPr>
                <w:ilvl w:val="0"/>
                <w:numId w:val="9"/>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整机中间区域支持书写功能与触控功能切换。 </w:t>
            </w:r>
          </w:p>
          <w:p w14:paraId="4B28843B">
            <w:pPr>
              <w:numPr>
                <w:ilvl w:val="0"/>
                <w:numId w:val="9"/>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无 PC 状态下，嵌入式安卓操作系统可实现 windows 系统中常用 的教学应用功能，如白板书写、PPT等Office 软件使用、网页浏览等。 </w:t>
            </w:r>
          </w:p>
          <w:p w14:paraId="1D301330">
            <w:pPr>
              <w:numPr>
                <w:ilvl w:val="0"/>
                <w:numId w:val="9"/>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整机自带无线AP网络共享功能，满足支持≥8个用户终端在线网络连接。 </w:t>
            </w:r>
          </w:p>
          <w:p w14:paraId="13E32FDF">
            <w:pPr>
              <w:numPr>
                <w:ilvl w:val="0"/>
                <w:numId w:val="9"/>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整机两侧黑板区域支持磁性材料吸附 </w:t>
            </w:r>
          </w:p>
          <w:p w14:paraId="018EF97D">
            <w:pPr>
              <w:numPr>
                <w:ilvl w:val="0"/>
                <w:numId w:val="10"/>
              </w:numPr>
              <w:spacing w:line="360" w:lineRule="auto"/>
              <w:ind w:leftChars="0"/>
              <w:jc w:val="left"/>
              <w:rPr>
                <w:rFonts w:ascii="宋体" w:hAnsi="宋体" w:eastAsia="宋体" w:cs="宋体"/>
                <w:sz w:val="24"/>
                <w:szCs w:val="24"/>
              </w:rPr>
            </w:pPr>
            <w:r>
              <w:rPr>
                <w:rFonts w:ascii="宋体" w:hAnsi="宋体" w:eastAsia="宋体" w:cs="宋体"/>
                <w:sz w:val="24"/>
                <w:szCs w:val="24"/>
              </w:rPr>
              <w:t xml:space="preserve">整机自带白板软件， </w:t>
            </w:r>
          </w:p>
          <w:p w14:paraId="44D347D3">
            <w:pPr>
              <w:numPr>
                <w:ilvl w:val="0"/>
                <w:numId w:val="11"/>
              </w:numPr>
              <w:spacing w:line="360" w:lineRule="auto"/>
              <w:jc w:val="left"/>
              <w:rPr>
                <w:rFonts w:ascii="宋体" w:hAnsi="宋体" w:eastAsia="宋体" w:cs="宋体"/>
                <w:sz w:val="24"/>
                <w:szCs w:val="24"/>
              </w:rPr>
            </w:pPr>
            <w:r>
              <w:rPr>
                <w:rFonts w:ascii="宋体" w:hAnsi="宋体" w:eastAsia="宋体" w:cs="宋体"/>
                <w:sz w:val="24"/>
                <w:szCs w:val="24"/>
              </w:rPr>
              <w:t xml:space="preserve">提供整机触摸书写功能的笔迹粗细选择，具有擦除功能，提供普通笔等常用类型笔的书写功能。 3、操作界面简单：提供方便快捷的方式让任课老师迅速组织上课所需辅助工具、素材、课件。 4、图形识别：能将手绘的图形自动识别成标准图形，能至少识别正圆、椭圆、矩形、三角形、四边形等。 5、几何工具：提供几何画图工具，包括三角板，圆规，量角器，直尺等。 6、专用学科工具：能按学科分类提供中学相关的学科工具，涵盖语文、数学、英语、物理、化学等学科，包含但不限于：知识点梳理、习题演练、实验模拟等功能，依学科差异优化参数，满足多样化学习需求。 7、免费升级：在软件在线更新有效期内，可在线获得软件最新版本的更新下载 </w:t>
            </w:r>
          </w:p>
          <w:p w14:paraId="50F7E7B8">
            <w:pPr>
              <w:numPr>
                <w:ilvl w:val="0"/>
                <w:numId w:val="0"/>
              </w:numPr>
              <w:spacing w:line="360" w:lineRule="auto"/>
              <w:jc w:val="left"/>
              <w:rPr>
                <w:rFonts w:hint="eastAsia" w:ascii="宋体" w:hAnsi="宋体" w:eastAsia="宋体" w:cs="宋体"/>
                <w:color w:val="auto"/>
                <w:sz w:val="24"/>
                <w:szCs w:val="24"/>
              </w:rPr>
            </w:pPr>
            <w:r>
              <w:rPr>
                <w:rFonts w:ascii="宋体" w:hAnsi="宋体" w:eastAsia="宋体" w:cs="宋体"/>
                <w:sz w:val="24"/>
                <w:szCs w:val="24"/>
              </w:rPr>
              <w:t>（2）支持录课功能（含录制屏幕和现场人声），可借助选择时间轴上视频片段的方式定位对应教学录课视频位置。（可依托第三方软件实 现）</w:t>
            </w:r>
          </w:p>
        </w:tc>
      </w:tr>
      <w:tr w14:paraId="76892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3ED664B8">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3</w:t>
            </w:r>
          </w:p>
        </w:tc>
        <w:tc>
          <w:tcPr>
            <w:tcW w:w="1527" w:type="dxa"/>
            <w:noWrap w:val="0"/>
            <w:vAlign w:val="center"/>
          </w:tcPr>
          <w:p w14:paraId="549A4B41">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电视系统</w:t>
            </w:r>
          </w:p>
        </w:tc>
        <w:tc>
          <w:tcPr>
            <w:tcW w:w="6927" w:type="dxa"/>
            <w:noWrap w:val="0"/>
            <w:vAlign w:val="center"/>
          </w:tcPr>
          <w:p w14:paraId="299138E3">
            <w:pPr>
              <w:numPr>
                <w:ilvl w:val="0"/>
                <w:numId w:val="12"/>
              </w:numPr>
              <w:spacing w:line="360" w:lineRule="auto"/>
              <w:jc w:val="left"/>
              <w:rPr>
                <w:rFonts w:ascii="宋体" w:hAnsi="宋体" w:eastAsia="宋体" w:cs="宋体"/>
                <w:sz w:val="24"/>
                <w:szCs w:val="24"/>
              </w:rPr>
            </w:pPr>
            <w:r>
              <w:rPr>
                <w:rFonts w:ascii="宋体" w:hAnsi="宋体" w:eastAsia="宋体" w:cs="宋体"/>
                <w:sz w:val="24"/>
                <w:szCs w:val="24"/>
              </w:rPr>
              <w:t xml:space="preserve">屏幕图像分辨率≥3840*2160。亮度≥350cd/m²（该项指标均为整机含玻璃指标，厚度≥ 3mm，透光率达≥92% 以上，雾度≥5%，具备防指纹、防刮耐磨特性，与整机贴合精度达 0.01mm。）；对比度：≥ 3500:1（该项指标均为整机含玻璃指标，厚度≥ 3mm，透光率达≥92% 以上，雾度≥5%，具备防指纹、防刮耐磨特性，与整机贴合精度达0.01mm。）。 </w:t>
            </w:r>
          </w:p>
          <w:p w14:paraId="56586F46">
            <w:pPr>
              <w:numPr>
                <w:ilvl w:val="0"/>
                <w:numId w:val="12"/>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屏幕显示灰度分辨等级达到 128灰阶（含）以上。 </w:t>
            </w:r>
          </w:p>
          <w:p w14:paraId="6AA21834">
            <w:pPr>
              <w:numPr>
                <w:ilvl w:val="0"/>
                <w:numId w:val="12"/>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输入端子: ≥1路 HDMI；≥1 路 RJ45；≥1路 VGA(VGA可为转接形式，但须随整机附有专用转接件）。 </w:t>
            </w:r>
          </w:p>
          <w:p w14:paraId="1EC3C5AB">
            <w:pPr>
              <w:numPr>
                <w:ilvl w:val="0"/>
                <w:numId w:val="0"/>
              </w:numPr>
              <w:spacing w:line="360" w:lineRule="auto"/>
              <w:ind w:leftChars="0"/>
              <w:jc w:val="left"/>
              <w:rPr>
                <w:rFonts w:hint="eastAsia" w:ascii="宋体" w:hAnsi="宋体" w:eastAsia="宋体" w:cs="宋体"/>
                <w:b/>
                <w:bCs/>
                <w:color w:val="auto"/>
                <w:sz w:val="24"/>
                <w:szCs w:val="24"/>
              </w:rPr>
            </w:pPr>
            <w:r>
              <w:rPr>
                <w:rFonts w:ascii="宋体" w:hAnsi="宋体" w:eastAsia="宋体" w:cs="宋体"/>
                <w:sz w:val="24"/>
                <w:szCs w:val="24"/>
              </w:rPr>
              <w:t>4、输出端子：≥1 路耳机；内置扬声器≥2个，总功率≥40W。</w:t>
            </w:r>
          </w:p>
        </w:tc>
      </w:tr>
      <w:tr w14:paraId="2D1AF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62B59E2A">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4</w:t>
            </w:r>
          </w:p>
        </w:tc>
        <w:tc>
          <w:tcPr>
            <w:tcW w:w="1527" w:type="dxa"/>
            <w:noWrap w:val="0"/>
            <w:vAlign w:val="center"/>
          </w:tcPr>
          <w:p w14:paraId="129099E7">
            <w:pPr>
              <w:spacing w:line="360" w:lineRule="auto"/>
              <w:jc w:val="center"/>
              <w:rPr>
                <w:rFonts w:hint="default" w:ascii="宋体" w:hAnsi="宋体" w:eastAsia="宋体" w:cs="宋体"/>
                <w:color w:val="auto"/>
                <w:sz w:val="24"/>
                <w:szCs w:val="24"/>
                <w:lang w:val="en-US" w:eastAsia="zh-CN"/>
              </w:rPr>
            </w:pPr>
            <w:r>
              <w:rPr>
                <w:rFonts w:ascii="宋体" w:hAnsi="宋体" w:eastAsia="宋体" w:cs="宋体"/>
                <w:sz w:val="24"/>
                <w:szCs w:val="24"/>
              </w:rPr>
              <w:t>触摸系统</w:t>
            </w:r>
          </w:p>
        </w:tc>
        <w:tc>
          <w:tcPr>
            <w:tcW w:w="6927" w:type="dxa"/>
            <w:noWrap w:val="0"/>
            <w:vAlign w:val="top"/>
          </w:tcPr>
          <w:p w14:paraId="66EACDE4">
            <w:pPr>
              <w:pStyle w:val="2"/>
              <w:keepNext w:val="0"/>
              <w:keepLines w:val="0"/>
              <w:pageBreakBefore w:val="0"/>
              <w:widowControl w:val="0"/>
              <w:numPr>
                <w:ilvl w:val="0"/>
                <w:numId w:val="13"/>
              </w:numPr>
              <w:kinsoku/>
              <w:wordWrap/>
              <w:overflowPunct/>
              <w:topLinePunct w:val="0"/>
              <w:autoSpaceDE/>
              <w:autoSpaceDN/>
              <w:bidi w:val="0"/>
              <w:adjustRightInd/>
              <w:snapToGrid/>
              <w:spacing w:after="0" w:line="360" w:lineRule="auto"/>
              <w:textAlignment w:val="auto"/>
              <w:rPr>
                <w:rFonts w:ascii="宋体" w:hAnsi="宋体" w:eastAsia="宋体" w:cs="宋体"/>
                <w:sz w:val="24"/>
                <w:szCs w:val="24"/>
              </w:rPr>
            </w:pPr>
            <w:r>
              <w:rPr>
                <w:rFonts w:ascii="宋体" w:hAnsi="宋体" w:eastAsia="宋体" w:cs="宋体"/>
                <w:sz w:val="24"/>
                <w:szCs w:val="24"/>
              </w:rPr>
              <w:t xml:space="preserve">采用电容触控技术，支持在 Windows 中进行至少20 点触控，并支 持至少20点触控书写，安卓系统中进行至少20 点触控；每台一体机 配一支触控专用笔，支持手指和专用笔触控。 </w:t>
            </w:r>
          </w:p>
          <w:p w14:paraId="3DDDD445">
            <w:pPr>
              <w:pStyle w:val="2"/>
              <w:keepNext w:val="0"/>
              <w:keepLines w:val="0"/>
              <w:pageBreakBefore w:val="0"/>
              <w:widowControl w:val="0"/>
              <w:numPr>
                <w:ilvl w:val="0"/>
                <w:numId w:val="13"/>
              </w:numPr>
              <w:kinsoku/>
              <w:wordWrap/>
              <w:overflowPunct/>
              <w:topLinePunct w:val="0"/>
              <w:autoSpaceDE/>
              <w:autoSpaceDN/>
              <w:bidi w:val="0"/>
              <w:adjustRightInd/>
              <w:snapToGrid/>
              <w:spacing w:after="0" w:line="360" w:lineRule="auto"/>
              <w:ind w:left="0" w:leftChars="0" w:firstLine="0" w:firstLineChars="0"/>
              <w:textAlignment w:val="auto"/>
              <w:rPr>
                <w:rFonts w:ascii="宋体" w:hAnsi="宋体" w:eastAsia="宋体" w:cs="宋体"/>
                <w:sz w:val="24"/>
                <w:szCs w:val="24"/>
              </w:rPr>
            </w:pPr>
            <w:r>
              <w:rPr>
                <w:rFonts w:ascii="宋体" w:hAnsi="宋体" w:eastAsia="宋体" w:cs="宋体"/>
                <w:sz w:val="24"/>
                <w:szCs w:val="24"/>
              </w:rPr>
              <w:t xml:space="preserve">触摸有效识别≤5mm。 </w:t>
            </w:r>
          </w:p>
          <w:p w14:paraId="553B50A2">
            <w:pPr>
              <w:pStyle w:val="2"/>
              <w:keepNext w:val="0"/>
              <w:keepLines w:val="0"/>
              <w:pageBreakBefore w:val="0"/>
              <w:widowControl w:val="0"/>
              <w:numPr>
                <w:ilvl w:val="0"/>
                <w:numId w:val="13"/>
              </w:numPr>
              <w:kinsoku/>
              <w:wordWrap/>
              <w:overflowPunct/>
              <w:topLinePunct w:val="0"/>
              <w:autoSpaceDE/>
              <w:autoSpaceDN/>
              <w:bidi w:val="0"/>
              <w:adjustRightInd/>
              <w:snapToGrid/>
              <w:spacing w:after="0" w:line="360" w:lineRule="auto"/>
              <w:ind w:left="0" w:leftChars="0" w:firstLine="0" w:firstLineChars="0"/>
              <w:textAlignment w:val="auto"/>
              <w:rPr>
                <w:rFonts w:ascii="宋体" w:hAnsi="宋体" w:eastAsia="宋体" w:cs="宋体"/>
                <w:sz w:val="24"/>
                <w:szCs w:val="24"/>
              </w:rPr>
            </w:pPr>
            <w:r>
              <w:rPr>
                <w:rFonts w:ascii="宋体" w:hAnsi="宋体" w:eastAsia="宋体" w:cs="宋体"/>
                <w:sz w:val="24"/>
                <w:szCs w:val="24"/>
              </w:rPr>
              <w:t xml:space="preserve">触摸屏系统通讯端口： USB。 </w:t>
            </w:r>
          </w:p>
          <w:p w14:paraId="6D98A77B">
            <w:pPr>
              <w:pStyle w:val="2"/>
              <w:keepNext w:val="0"/>
              <w:keepLines w:val="0"/>
              <w:pageBreakBefore w:val="0"/>
              <w:widowControl w:val="0"/>
              <w:numPr>
                <w:ilvl w:val="0"/>
                <w:numId w:val="0"/>
              </w:numPr>
              <w:kinsoku/>
              <w:wordWrap/>
              <w:overflowPunct/>
              <w:topLinePunct w:val="0"/>
              <w:autoSpaceDE/>
              <w:autoSpaceDN/>
              <w:bidi w:val="0"/>
              <w:adjustRightInd/>
              <w:snapToGrid/>
              <w:spacing w:after="0" w:line="360" w:lineRule="auto"/>
              <w:ind w:leftChars="0"/>
              <w:textAlignment w:val="auto"/>
              <w:rPr>
                <w:rFonts w:hint="eastAsia"/>
              </w:rPr>
            </w:pPr>
            <w:r>
              <w:rPr>
                <w:rFonts w:ascii="宋体" w:hAnsi="宋体" w:eastAsia="宋体" w:cs="宋体"/>
                <w:sz w:val="24"/>
                <w:szCs w:val="24"/>
              </w:rPr>
              <w:t>4、为保证触摸书写流畅度，书写延迟时间需控制在 90ms 以内。</w:t>
            </w:r>
          </w:p>
        </w:tc>
      </w:tr>
      <w:tr w14:paraId="64B6F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471469DF">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5</w:t>
            </w:r>
          </w:p>
        </w:tc>
        <w:tc>
          <w:tcPr>
            <w:tcW w:w="1527" w:type="dxa"/>
            <w:noWrap w:val="0"/>
            <w:vAlign w:val="center"/>
          </w:tcPr>
          <w:p w14:paraId="21CC6459">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嵌入式系统</w:t>
            </w:r>
          </w:p>
        </w:tc>
        <w:tc>
          <w:tcPr>
            <w:tcW w:w="6927" w:type="dxa"/>
            <w:noWrap w:val="0"/>
            <w:vAlign w:val="top"/>
          </w:tcPr>
          <w:p w14:paraId="526D1C1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auto"/>
                <w:sz w:val="24"/>
                <w:szCs w:val="24"/>
              </w:rPr>
            </w:pPr>
            <w:r>
              <w:rPr>
                <w:rFonts w:ascii="宋体" w:hAnsi="宋体" w:eastAsia="宋体" w:cs="宋体"/>
                <w:sz w:val="24"/>
                <w:szCs w:val="24"/>
              </w:rPr>
              <w:t>整机须安装嵌入式安卓操作系统，≥Android 11，内存≥2GB，存储空 间≥8GB。</w:t>
            </w:r>
          </w:p>
        </w:tc>
      </w:tr>
      <w:tr w14:paraId="47A23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3C27DD1C">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6</w:t>
            </w:r>
          </w:p>
        </w:tc>
        <w:tc>
          <w:tcPr>
            <w:tcW w:w="1527" w:type="dxa"/>
            <w:noWrap w:val="0"/>
            <w:vAlign w:val="center"/>
          </w:tcPr>
          <w:p w14:paraId="0073651E">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移动终端</w:t>
            </w:r>
          </w:p>
        </w:tc>
        <w:tc>
          <w:tcPr>
            <w:tcW w:w="6927" w:type="dxa"/>
            <w:noWrap w:val="0"/>
            <w:vAlign w:val="top"/>
          </w:tcPr>
          <w:p w14:paraId="17936D11">
            <w:pPr>
              <w:numPr>
                <w:ilvl w:val="0"/>
                <w:numId w:val="14"/>
              </w:numPr>
              <w:spacing w:line="360" w:lineRule="auto"/>
              <w:jc w:val="left"/>
              <w:rPr>
                <w:rFonts w:ascii="宋体" w:hAnsi="宋体" w:eastAsia="宋体" w:cs="宋体"/>
                <w:sz w:val="24"/>
                <w:szCs w:val="24"/>
              </w:rPr>
            </w:pPr>
            <w:r>
              <w:rPr>
                <w:rFonts w:ascii="宋体" w:hAnsi="宋体" w:eastAsia="宋体" w:cs="宋体"/>
                <w:sz w:val="24"/>
                <w:szCs w:val="24"/>
              </w:rPr>
              <w:t xml:space="preserve">内置PC采用芯片模块化抽拉式台式机方案，智能多核心多线程技术。 </w:t>
            </w:r>
          </w:p>
          <w:p w14:paraId="2191F599">
            <w:pPr>
              <w:numPr>
                <w:ilvl w:val="0"/>
                <w:numId w:val="14"/>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CPU：≥8核16线程、最大睿频≥5.0Ghz、缓存≥16M。 </w:t>
            </w:r>
          </w:p>
          <w:p w14:paraId="53E87BD0">
            <w:pPr>
              <w:numPr>
                <w:ilvl w:val="0"/>
                <w:numId w:val="14"/>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内存：16G DDR4 及以上。 </w:t>
            </w:r>
          </w:p>
          <w:p w14:paraId="7A233A6F">
            <w:pPr>
              <w:numPr>
                <w:ilvl w:val="0"/>
                <w:numId w:val="14"/>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硬盘：≥256G 固态硬盘。</w:t>
            </w:r>
          </w:p>
          <w:p w14:paraId="56A27CC9">
            <w:pPr>
              <w:numPr>
                <w:ilvl w:val="0"/>
                <w:numId w:val="14"/>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有线网络：≥1个千兆 RJ45网络端口，用于内部网络和外部网络连接；无线网络</w:t>
            </w:r>
            <w:r>
              <w:rPr>
                <w:rFonts w:hint="eastAsia" w:ascii="宋体" w:hAnsi="宋体" w:eastAsia="宋体" w:cs="宋体"/>
                <w:sz w:val="24"/>
                <w:szCs w:val="24"/>
                <w:lang w:eastAsia="zh-CN"/>
              </w:rPr>
              <w:t>：</w:t>
            </w:r>
            <w:r>
              <w:rPr>
                <w:rFonts w:ascii="宋体" w:hAnsi="宋体" w:eastAsia="宋体" w:cs="宋体"/>
                <w:sz w:val="24"/>
                <w:szCs w:val="24"/>
              </w:rPr>
              <w:t xml:space="preserve">采用符合IEEE 802.11b/g/n标准，最高传输速率可达300Mbps。 </w:t>
            </w:r>
          </w:p>
          <w:p w14:paraId="69AEDE65">
            <w:pPr>
              <w:numPr>
                <w:ilvl w:val="0"/>
                <w:numId w:val="14"/>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产品通过 3C 认证。 </w:t>
            </w:r>
          </w:p>
          <w:p w14:paraId="44AA06E9">
            <w:pPr>
              <w:numPr>
                <w:ilvl w:val="0"/>
                <w:numId w:val="14"/>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具有耳麦接口。 </w:t>
            </w:r>
          </w:p>
          <w:p w14:paraId="767DB467">
            <w:pPr>
              <w:numPr>
                <w:ilvl w:val="0"/>
                <w:numId w:val="14"/>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预装正版Windows操作系统。 </w:t>
            </w:r>
          </w:p>
          <w:p w14:paraId="4ACB1298">
            <w:pPr>
              <w:numPr>
                <w:ilvl w:val="0"/>
                <w:numId w:val="14"/>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还原克隆及硬盘保护功能功能：支持创设系统还原点，实现磁盘级的系统还原保护，可根据教学需要自由选择磁盘分区设立还原点、取消还原点；支持将本机配置克隆到其他机器。硬盘保护功能能够分别冻结、解冻不同的分区。（本项功能允许投标人通过安装第三方软件实现） </w:t>
            </w:r>
          </w:p>
          <w:p w14:paraId="7B7DC0D8">
            <w:pPr>
              <w:numPr>
                <w:ilvl w:val="0"/>
                <w:numId w:val="0"/>
              </w:numPr>
              <w:spacing w:line="360" w:lineRule="auto"/>
              <w:ind w:leftChars="0"/>
              <w:jc w:val="left"/>
              <w:rPr>
                <w:rFonts w:hint="eastAsia" w:ascii="宋体" w:hAnsi="宋体" w:eastAsia="宋体" w:cs="宋体"/>
                <w:b/>
                <w:bCs/>
                <w:color w:val="auto"/>
                <w:sz w:val="24"/>
                <w:szCs w:val="24"/>
              </w:rPr>
            </w:pPr>
            <w:r>
              <w:rPr>
                <w:rFonts w:ascii="宋体" w:hAnsi="宋体" w:eastAsia="宋体" w:cs="宋体"/>
                <w:sz w:val="24"/>
                <w:szCs w:val="24"/>
              </w:rPr>
              <w:t>10、弹窗拦截功能：支持对软件应用弹窗进行无差别拦截，可自定义自动拦截、手动点选拦截，保证教学过程中无干扰。（本项功能允许投标人通过安装第三方软件实现）</w:t>
            </w:r>
          </w:p>
        </w:tc>
      </w:tr>
      <w:tr w14:paraId="01C1B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6B0F2E71">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7</w:t>
            </w:r>
          </w:p>
        </w:tc>
        <w:tc>
          <w:tcPr>
            <w:tcW w:w="1527" w:type="dxa"/>
            <w:noWrap w:val="0"/>
            <w:vAlign w:val="center"/>
          </w:tcPr>
          <w:p w14:paraId="199ABAC1">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课堂教学软 件</w:t>
            </w:r>
          </w:p>
        </w:tc>
        <w:tc>
          <w:tcPr>
            <w:tcW w:w="6927" w:type="dxa"/>
            <w:noWrap w:val="0"/>
            <w:vAlign w:val="top"/>
          </w:tcPr>
          <w:p w14:paraId="3E0B23EA">
            <w:pPr>
              <w:spacing w:line="360" w:lineRule="auto"/>
              <w:jc w:val="left"/>
              <w:rPr>
                <w:rFonts w:hint="eastAsia" w:ascii="宋体" w:hAnsi="宋体" w:eastAsia="宋体" w:cs="宋体"/>
                <w:b/>
                <w:bCs/>
                <w:color w:val="auto"/>
                <w:sz w:val="24"/>
                <w:szCs w:val="24"/>
              </w:rPr>
            </w:pPr>
            <w:r>
              <w:rPr>
                <w:rFonts w:ascii="宋体" w:hAnsi="宋体" w:eastAsia="宋体" w:cs="宋体"/>
                <w:sz w:val="24"/>
                <w:szCs w:val="24"/>
              </w:rPr>
              <w:t>软件具有图形工具、多屏互动功能。支持手机、平板电脑等移动设备与一体机连接后，实现影像上传、手机投屏。</w:t>
            </w:r>
          </w:p>
        </w:tc>
      </w:tr>
      <w:tr w14:paraId="5B507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7D6D4902">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8</w:t>
            </w:r>
          </w:p>
        </w:tc>
        <w:tc>
          <w:tcPr>
            <w:tcW w:w="1527" w:type="dxa"/>
            <w:noWrap w:val="0"/>
            <w:vAlign w:val="center"/>
          </w:tcPr>
          <w:p w14:paraId="32DB0C07">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集中控制系 统</w:t>
            </w:r>
          </w:p>
        </w:tc>
        <w:tc>
          <w:tcPr>
            <w:tcW w:w="6927" w:type="dxa"/>
            <w:noWrap w:val="0"/>
            <w:vAlign w:val="top"/>
          </w:tcPr>
          <w:p w14:paraId="208970EE">
            <w:pPr>
              <w:numPr>
                <w:ilvl w:val="0"/>
                <w:numId w:val="15"/>
              </w:numPr>
              <w:spacing w:line="360" w:lineRule="auto"/>
              <w:jc w:val="left"/>
              <w:rPr>
                <w:rFonts w:ascii="宋体" w:hAnsi="宋体" w:eastAsia="宋体" w:cs="宋体"/>
                <w:sz w:val="24"/>
                <w:szCs w:val="24"/>
              </w:rPr>
            </w:pPr>
            <w:r>
              <w:rPr>
                <w:rFonts w:ascii="宋体" w:hAnsi="宋体" w:eastAsia="宋体" w:cs="宋体"/>
                <w:sz w:val="24"/>
                <w:szCs w:val="24"/>
              </w:rPr>
              <w:t xml:space="preserve">集控系统应支持多类型多品牌设备接入，与交互智能教学设备、投影白板一体机等教学设备对接。 </w:t>
            </w:r>
          </w:p>
          <w:p w14:paraId="2479C05F">
            <w:pPr>
              <w:numPr>
                <w:ilvl w:val="0"/>
                <w:numId w:val="15"/>
              </w:numPr>
              <w:spacing w:line="360" w:lineRule="auto"/>
              <w:ind w:left="0" w:leftChars="0" w:firstLine="0" w:firstLineChars="0"/>
              <w:jc w:val="left"/>
              <w:rPr>
                <w:rFonts w:ascii="宋体" w:hAnsi="宋体" w:eastAsia="宋体" w:cs="宋体"/>
                <w:sz w:val="24"/>
                <w:szCs w:val="24"/>
              </w:rPr>
            </w:pPr>
            <w:r>
              <w:rPr>
                <w:rFonts w:ascii="宋体" w:hAnsi="宋体" w:eastAsia="宋体" w:cs="宋体"/>
                <w:sz w:val="24"/>
                <w:szCs w:val="24"/>
              </w:rPr>
              <w:t xml:space="preserve">基础管理：并行管理≥100台终端，可实时展示≥10台设备的使用状态以及设备运行画面。远程监测设备的开关机状态等设备数据。 </w:t>
            </w:r>
          </w:p>
          <w:p w14:paraId="46C50D53">
            <w:pPr>
              <w:numPr>
                <w:ilvl w:val="0"/>
                <w:numId w:val="0"/>
              </w:numPr>
              <w:spacing w:line="360" w:lineRule="auto"/>
              <w:ind w:leftChars="0"/>
              <w:jc w:val="left"/>
              <w:rPr>
                <w:rFonts w:hint="eastAsia" w:ascii="宋体" w:hAnsi="宋体" w:eastAsia="宋体" w:cs="宋体"/>
                <w:b/>
                <w:bCs/>
                <w:color w:val="auto"/>
                <w:sz w:val="24"/>
                <w:szCs w:val="24"/>
              </w:rPr>
            </w:pPr>
            <w:r>
              <w:rPr>
                <w:rFonts w:ascii="宋体" w:hAnsi="宋体" w:eastAsia="宋体" w:cs="宋体"/>
                <w:sz w:val="24"/>
                <w:szCs w:val="24"/>
              </w:rPr>
              <w:t>（3）具有远程控制功能：屏幕锁定、消息通知、文件传输、远程控制桌面等。</w:t>
            </w:r>
          </w:p>
        </w:tc>
      </w:tr>
      <w:tr w14:paraId="596B4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946" w:type="dxa"/>
            <w:noWrap w:val="0"/>
            <w:vAlign w:val="center"/>
          </w:tcPr>
          <w:p w14:paraId="23141B66">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9</w:t>
            </w:r>
          </w:p>
        </w:tc>
        <w:tc>
          <w:tcPr>
            <w:tcW w:w="1527" w:type="dxa"/>
            <w:noWrap w:val="0"/>
            <w:vAlign w:val="center"/>
          </w:tcPr>
          <w:p w14:paraId="03631913">
            <w:pPr>
              <w:spacing w:line="360" w:lineRule="auto"/>
              <w:jc w:val="center"/>
              <w:rPr>
                <w:rFonts w:hint="eastAsia" w:ascii="宋体" w:hAnsi="宋体" w:eastAsia="宋体" w:cs="宋体"/>
                <w:color w:val="auto"/>
                <w:sz w:val="24"/>
                <w:szCs w:val="24"/>
              </w:rPr>
            </w:pPr>
            <w:r>
              <w:rPr>
                <w:rFonts w:ascii="宋体" w:hAnsi="宋体" w:eastAsia="宋体" w:cs="宋体"/>
                <w:sz w:val="24"/>
                <w:szCs w:val="24"/>
              </w:rPr>
              <w:t>教学资源要 求</w:t>
            </w:r>
          </w:p>
        </w:tc>
        <w:tc>
          <w:tcPr>
            <w:tcW w:w="6927" w:type="dxa"/>
            <w:noWrap w:val="0"/>
            <w:vAlign w:val="top"/>
          </w:tcPr>
          <w:p w14:paraId="4C115307">
            <w:pPr>
              <w:spacing w:line="360" w:lineRule="auto"/>
              <w:jc w:val="left"/>
              <w:rPr>
                <w:rFonts w:hint="eastAsia" w:ascii="宋体" w:hAnsi="宋体" w:eastAsia="宋体" w:cs="宋体"/>
                <w:b/>
                <w:bCs/>
                <w:color w:val="auto"/>
                <w:sz w:val="24"/>
                <w:szCs w:val="24"/>
              </w:rPr>
            </w:pPr>
            <w:r>
              <w:rPr>
                <w:rFonts w:ascii="宋体" w:hAnsi="宋体" w:eastAsia="宋体" w:cs="宋体"/>
                <w:sz w:val="24"/>
                <w:szCs w:val="24"/>
              </w:rPr>
              <w:t>提供配套教学资源，资源形态应包含音视频资源，并涵盖初中、高中阶段。</w:t>
            </w:r>
          </w:p>
        </w:tc>
      </w:tr>
    </w:tbl>
    <w:p w14:paraId="03BABB0D">
      <w:pPr>
        <w:numPr>
          <w:ilvl w:val="0"/>
          <w:numId w:val="0"/>
        </w:numPr>
        <w:tabs>
          <w:tab w:val="left" w:pos="570"/>
        </w:tabs>
        <w:adjustRightInd w:val="0"/>
        <w:spacing w:line="360" w:lineRule="auto"/>
        <w:ind w:leftChars="0"/>
        <w:rPr>
          <w:rFonts w:hint="eastAsia" w:ascii="宋体" w:hAnsi="宋体" w:cs="宋体"/>
          <w:b/>
          <w:bCs/>
          <w:sz w:val="24"/>
          <w:szCs w:val="24"/>
          <w:lang w:val="en-US" w:eastAsia="zh-CN"/>
        </w:rPr>
      </w:pPr>
    </w:p>
    <w:p w14:paraId="69B5F74E">
      <w:pPr>
        <w:numPr>
          <w:ilvl w:val="0"/>
          <w:numId w:val="0"/>
        </w:numPr>
        <w:tabs>
          <w:tab w:val="left" w:pos="570"/>
        </w:tabs>
        <w:adjustRightInd w:val="0"/>
        <w:spacing w:line="360" w:lineRule="auto"/>
        <w:ind w:leftChars="0"/>
        <w:rPr>
          <w:rFonts w:ascii="宋体" w:hAnsi="宋体" w:eastAsia="宋体" w:cs="宋体"/>
          <w:b/>
          <w:bCs/>
          <w:sz w:val="24"/>
          <w:szCs w:val="24"/>
        </w:rPr>
      </w:pPr>
      <w:r>
        <w:rPr>
          <w:rFonts w:hint="eastAsia" w:ascii="宋体" w:hAnsi="宋体" w:cs="宋体"/>
          <w:b/>
          <w:bCs/>
          <w:sz w:val="24"/>
          <w:szCs w:val="24"/>
          <w:lang w:val="en-US" w:eastAsia="zh-CN"/>
        </w:rPr>
        <w:t>3</w:t>
      </w:r>
      <w:r>
        <w:rPr>
          <w:rFonts w:hint="eastAsia" w:ascii="宋体" w:hAnsi="宋体" w:eastAsia="宋体" w:cs="宋体"/>
          <w:b/>
          <w:bCs/>
          <w:sz w:val="24"/>
          <w:szCs w:val="24"/>
          <w:lang w:val="en-US" w:eastAsia="zh-CN"/>
        </w:rPr>
        <w:t>、</w:t>
      </w:r>
      <w:r>
        <w:rPr>
          <w:rFonts w:ascii="宋体" w:hAnsi="宋体" w:eastAsia="宋体" w:cs="宋体"/>
          <w:b/>
          <w:bCs/>
          <w:sz w:val="24"/>
          <w:szCs w:val="24"/>
        </w:rPr>
        <w:t>配套移动支架：</w:t>
      </w:r>
    </w:p>
    <w:tbl>
      <w:tblPr>
        <w:tblStyle w:val="33"/>
        <w:tblW w:w="0" w:type="auto"/>
        <w:tblInd w:w="-5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2"/>
        <w:gridCol w:w="1546"/>
        <w:gridCol w:w="6599"/>
      </w:tblGrid>
      <w:tr w14:paraId="3316C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vAlign w:val="center"/>
          </w:tcPr>
          <w:p w14:paraId="0232154D">
            <w:pPr>
              <w:spacing w:line="360" w:lineRule="auto"/>
              <w:jc w:val="center"/>
              <w:rPr>
                <w:rFonts w:hint="eastAsia" w:ascii="宋体" w:hAnsi="宋体" w:cs="宋体"/>
                <w:b/>
                <w:bCs/>
                <w:color w:val="auto"/>
                <w:sz w:val="24"/>
                <w:szCs w:val="24"/>
                <w:lang w:val="en-US" w:eastAsia="zh-CN"/>
              </w:rPr>
            </w:pPr>
            <w:r>
              <w:rPr>
                <w:rFonts w:hint="eastAsia" w:ascii="宋体" w:hAnsi="宋体" w:cs="宋体"/>
                <w:b/>
                <w:bCs/>
                <w:color w:val="auto"/>
                <w:sz w:val="24"/>
                <w:szCs w:val="24"/>
                <w:lang w:val="en-US" w:eastAsia="zh-CN"/>
              </w:rPr>
              <w:t>序 号</w:t>
            </w:r>
          </w:p>
        </w:tc>
        <w:tc>
          <w:tcPr>
            <w:tcW w:w="1546" w:type="dxa"/>
            <w:vAlign w:val="center"/>
          </w:tcPr>
          <w:p w14:paraId="6FAD959E">
            <w:pPr>
              <w:spacing w:line="360" w:lineRule="auto"/>
              <w:jc w:val="center"/>
              <w:rPr>
                <w:rFonts w:hint="eastAsia" w:ascii="宋体" w:hAnsi="宋体" w:cs="宋体"/>
                <w:b/>
                <w:bCs/>
                <w:color w:val="auto"/>
                <w:sz w:val="24"/>
                <w:szCs w:val="24"/>
                <w:lang w:val="en-US" w:eastAsia="zh-CN"/>
              </w:rPr>
            </w:pPr>
            <w:r>
              <w:rPr>
                <w:rFonts w:hint="eastAsia" w:ascii="宋体" w:hAnsi="宋体" w:cs="宋体"/>
                <w:b/>
                <w:bCs/>
                <w:color w:val="auto"/>
                <w:sz w:val="24"/>
                <w:szCs w:val="24"/>
                <w:lang w:val="en-US" w:eastAsia="zh-CN"/>
              </w:rPr>
              <w:t>名 称</w:t>
            </w:r>
          </w:p>
        </w:tc>
        <w:tc>
          <w:tcPr>
            <w:tcW w:w="6599" w:type="dxa"/>
            <w:vAlign w:val="center"/>
          </w:tcPr>
          <w:p w14:paraId="050B110A">
            <w:pPr>
              <w:spacing w:line="360" w:lineRule="auto"/>
              <w:jc w:val="center"/>
              <w:rPr>
                <w:rFonts w:hint="eastAsia" w:ascii="宋体" w:hAnsi="宋体" w:cs="宋体"/>
                <w:b/>
                <w:bCs/>
                <w:color w:val="auto"/>
                <w:sz w:val="24"/>
                <w:szCs w:val="24"/>
                <w:lang w:val="en-US" w:eastAsia="zh-CN"/>
              </w:rPr>
            </w:pPr>
            <w:r>
              <w:rPr>
                <w:rFonts w:hint="eastAsia" w:ascii="宋体" w:hAnsi="宋体" w:cs="宋体"/>
                <w:b/>
                <w:bCs/>
                <w:color w:val="auto"/>
                <w:sz w:val="24"/>
                <w:szCs w:val="24"/>
                <w:lang w:val="en-US" w:eastAsia="zh-CN"/>
              </w:rPr>
              <w:t>技术参数</w:t>
            </w:r>
          </w:p>
        </w:tc>
      </w:tr>
      <w:tr w14:paraId="2EEF8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vAlign w:val="center"/>
          </w:tcPr>
          <w:p w14:paraId="3915142F">
            <w:pPr>
              <w:spacing w:line="360" w:lineRule="auto"/>
              <w:jc w:val="center"/>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1</w:t>
            </w:r>
          </w:p>
        </w:tc>
        <w:tc>
          <w:tcPr>
            <w:tcW w:w="1546" w:type="dxa"/>
            <w:vAlign w:val="center"/>
          </w:tcPr>
          <w:p w14:paraId="3DF62509">
            <w:pPr>
              <w:spacing w:line="360" w:lineRule="auto"/>
              <w:jc w:val="center"/>
              <w:rPr>
                <w:rFonts w:hint="default" w:ascii="宋体" w:hAnsi="宋体" w:cs="宋体"/>
                <w:color w:val="auto"/>
                <w:sz w:val="24"/>
                <w:szCs w:val="24"/>
                <w:lang w:val="en-US" w:eastAsia="zh-CN"/>
              </w:rPr>
            </w:pPr>
            <w:r>
              <w:rPr>
                <w:rFonts w:hint="eastAsia" w:ascii="宋体" w:hAnsi="宋体" w:cs="宋体"/>
                <w:color w:val="auto"/>
                <w:sz w:val="24"/>
                <w:szCs w:val="24"/>
                <w:lang w:val="en-US" w:eastAsia="zh-CN"/>
              </w:rPr>
              <w:t>移动支架</w:t>
            </w:r>
          </w:p>
        </w:tc>
        <w:tc>
          <w:tcPr>
            <w:tcW w:w="6599" w:type="dxa"/>
            <w:vAlign w:val="center"/>
          </w:tcPr>
          <w:p w14:paraId="71F0E2E9">
            <w:pPr>
              <w:spacing w:line="360" w:lineRule="auto"/>
              <w:jc w:val="both"/>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 xml:space="preserve">移动支架（与所供液晶一体机配套使用） </w:t>
            </w:r>
          </w:p>
          <w:p w14:paraId="0A65CF33">
            <w:pPr>
              <w:numPr>
                <w:ilvl w:val="0"/>
                <w:numId w:val="0"/>
              </w:numPr>
              <w:spacing w:line="360" w:lineRule="auto"/>
              <w:jc w:val="both"/>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 xml:space="preserve">1、移动支架通过防倾斜实验，正负15度倾斜角度下不能翻倒。 </w:t>
            </w:r>
          </w:p>
          <w:p w14:paraId="58CB44E2">
            <w:pPr>
              <w:numPr>
                <w:ilvl w:val="0"/>
                <w:numId w:val="0"/>
              </w:numPr>
              <w:spacing w:line="360" w:lineRule="auto"/>
              <w:jc w:val="both"/>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 xml:space="preserve">2、承挂≥100kg，壁挂高度可调，整体高度≥1610mm。 </w:t>
            </w:r>
          </w:p>
          <w:p w14:paraId="525AAFE3">
            <w:pPr>
              <w:numPr>
                <w:ilvl w:val="0"/>
                <w:numId w:val="0"/>
              </w:numPr>
              <w:spacing w:line="360" w:lineRule="auto"/>
              <w:jc w:val="both"/>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 xml:space="preserve">3、隔板承重≥30kg,模具成型U型置物槽，方便触摸笔、遥控器等物品放置。 </w:t>
            </w:r>
          </w:p>
          <w:p w14:paraId="646E4AA6">
            <w:pPr>
              <w:numPr>
                <w:ilvl w:val="0"/>
                <w:numId w:val="0"/>
              </w:numPr>
              <w:spacing w:line="360" w:lineRule="auto"/>
              <w:ind w:leftChars="0"/>
              <w:jc w:val="both"/>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 xml:space="preserve">4、支撑立杆采用壁厚≥2mm方通冷轧钢材质，表面酸洗工艺静电黑色喷涂。 </w:t>
            </w:r>
          </w:p>
          <w:p w14:paraId="69D8FB9A">
            <w:pPr>
              <w:numPr>
                <w:ilvl w:val="0"/>
                <w:numId w:val="0"/>
              </w:numPr>
              <w:spacing w:line="360" w:lineRule="auto"/>
              <w:ind w:leftChars="0"/>
              <w:jc w:val="both"/>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 xml:space="preserve">5、提供上下双层搁板，均需采用厚度≥1.2mm冷轧钢材质，承重≥30kg，表面酸洗工艺静电黑色喷涂，承重底板四角须采用圆滑处理，防止碰伤。 </w:t>
            </w:r>
          </w:p>
          <w:p w14:paraId="4F27B8AC">
            <w:pPr>
              <w:numPr>
                <w:ilvl w:val="0"/>
                <w:numId w:val="0"/>
              </w:numPr>
              <w:spacing w:line="360" w:lineRule="auto"/>
              <w:ind w:leftChars="0"/>
              <w:jc w:val="both"/>
              <w:rPr>
                <w:rFonts w:hint="eastAsia" w:ascii="宋体" w:hAnsi="宋体" w:cs="宋体"/>
                <w:color w:val="auto"/>
                <w:sz w:val="24"/>
                <w:szCs w:val="24"/>
                <w:lang w:val="en-US" w:eastAsia="zh-CN"/>
              </w:rPr>
            </w:pPr>
            <w:r>
              <w:rPr>
                <w:rFonts w:hint="eastAsia" w:ascii="宋体" w:hAnsi="宋体" w:cs="宋体"/>
                <w:color w:val="auto"/>
                <w:sz w:val="24"/>
                <w:szCs w:val="24"/>
                <w:lang w:val="en-US" w:eastAsia="zh-CN"/>
              </w:rPr>
              <w:t>6、脚轮为万向轮，均带脚刹，直径≥∮75mm；轮横向间距≥1100mm，纵向间距≥600mm。</w:t>
            </w:r>
          </w:p>
        </w:tc>
      </w:tr>
    </w:tbl>
    <w:p w14:paraId="15A19EAE">
      <w:pPr>
        <w:numPr>
          <w:ilvl w:val="0"/>
          <w:numId w:val="0"/>
        </w:numPr>
        <w:tabs>
          <w:tab w:val="left" w:pos="570"/>
        </w:tabs>
        <w:adjustRightInd w:val="0"/>
        <w:spacing w:line="360" w:lineRule="auto"/>
        <w:rPr>
          <w:rFonts w:ascii="宋体" w:hAnsi="宋体" w:eastAsia="宋体" w:cs="宋体"/>
          <w:b/>
          <w:bCs/>
          <w:sz w:val="24"/>
          <w:szCs w:val="24"/>
        </w:rPr>
      </w:pPr>
      <w:r>
        <w:rPr>
          <w:rFonts w:hint="eastAsia" w:ascii="宋体" w:hAnsi="宋体" w:eastAsia="宋体" w:cs="宋体"/>
          <w:b/>
          <w:bCs/>
          <w:sz w:val="24"/>
          <w:szCs w:val="24"/>
          <w:lang w:val="en-US" w:eastAsia="zh-CN"/>
        </w:rPr>
        <w:t>注：</w:t>
      </w:r>
      <w:r>
        <w:rPr>
          <w:rFonts w:ascii="宋体" w:hAnsi="宋体" w:eastAsia="宋体" w:cs="宋体"/>
          <w:b/>
          <w:bCs/>
          <w:sz w:val="24"/>
          <w:szCs w:val="24"/>
        </w:rPr>
        <w:t>上述采购技术规格需求是最低限度的要求，投标人提供的货物及服务应达到或优于本招标文件要求，且符合国家现行有关标准和规范要求，否则将以无效标处理。</w:t>
      </w:r>
    </w:p>
    <w:p w14:paraId="683DAD96">
      <w:pPr>
        <w:tabs>
          <w:tab w:val="left" w:pos="570"/>
        </w:tabs>
        <w:adjustRightInd w:val="0"/>
        <w:spacing w:line="360" w:lineRule="auto"/>
        <w:rPr>
          <w:rFonts w:ascii="宋体" w:hAnsi="宋体" w:cs="宋体"/>
          <w:b/>
          <w:color w:val="auto"/>
          <w:sz w:val="24"/>
          <w:szCs w:val="24"/>
        </w:rPr>
      </w:pPr>
      <w:r>
        <w:rPr>
          <w:rFonts w:hint="eastAsia" w:ascii="宋体" w:hAnsi="宋体" w:cs="宋体"/>
          <w:b/>
          <w:color w:val="auto"/>
          <w:sz w:val="24"/>
          <w:szCs w:val="24"/>
        </w:rPr>
        <w:br w:type="page"/>
      </w:r>
      <w:r>
        <w:rPr>
          <w:rFonts w:hint="eastAsia" w:ascii="宋体" w:hAnsi="宋体" w:cs="宋体"/>
          <w:b/>
          <w:color w:val="auto"/>
          <w:sz w:val="24"/>
          <w:szCs w:val="24"/>
        </w:rPr>
        <w:t>（二）商务条款</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0"/>
        <w:gridCol w:w="1296"/>
        <w:gridCol w:w="6890"/>
      </w:tblGrid>
      <w:tr w14:paraId="2A19D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193" w:type="pct"/>
            <w:noWrap/>
            <w:vAlign w:val="center"/>
          </w:tcPr>
          <w:p w14:paraId="566820A6">
            <w:pPr>
              <w:spacing w:line="360" w:lineRule="auto"/>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序号</w:t>
            </w:r>
          </w:p>
        </w:tc>
        <w:tc>
          <w:tcPr>
            <w:tcW w:w="760" w:type="pct"/>
            <w:noWrap/>
            <w:vAlign w:val="center"/>
          </w:tcPr>
          <w:p w14:paraId="5ADBF13F">
            <w:pPr>
              <w:spacing w:line="360" w:lineRule="auto"/>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条款名称</w:t>
            </w:r>
          </w:p>
        </w:tc>
        <w:tc>
          <w:tcPr>
            <w:tcW w:w="4045" w:type="pct"/>
            <w:noWrap/>
          </w:tcPr>
          <w:p w14:paraId="7E13A84B">
            <w:pPr>
              <w:spacing w:line="360" w:lineRule="auto"/>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条款内容</w:t>
            </w:r>
          </w:p>
        </w:tc>
      </w:tr>
      <w:tr w14:paraId="44A75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193" w:type="pct"/>
            <w:noWrap/>
            <w:vAlign w:val="center"/>
          </w:tcPr>
          <w:p w14:paraId="64DC1053">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760" w:type="pct"/>
            <w:noWrap/>
            <w:vAlign w:val="center"/>
          </w:tcPr>
          <w:p w14:paraId="4E474BE3">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付款方式</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lang w:val="en-US" w:eastAsia="zh-CN"/>
              </w:rPr>
              <w:t>进度和方式</w:t>
            </w:r>
            <w:r>
              <w:rPr>
                <w:rFonts w:hint="eastAsia" w:ascii="宋体" w:hAnsi="宋体" w:eastAsia="宋体" w:cs="宋体"/>
                <w:bCs/>
                <w:color w:val="auto"/>
                <w:sz w:val="24"/>
                <w:szCs w:val="24"/>
                <w:highlight w:val="none"/>
                <w:lang w:eastAsia="zh-CN"/>
              </w:rPr>
              <w:t>）</w:t>
            </w:r>
          </w:p>
        </w:tc>
        <w:tc>
          <w:tcPr>
            <w:tcW w:w="4045" w:type="pct"/>
            <w:noWrap/>
          </w:tcPr>
          <w:p w14:paraId="2C23F2DA">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履约保证金</w:t>
            </w:r>
          </w:p>
          <w:p w14:paraId="071B7AD4">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1）本项目的履约保证金为成交总金额的3%；  </w:t>
            </w:r>
          </w:p>
          <w:p w14:paraId="00FE00D0">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2）履约保证金的缴纳时间和缴纳方式：合同签订后成交供应商采用转账、支票、汇票、本票或者金融机构、担保机构出具的保函等非现金形式向采购人交纳履约保证金。所有货物、服务验收合格后如无质量问题采购人在五个工作日内按原缴纳方式退还（履约保证金不计付利息）。  </w:t>
            </w:r>
          </w:p>
          <w:p w14:paraId="4A3900D8">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3）成交供应商如未能履行合同约定的相关义务，采购人在书面通知成交供应商后，有权不予退还其履约保证金；如提交保函的，则有权向保证方依法取得赔偿。</w:t>
            </w:r>
          </w:p>
          <w:p w14:paraId="35DCDE38">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付款方式</w:t>
            </w:r>
          </w:p>
          <w:p w14:paraId="0EB3697F">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项目验收合格之后，采购人以国库集中支付方式，将100%的合同款项支付到合同约定的成交供应商账户。</w:t>
            </w:r>
          </w:p>
        </w:tc>
      </w:tr>
      <w:tr w14:paraId="481C8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193" w:type="pct"/>
            <w:noWrap/>
            <w:vAlign w:val="center"/>
          </w:tcPr>
          <w:p w14:paraId="57942E8C">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760" w:type="pct"/>
            <w:noWrap/>
            <w:vAlign w:val="center"/>
          </w:tcPr>
          <w:p w14:paraId="08E5E46A">
            <w:pPr>
              <w:pageBreakBefore w:val="0"/>
              <w:kinsoku/>
              <w:wordWrap/>
              <w:overflowPunct/>
              <w:topLinePunct w:val="0"/>
              <w:autoSpaceDE/>
              <w:autoSpaceDN/>
              <w:bidi w:val="0"/>
              <w:adjustRightInd/>
              <w:snapToGrid/>
              <w:spacing w:line="500" w:lineRule="exact"/>
              <w:jc w:val="left"/>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合同履行期（交货期</w:t>
            </w:r>
            <w:r>
              <w:rPr>
                <w:rFonts w:hint="eastAsia" w:ascii="宋体" w:hAnsi="宋体" w:eastAsia="宋体" w:cs="宋体"/>
                <w:bCs/>
                <w:color w:val="auto"/>
                <w:sz w:val="24"/>
                <w:szCs w:val="24"/>
                <w:highlight w:val="none"/>
                <w:lang w:val="en-US" w:eastAsia="zh-CN"/>
              </w:rPr>
              <w:t>/交付时间</w:t>
            </w:r>
            <w:r>
              <w:rPr>
                <w:rFonts w:hint="eastAsia" w:ascii="宋体" w:hAnsi="宋体" w:eastAsia="宋体" w:cs="宋体"/>
                <w:bCs/>
                <w:color w:val="auto"/>
                <w:sz w:val="24"/>
                <w:szCs w:val="24"/>
                <w:highlight w:val="none"/>
              </w:rPr>
              <w:t>）</w:t>
            </w:r>
          </w:p>
        </w:tc>
        <w:tc>
          <w:tcPr>
            <w:tcW w:w="4045" w:type="pct"/>
            <w:noWrap/>
            <w:vAlign w:val="center"/>
          </w:tcPr>
          <w:p w14:paraId="1E5A5E8B">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自合同签订之日起 30 个日历日完成项目的总体供货、安装、调试等相关工作。</w:t>
            </w:r>
          </w:p>
          <w:p w14:paraId="6A727748">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注：如为中小企业成交双方应在15日内完成合同签订。</w:t>
            </w:r>
          </w:p>
        </w:tc>
      </w:tr>
      <w:tr w14:paraId="40D25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3" w:type="pct"/>
            <w:noWrap/>
            <w:vAlign w:val="center"/>
          </w:tcPr>
          <w:p w14:paraId="5769AACC">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760" w:type="pct"/>
            <w:noWrap/>
            <w:vAlign w:val="center"/>
          </w:tcPr>
          <w:p w14:paraId="6C473834">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交货地点</w:t>
            </w:r>
          </w:p>
        </w:tc>
        <w:tc>
          <w:tcPr>
            <w:tcW w:w="4045" w:type="pct"/>
            <w:noWrap/>
            <w:vAlign w:val="center"/>
          </w:tcPr>
          <w:p w14:paraId="61935E47">
            <w:pPr>
              <w:spacing w:line="360" w:lineRule="auto"/>
              <w:jc w:val="left"/>
              <w:rPr>
                <w:rFonts w:hint="eastAsia" w:ascii="宋体" w:hAnsi="宋体" w:eastAsia="宋体" w:cs="宋体"/>
                <w:color w:val="auto"/>
                <w:sz w:val="24"/>
                <w:szCs w:val="24"/>
              </w:rPr>
            </w:pPr>
            <w:r>
              <w:rPr>
                <w:rFonts w:hint="eastAsia" w:ascii="宋体" w:hAnsi="宋体" w:eastAsia="宋体" w:cs="宋体"/>
                <w:color w:val="auto"/>
                <w:sz w:val="24"/>
                <w:szCs w:val="24"/>
              </w:rPr>
              <w:t>南昌市洪都中学新校区</w:t>
            </w:r>
          </w:p>
        </w:tc>
      </w:tr>
      <w:tr w14:paraId="30F60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193" w:type="pct"/>
            <w:noWrap/>
            <w:vAlign w:val="center"/>
          </w:tcPr>
          <w:p w14:paraId="438E5D21">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760" w:type="pct"/>
            <w:noWrap/>
            <w:vAlign w:val="center"/>
          </w:tcPr>
          <w:p w14:paraId="2056B53A">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质保和售后服务要求</w:t>
            </w:r>
          </w:p>
        </w:tc>
        <w:tc>
          <w:tcPr>
            <w:tcW w:w="4045" w:type="pct"/>
            <w:noWrap/>
            <w:vAlign w:val="top"/>
          </w:tcPr>
          <w:p w14:paraId="0520B63E">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1）质保期：以成交供应商提供的货物通过最终验收合格并办理移交手续之日起计算≥60个月的原厂免费质量保证期(耗材除外)。</w:t>
            </w:r>
          </w:p>
          <w:p w14:paraId="69DCD03F">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2）凡因正常使用出现的质量问题，成交供应商应提供免费维修或更换。在制造商（供货商维修服务点）维修时，成交供应商应支付货物或组件的包装和运费。对更换或修复的零部件从更换或修复之日起重新计算质量保证期。 </w:t>
            </w:r>
          </w:p>
          <w:p w14:paraId="487D79E3">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3）质保期内成交供应商应提供24小时应急服务，接采购人维修通知（含电话）后到场时间不超过8小时（如不能按时到场，采购单位有权请有资质的维保单位进行维修，所需费用由成交供应商承担）；保修期内，因产品质量问题而不能正常使用的，负责免费维修或更换并承担相应的经济责任。 </w:t>
            </w:r>
          </w:p>
          <w:p w14:paraId="6DF83FB8">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4）严格执行保修规定，质量保证期满后，货物需维修的，成交供应商应本着微利服务原则，按最低价格收取维修费。 </w:t>
            </w:r>
          </w:p>
          <w:p w14:paraId="769FA338">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5）质保期内须为采购人提供免费的教学软件、集中控制系统等所有软件的更新与升级服务，包含但不限于：功能迭代、系统优化、漏洞修复及兼容性适配等。 </w:t>
            </w:r>
          </w:p>
          <w:p w14:paraId="758E8396">
            <w:pPr>
              <w:pageBreakBefore w:val="0"/>
              <w:kinsoku/>
              <w:wordWrap/>
              <w:overflowPunct/>
              <w:topLinePunct w:val="0"/>
              <w:autoSpaceDE/>
              <w:autoSpaceDN/>
              <w:bidi w:val="0"/>
              <w:adjustRightInd/>
              <w:snapToGrid/>
              <w:spacing w:line="500" w:lineRule="exac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6）成交供应商的其它售后服务承诺属于本合同的一部分，如果有不同约定的，以服务水平和层级更高的为准。</w:t>
            </w:r>
          </w:p>
        </w:tc>
      </w:tr>
      <w:tr w14:paraId="67DEC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jc w:val="center"/>
        </w:trPr>
        <w:tc>
          <w:tcPr>
            <w:tcW w:w="193" w:type="pct"/>
            <w:noWrap/>
            <w:vAlign w:val="center"/>
          </w:tcPr>
          <w:p w14:paraId="6E0E84F2">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760" w:type="pct"/>
            <w:noWrap/>
            <w:vAlign w:val="center"/>
          </w:tcPr>
          <w:p w14:paraId="4BC09558">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包装要求</w:t>
            </w:r>
          </w:p>
        </w:tc>
        <w:tc>
          <w:tcPr>
            <w:tcW w:w="4045" w:type="pct"/>
            <w:noWrap/>
          </w:tcPr>
          <w:p w14:paraId="04EE89DB">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依照《商品包装政府采购需求标准（试行）》、《快递包装政府采购需求标准（试行）》执行。</w:t>
            </w:r>
          </w:p>
        </w:tc>
      </w:tr>
      <w:tr w14:paraId="5AEDC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93" w:type="pct"/>
            <w:noWrap/>
            <w:vAlign w:val="center"/>
          </w:tcPr>
          <w:p w14:paraId="25D1301C">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6</w:t>
            </w:r>
          </w:p>
        </w:tc>
        <w:tc>
          <w:tcPr>
            <w:tcW w:w="760" w:type="pct"/>
            <w:noWrap/>
            <w:vAlign w:val="center"/>
          </w:tcPr>
          <w:p w14:paraId="18635B08">
            <w:pPr>
              <w:spacing w:line="360" w:lineRule="auto"/>
              <w:jc w:val="center"/>
              <w:rPr>
                <w:rFonts w:hint="eastAsia" w:ascii="宋体" w:hAnsi="宋体" w:eastAsia="宋体" w:cs="宋体"/>
                <w:color w:val="auto"/>
                <w:sz w:val="24"/>
                <w:szCs w:val="24"/>
              </w:rPr>
            </w:pPr>
            <w:r>
              <w:rPr>
                <w:rFonts w:hint="eastAsia" w:ascii="宋体" w:hAnsi="宋体" w:eastAsia="宋体" w:cs="宋体"/>
                <w:bCs/>
                <w:color w:val="auto"/>
                <w:sz w:val="24"/>
                <w:szCs w:val="24"/>
              </w:rPr>
              <w:t>安装、验收</w:t>
            </w:r>
          </w:p>
          <w:p w14:paraId="392D1DDB">
            <w:pPr>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（履约验收）</w:t>
            </w:r>
          </w:p>
        </w:tc>
        <w:tc>
          <w:tcPr>
            <w:tcW w:w="4045" w:type="pct"/>
            <w:noWrap/>
            <w:vAlign w:val="top"/>
          </w:tcPr>
          <w:p w14:paraId="16755065">
            <w:pPr>
              <w:numPr>
                <w:ilvl w:val="0"/>
                <w:numId w:val="16"/>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履约验收时间计划安排 </w:t>
            </w:r>
          </w:p>
          <w:p w14:paraId="33A3F7B4">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验收时间和条件：货物安装、调试完成，并正常运行5个工作日后由供应商向采购人提出书面验收申请。 </w:t>
            </w:r>
          </w:p>
          <w:p w14:paraId="193B8606">
            <w:pPr>
              <w:numPr>
                <w:ilvl w:val="0"/>
                <w:numId w:val="16"/>
              </w:numPr>
              <w:spacing w:line="360" w:lineRule="auto"/>
              <w:ind w:left="0" w:leftChars="0" w:firstLine="0" w:firstLineChars="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履约验收程序：①验收准备：成交供应商完成供货安装后向采购人提交验收申请及验收过程所需要的资料；②现场验收：验收小组依据合同及采购文件、投标文件内容，对项目成果进行外观检查、功能测试、指标核验等；③出具报告：验收小组汇总验收情况，形成验收报告，注明是否合格，存在问题需限期整改；④整改与复检（如有）：成交供应商按要求整改，整改完毕申请复检，验收小组完成复检并确认；⑤验收确认：双方签署验收文件，明确验收结果，进入后续合同 款项支付等环节。 </w:t>
            </w:r>
          </w:p>
          <w:p w14:paraId="4F9A732B">
            <w:pPr>
              <w:numPr>
                <w:ilvl w:val="0"/>
                <w:numId w:val="16"/>
              </w:numPr>
              <w:spacing w:line="360" w:lineRule="auto"/>
              <w:ind w:left="0" w:leftChars="0" w:firstLine="0" w:firstLineChars="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履约验收：①成交供应商需将各类成交货物先期集中在自有仓库里，然后一次性送至学校指定地点。货物送达后学校需指派专人在现场负责接货、安装等协调工作（如委托第三方物流送货，成交供应商须派专人负责在交货地点接货）。②如安装地点如存在旧有平推式教学黑板、液晶一体机或智慧黑板，须由成交供应商按使用学校要求负责拆除、运至校内指定地点，并将墙面平整批白，相关费用由成交供应商考虑到本项目报价中，采购人或使用学校不再另行支付。③所有液晶一体机或智慧黑板的安装，学校仅提供入室的电源及网络，必备辅材如：电源面板，网络面板、网络模块，管线、插座等均由成交供应商负责提供并安装到位，并根据学校要求合理设置走线，施工布线均需符合国家标准，避免被人踩踏和物体挤压，必要时根据室内现场环境延展部分线缆，相关费用由成交供应商考虑到本项目报价中，采购人不再另行支付。④成交供应商供货时，需同时提供液晶一体机或智慧黑板所使用的 Windows操作系统正版序列号。 ⑤交付验收标准：5.1符合中华人民共和国国家安全质量标准、环保标准或行业标准；5.2符合采购文件的合理最佳配置、参数及各项要求；5.3货物来源国家或行业官方标准。上述标准必须是有关官方机构发布的最新版本的标准；5.4如采购文件中的技术要求，高于国家或行业标准，以高的标准进行验收。 5.5采购标的中属于国家强制节能认证、强制3C认证的，须提供认证证书佐证，否则将不予验收通过，并追究虚假响应的责任。 </w:t>
            </w:r>
          </w:p>
          <w:p w14:paraId="0D8986D1">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成交供应商安装调试完毕后，采购人有权邀请第三方人员及检测机构根据采购文件技术要求对电脑产品进行验收或破坏性检测。涉及第三方检测机构检测的应由成交供应商作为委托方，采购人作为抽检和送检过程的监督方，检测对象由校纪检部门随机抽取。验收环节所产生的所有检测费用、验收小组评审费及其他相关费用均由成交供应商承担。若被检测货物不符合采购文件的技术要求，成交供应商应及时更换直至达标，成交供应商须在采购人指定时间内将被送检产品补齐数量并确保是合格产品，并承担由此发生的一切费用和损失；</w:t>
            </w:r>
            <w:r>
              <w:rPr>
                <w:rFonts w:hint="eastAsia" w:ascii="宋体" w:hAnsi="宋体" w:eastAsia="宋体" w:cs="宋体"/>
                <w:b/>
                <w:bCs/>
                <w:color w:val="auto"/>
                <w:sz w:val="24"/>
                <w:szCs w:val="24"/>
                <w:highlight w:val="none"/>
                <w:u w:val="single"/>
                <w:lang w:val="en-US" w:eastAsia="zh-CN"/>
              </w:rPr>
              <w:t>否则采购人视为验收不合格。</w:t>
            </w:r>
          </w:p>
          <w:p w14:paraId="0A21DCAE">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5）验收不合格产生的后果：</w:t>
            </w:r>
          </w:p>
          <w:p w14:paraId="72D640FF">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①采购人有权单方面终止合同。</w:t>
            </w:r>
          </w:p>
          <w:p w14:paraId="0641C1D6">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②采购人有权不予支付本次成交合同款项并没收成交供应商的履约保证金，如给采购人造成不利后果，将追究成交供应商的经济责任和法律责任。</w:t>
            </w:r>
          </w:p>
          <w:p w14:paraId="01CA5482">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highlight w:val="none"/>
                <w:lang w:val="en-US" w:eastAsia="zh-CN"/>
              </w:rPr>
              <w:t>6）在进行最终验收之前，成交供应商必须将所有相关技术资料（包含并不仅限于：所提供产品的使用说明书、合格证、服务手册等）交采购人留存备案。</w:t>
            </w:r>
          </w:p>
        </w:tc>
      </w:tr>
      <w:tr w14:paraId="0628F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193" w:type="pct"/>
            <w:noWrap/>
            <w:vAlign w:val="center"/>
          </w:tcPr>
          <w:p w14:paraId="6B6AC773">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7</w:t>
            </w:r>
          </w:p>
        </w:tc>
        <w:tc>
          <w:tcPr>
            <w:tcW w:w="760" w:type="pct"/>
            <w:noWrap/>
            <w:vAlign w:val="center"/>
          </w:tcPr>
          <w:p w14:paraId="65A2C865">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培训要求</w:t>
            </w:r>
          </w:p>
        </w:tc>
        <w:tc>
          <w:tcPr>
            <w:tcW w:w="4045" w:type="pct"/>
            <w:noWrap/>
            <w:vAlign w:val="top"/>
          </w:tcPr>
          <w:p w14:paraId="6C0FB73A">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1）成交供应商应派遣其精通业务的、健康的、合格的技术人员到合同货物的安装现场提供技术服务。 </w:t>
            </w:r>
          </w:p>
          <w:p w14:paraId="77DAB20E">
            <w:pPr>
              <w:numPr>
                <w:ilvl w:val="0"/>
                <w:numId w:val="0"/>
              </w:numPr>
              <w:spacing w:line="360" w:lineRule="auto"/>
              <w:ind w:left="0" w:leftChars="0" w:firstLine="0" w:firstLineChars="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2）成交供应商须对其所提供的设备及采用的相关技术进行免费现场演示培训，以满足采购人在日常存储、使用、操作等方面的需求。因培训而产生的一切费用均由成交供应商承担。</w:t>
            </w:r>
          </w:p>
        </w:tc>
      </w:tr>
      <w:tr w14:paraId="4F2B8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93" w:type="pct"/>
            <w:noWrap/>
            <w:vAlign w:val="center"/>
          </w:tcPr>
          <w:p w14:paraId="64FCF00F">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8</w:t>
            </w:r>
          </w:p>
        </w:tc>
        <w:tc>
          <w:tcPr>
            <w:tcW w:w="760" w:type="pct"/>
            <w:noWrap/>
            <w:vAlign w:val="center"/>
          </w:tcPr>
          <w:p w14:paraId="34BB28DC">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其他要求</w:t>
            </w:r>
          </w:p>
        </w:tc>
        <w:tc>
          <w:tcPr>
            <w:tcW w:w="4045" w:type="pct"/>
            <w:noWrap/>
            <w:vAlign w:val="top"/>
          </w:tcPr>
          <w:p w14:paraId="4DE65EB9">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知识产权：成交供应商须保障采购人在使用该产品及所属服务或其任何一部分时不受到第三方关于侵犯专利权、商标权或工业设计权等知识产权的指控。如果任何第三方提出侵权指控与采购人无关，供应商须与第三方交涉并承担可能发生的责任与一切费用。如采购人因此而遭致损失的，成交供应商应赔偿该损失。</w:t>
            </w:r>
          </w:p>
        </w:tc>
      </w:tr>
    </w:tbl>
    <w:p w14:paraId="67EDF889">
      <w:pPr>
        <w:spacing w:line="360" w:lineRule="auto"/>
        <w:rPr>
          <w:rFonts w:ascii="宋体" w:hAnsi="宋体" w:cs="宋体"/>
          <w:b/>
          <w:color w:val="auto"/>
          <w:sz w:val="24"/>
        </w:rPr>
      </w:pPr>
    </w:p>
    <w:p w14:paraId="184261F7">
      <w:pPr>
        <w:spacing w:line="360" w:lineRule="auto"/>
        <w:rPr>
          <w:rFonts w:ascii="宋体" w:hAnsi="宋体" w:cs="宋体"/>
          <w:color w:val="auto"/>
          <w:sz w:val="24"/>
          <w:szCs w:val="24"/>
        </w:rPr>
      </w:pPr>
      <w:r>
        <w:rPr>
          <w:rFonts w:hint="eastAsia" w:ascii="宋体" w:hAnsi="宋体" w:cs="宋体"/>
          <w:b/>
          <w:color w:val="auto"/>
          <w:sz w:val="24"/>
        </w:rPr>
        <w:t>注：以上商务条款为必须满足项，否则作无效响应处理。</w:t>
      </w:r>
    </w:p>
    <w:p w14:paraId="0FEDE8AB">
      <w:pPr>
        <w:rPr>
          <w:rFonts w:ascii="宋体" w:hAnsi="宋体" w:cs="宋体"/>
          <w:color w:val="auto"/>
        </w:rPr>
      </w:pPr>
    </w:p>
    <w:sectPr>
      <w:headerReference r:id="rId3" w:type="default"/>
      <w:footerReference r:id="rId4" w:type="default"/>
      <w:pgSz w:w="11906" w:h="16838"/>
      <w:pgMar w:top="1440" w:right="1803" w:bottom="1440" w:left="1803"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等线">
    <w:panose1 w:val="02010600030101010101"/>
    <w:charset w:val="86"/>
    <w:family w:val="auto"/>
    <w:pitch w:val="default"/>
    <w:sig w:usb0="A00002BF" w:usb1="38CF7CFA" w:usb2="00000016" w:usb3="00000000" w:csb0="0004000F" w:csb1="00000000"/>
  </w:font>
  <w:font w:name="Wingdings 2">
    <w:panose1 w:val="05020102010507070707"/>
    <w:charset w:val="00"/>
    <w:family w:val="auto"/>
    <w:pitch w:val="default"/>
    <w:sig w:usb0="00000000" w:usb1="00000000" w:usb2="00000000" w:usb3="00000000" w:csb0="80000000"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C2CA32">
    <w:pPr>
      <w:pStyle w:val="20"/>
      <w:framePr w:wrap="around" w:vAnchor="text" w:hAnchor="margin" w:xAlign="center" w:y="1"/>
      <w:rPr>
        <w:rStyle w:val="36"/>
      </w:rPr>
    </w:pPr>
    <w:r>
      <w:fldChar w:fldCharType="begin"/>
    </w:r>
    <w:r>
      <w:rPr>
        <w:rStyle w:val="36"/>
      </w:rPr>
      <w:instrText xml:space="preserve">PAGE  </w:instrText>
    </w:r>
    <w:r>
      <w:fldChar w:fldCharType="separate"/>
    </w:r>
    <w:r>
      <w:rPr>
        <w:rStyle w:val="36"/>
      </w:rPr>
      <w:t>69</w:t>
    </w:r>
    <w:r>
      <w:fldChar w:fldCharType="end"/>
    </w:r>
  </w:p>
  <w:p w14:paraId="1F0B5A69">
    <w:pPr>
      <w:pStyle w:val="20"/>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57626">
    <w:pPr>
      <w:pStyle w:val="2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443C8E"/>
    <w:multiLevelType w:val="singleLevel"/>
    <w:tmpl w:val="88443C8E"/>
    <w:lvl w:ilvl="0" w:tentative="0">
      <w:start w:val="1"/>
      <w:numFmt w:val="decimal"/>
      <w:suff w:val="nothing"/>
      <w:lvlText w:val="（%1）"/>
      <w:lvlJc w:val="left"/>
    </w:lvl>
  </w:abstractNum>
  <w:abstractNum w:abstractNumId="1">
    <w:nsid w:val="9565C941"/>
    <w:multiLevelType w:val="singleLevel"/>
    <w:tmpl w:val="9565C941"/>
    <w:lvl w:ilvl="0" w:tentative="0">
      <w:start w:val="1"/>
      <w:numFmt w:val="decimal"/>
      <w:suff w:val="nothing"/>
      <w:lvlText w:val="%1、"/>
      <w:lvlJc w:val="left"/>
    </w:lvl>
  </w:abstractNum>
  <w:abstractNum w:abstractNumId="2">
    <w:nsid w:val="B7CCEC8E"/>
    <w:multiLevelType w:val="singleLevel"/>
    <w:tmpl w:val="B7CCEC8E"/>
    <w:lvl w:ilvl="0" w:tentative="0">
      <w:start w:val="1"/>
      <w:numFmt w:val="decimal"/>
      <w:suff w:val="nothing"/>
      <w:lvlText w:val="%1、"/>
      <w:lvlJc w:val="left"/>
    </w:lvl>
  </w:abstractNum>
  <w:abstractNum w:abstractNumId="3">
    <w:nsid w:val="C667DA0C"/>
    <w:multiLevelType w:val="singleLevel"/>
    <w:tmpl w:val="C667DA0C"/>
    <w:lvl w:ilvl="0" w:tentative="0">
      <w:start w:val="1"/>
      <w:numFmt w:val="decimal"/>
      <w:suff w:val="nothing"/>
      <w:lvlText w:val="（%1）"/>
      <w:lvlJc w:val="left"/>
    </w:lvl>
  </w:abstractNum>
  <w:abstractNum w:abstractNumId="4">
    <w:nsid w:val="CD89BB93"/>
    <w:multiLevelType w:val="singleLevel"/>
    <w:tmpl w:val="CD89BB93"/>
    <w:lvl w:ilvl="0" w:tentative="0">
      <w:start w:val="1"/>
      <w:numFmt w:val="decimal"/>
      <w:suff w:val="nothing"/>
      <w:lvlText w:val="%1、"/>
      <w:lvlJc w:val="left"/>
    </w:lvl>
  </w:abstractNum>
  <w:abstractNum w:abstractNumId="5">
    <w:nsid w:val="E015AA97"/>
    <w:multiLevelType w:val="singleLevel"/>
    <w:tmpl w:val="E015AA97"/>
    <w:lvl w:ilvl="0" w:tentative="0">
      <w:start w:val="1"/>
      <w:numFmt w:val="decimal"/>
      <w:suff w:val="nothing"/>
      <w:lvlText w:val="%1、"/>
      <w:lvlJc w:val="left"/>
    </w:lvl>
  </w:abstractNum>
  <w:abstractNum w:abstractNumId="6">
    <w:nsid w:val="043F17D7"/>
    <w:multiLevelType w:val="singleLevel"/>
    <w:tmpl w:val="043F17D7"/>
    <w:lvl w:ilvl="0" w:tentative="0">
      <w:start w:val="1"/>
      <w:numFmt w:val="decimal"/>
      <w:suff w:val="nothing"/>
      <w:lvlText w:val="%1、"/>
      <w:lvlJc w:val="left"/>
    </w:lvl>
  </w:abstractNum>
  <w:abstractNum w:abstractNumId="7">
    <w:nsid w:val="0D849C01"/>
    <w:multiLevelType w:val="singleLevel"/>
    <w:tmpl w:val="0D849C01"/>
    <w:lvl w:ilvl="0" w:tentative="0">
      <w:start w:val="1"/>
      <w:numFmt w:val="chineseCounting"/>
      <w:suff w:val="nothing"/>
      <w:lvlText w:val="（%1）"/>
      <w:lvlJc w:val="left"/>
      <w:rPr>
        <w:rFonts w:hint="eastAsia"/>
      </w:rPr>
    </w:lvl>
  </w:abstractNum>
  <w:abstractNum w:abstractNumId="8">
    <w:nsid w:val="27EC11CD"/>
    <w:multiLevelType w:val="singleLevel"/>
    <w:tmpl w:val="27EC11CD"/>
    <w:lvl w:ilvl="0" w:tentative="0">
      <w:start w:val="1"/>
      <w:numFmt w:val="decimal"/>
      <w:suff w:val="nothing"/>
      <w:lvlText w:val="%1）"/>
      <w:lvlJc w:val="left"/>
    </w:lvl>
  </w:abstractNum>
  <w:abstractNum w:abstractNumId="9">
    <w:nsid w:val="2A8BC4E7"/>
    <w:multiLevelType w:val="singleLevel"/>
    <w:tmpl w:val="2A8BC4E7"/>
    <w:lvl w:ilvl="0" w:tentative="0">
      <w:start w:val="1"/>
      <w:numFmt w:val="decimal"/>
      <w:suff w:val="nothing"/>
      <w:lvlText w:val="%1、"/>
      <w:lvlJc w:val="left"/>
    </w:lvl>
  </w:abstractNum>
  <w:abstractNum w:abstractNumId="10">
    <w:nsid w:val="2FCEE243"/>
    <w:multiLevelType w:val="singleLevel"/>
    <w:tmpl w:val="2FCEE243"/>
    <w:lvl w:ilvl="0" w:tentative="0">
      <w:start w:val="1"/>
      <w:numFmt w:val="decimal"/>
      <w:suff w:val="nothing"/>
      <w:lvlText w:val="%1、"/>
      <w:lvlJc w:val="left"/>
    </w:lvl>
  </w:abstractNum>
  <w:abstractNum w:abstractNumId="11">
    <w:nsid w:val="379F75D4"/>
    <w:multiLevelType w:val="singleLevel"/>
    <w:tmpl w:val="379F75D4"/>
    <w:lvl w:ilvl="0" w:tentative="0">
      <w:start w:val="1"/>
      <w:numFmt w:val="decimal"/>
      <w:suff w:val="nothing"/>
      <w:lvlText w:val="%1、"/>
      <w:lvlJc w:val="left"/>
    </w:lvl>
  </w:abstractNum>
  <w:abstractNum w:abstractNumId="12">
    <w:nsid w:val="37F38FD4"/>
    <w:multiLevelType w:val="singleLevel"/>
    <w:tmpl w:val="37F38FD4"/>
    <w:lvl w:ilvl="0" w:tentative="0">
      <w:start w:val="1"/>
      <w:numFmt w:val="decimal"/>
      <w:suff w:val="nothing"/>
      <w:lvlText w:val="%1、"/>
      <w:lvlJc w:val="left"/>
    </w:lvl>
  </w:abstractNum>
  <w:abstractNum w:abstractNumId="13">
    <w:nsid w:val="4074F742"/>
    <w:multiLevelType w:val="singleLevel"/>
    <w:tmpl w:val="4074F742"/>
    <w:lvl w:ilvl="0" w:tentative="0">
      <w:start w:val="1"/>
      <w:numFmt w:val="decimal"/>
      <w:suff w:val="nothing"/>
      <w:lvlText w:val="%1、"/>
      <w:lvlJc w:val="left"/>
    </w:lvl>
  </w:abstractNum>
  <w:abstractNum w:abstractNumId="14">
    <w:nsid w:val="4E64D1CD"/>
    <w:multiLevelType w:val="singleLevel"/>
    <w:tmpl w:val="4E64D1CD"/>
    <w:lvl w:ilvl="0" w:tentative="0">
      <w:start w:val="1"/>
      <w:numFmt w:val="decimal"/>
      <w:suff w:val="nothing"/>
      <w:lvlText w:val="%1、"/>
      <w:lvlJc w:val="left"/>
    </w:lvl>
  </w:abstractNum>
  <w:abstractNum w:abstractNumId="15">
    <w:nsid w:val="6E3FEEA1"/>
    <w:multiLevelType w:val="singleLevel"/>
    <w:tmpl w:val="6E3FEEA1"/>
    <w:lvl w:ilvl="0" w:tentative="0">
      <w:start w:val="1"/>
      <w:numFmt w:val="decimal"/>
      <w:suff w:val="nothing"/>
      <w:lvlText w:val="（%1）"/>
      <w:lvlJc w:val="left"/>
    </w:lvl>
  </w:abstractNum>
  <w:num w:numId="1">
    <w:abstractNumId w:val="7"/>
  </w:num>
  <w:num w:numId="2">
    <w:abstractNumId w:val="6"/>
  </w:num>
  <w:num w:numId="3">
    <w:abstractNumId w:val="1"/>
  </w:num>
  <w:num w:numId="4">
    <w:abstractNumId w:val="11"/>
  </w:num>
  <w:num w:numId="5">
    <w:abstractNumId w:val="13"/>
  </w:num>
  <w:num w:numId="6">
    <w:abstractNumId w:val="9"/>
  </w:num>
  <w:num w:numId="7">
    <w:abstractNumId w:val="14"/>
  </w:num>
  <w:num w:numId="8">
    <w:abstractNumId w:val="0"/>
  </w:num>
  <w:num w:numId="9">
    <w:abstractNumId w:val="4"/>
  </w:num>
  <w:num w:numId="10">
    <w:abstractNumId w:val="3"/>
  </w:num>
  <w:num w:numId="11">
    <w:abstractNumId w:val="2"/>
  </w:num>
  <w:num w:numId="12">
    <w:abstractNumId w:val="12"/>
  </w:num>
  <w:num w:numId="13">
    <w:abstractNumId w:val="10"/>
  </w:num>
  <w:num w:numId="14">
    <w:abstractNumId w:val="5"/>
  </w:num>
  <w:num w:numId="15">
    <w:abstractNumId w:val="1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31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 w:name="KSO_WPS_MARK_KEY" w:val="7d356199-8d85-44f0-8686-349d90143cff"/>
  </w:docVars>
  <w:rsids>
    <w:rsidRoot w:val="0083638B"/>
    <w:rsid w:val="0000366E"/>
    <w:rsid w:val="00004476"/>
    <w:rsid w:val="00033299"/>
    <w:rsid w:val="00071371"/>
    <w:rsid w:val="00081F14"/>
    <w:rsid w:val="00095546"/>
    <w:rsid w:val="0009790A"/>
    <w:rsid w:val="000A6C11"/>
    <w:rsid w:val="000B3783"/>
    <w:rsid w:val="00114158"/>
    <w:rsid w:val="001152E6"/>
    <w:rsid w:val="00122669"/>
    <w:rsid w:val="001276F1"/>
    <w:rsid w:val="00137CB3"/>
    <w:rsid w:val="0017386F"/>
    <w:rsid w:val="00183102"/>
    <w:rsid w:val="001D11D7"/>
    <w:rsid w:val="00215AA4"/>
    <w:rsid w:val="002179FB"/>
    <w:rsid w:val="002311D9"/>
    <w:rsid w:val="002530D3"/>
    <w:rsid w:val="00253770"/>
    <w:rsid w:val="002847E2"/>
    <w:rsid w:val="002A7B97"/>
    <w:rsid w:val="002E7D76"/>
    <w:rsid w:val="002F7D0E"/>
    <w:rsid w:val="00324EAD"/>
    <w:rsid w:val="00381B8F"/>
    <w:rsid w:val="00390AAF"/>
    <w:rsid w:val="00396EB9"/>
    <w:rsid w:val="003B03B0"/>
    <w:rsid w:val="003C4CB6"/>
    <w:rsid w:val="003E641E"/>
    <w:rsid w:val="003F0D92"/>
    <w:rsid w:val="00445C0F"/>
    <w:rsid w:val="00460318"/>
    <w:rsid w:val="00491A28"/>
    <w:rsid w:val="00495B8D"/>
    <w:rsid w:val="004B2673"/>
    <w:rsid w:val="004C2153"/>
    <w:rsid w:val="004C2359"/>
    <w:rsid w:val="00500E22"/>
    <w:rsid w:val="00507713"/>
    <w:rsid w:val="00537599"/>
    <w:rsid w:val="00540663"/>
    <w:rsid w:val="005539F5"/>
    <w:rsid w:val="00587EC5"/>
    <w:rsid w:val="005A500C"/>
    <w:rsid w:val="005A7FE6"/>
    <w:rsid w:val="005F0DD9"/>
    <w:rsid w:val="00607C85"/>
    <w:rsid w:val="006175B4"/>
    <w:rsid w:val="00623D1C"/>
    <w:rsid w:val="00635E66"/>
    <w:rsid w:val="00647E3C"/>
    <w:rsid w:val="006B2217"/>
    <w:rsid w:val="006C63B7"/>
    <w:rsid w:val="006F24AE"/>
    <w:rsid w:val="00702482"/>
    <w:rsid w:val="007876C1"/>
    <w:rsid w:val="007918DD"/>
    <w:rsid w:val="00822826"/>
    <w:rsid w:val="008302E7"/>
    <w:rsid w:val="0083638B"/>
    <w:rsid w:val="008527A3"/>
    <w:rsid w:val="00867270"/>
    <w:rsid w:val="008B30E7"/>
    <w:rsid w:val="00900297"/>
    <w:rsid w:val="0090124A"/>
    <w:rsid w:val="00917501"/>
    <w:rsid w:val="009246E7"/>
    <w:rsid w:val="0097726B"/>
    <w:rsid w:val="0097773E"/>
    <w:rsid w:val="009A4D5B"/>
    <w:rsid w:val="009E1605"/>
    <w:rsid w:val="009E6129"/>
    <w:rsid w:val="009E631D"/>
    <w:rsid w:val="00A1629A"/>
    <w:rsid w:val="00A41159"/>
    <w:rsid w:val="00A4533E"/>
    <w:rsid w:val="00A47C17"/>
    <w:rsid w:val="00A8271A"/>
    <w:rsid w:val="00A92C77"/>
    <w:rsid w:val="00B066FD"/>
    <w:rsid w:val="00B548A4"/>
    <w:rsid w:val="00B909E9"/>
    <w:rsid w:val="00B92614"/>
    <w:rsid w:val="00B970FA"/>
    <w:rsid w:val="00BA7495"/>
    <w:rsid w:val="00BC2965"/>
    <w:rsid w:val="00C73547"/>
    <w:rsid w:val="00C92429"/>
    <w:rsid w:val="00CF4C4F"/>
    <w:rsid w:val="00D05AE0"/>
    <w:rsid w:val="00D07E47"/>
    <w:rsid w:val="00D44A05"/>
    <w:rsid w:val="00D75D91"/>
    <w:rsid w:val="00DA6BC0"/>
    <w:rsid w:val="00DE0B06"/>
    <w:rsid w:val="00DF02BF"/>
    <w:rsid w:val="00E05747"/>
    <w:rsid w:val="00E43737"/>
    <w:rsid w:val="00E56BC3"/>
    <w:rsid w:val="00E62F8B"/>
    <w:rsid w:val="00E84435"/>
    <w:rsid w:val="00EB4515"/>
    <w:rsid w:val="00ED537B"/>
    <w:rsid w:val="00F2356C"/>
    <w:rsid w:val="00F3686C"/>
    <w:rsid w:val="00F47FF3"/>
    <w:rsid w:val="00F75B1C"/>
    <w:rsid w:val="00FA54EB"/>
    <w:rsid w:val="00FB488C"/>
    <w:rsid w:val="014053A7"/>
    <w:rsid w:val="017C7407"/>
    <w:rsid w:val="03A8166D"/>
    <w:rsid w:val="05F477B7"/>
    <w:rsid w:val="076E5C88"/>
    <w:rsid w:val="08584C40"/>
    <w:rsid w:val="092959CA"/>
    <w:rsid w:val="093941C8"/>
    <w:rsid w:val="0A263007"/>
    <w:rsid w:val="0A7202E5"/>
    <w:rsid w:val="0AA30B53"/>
    <w:rsid w:val="0B6B4BF1"/>
    <w:rsid w:val="0C28727E"/>
    <w:rsid w:val="0C4B2327"/>
    <w:rsid w:val="0DA1695C"/>
    <w:rsid w:val="0ECF5777"/>
    <w:rsid w:val="0F143162"/>
    <w:rsid w:val="0FCE00C9"/>
    <w:rsid w:val="10CF4287"/>
    <w:rsid w:val="11C27778"/>
    <w:rsid w:val="12DD6781"/>
    <w:rsid w:val="143F53A7"/>
    <w:rsid w:val="14AC2F30"/>
    <w:rsid w:val="14F447D0"/>
    <w:rsid w:val="197B71DF"/>
    <w:rsid w:val="19AF79B5"/>
    <w:rsid w:val="1A264FA1"/>
    <w:rsid w:val="1A56448C"/>
    <w:rsid w:val="1A7B2DAA"/>
    <w:rsid w:val="1B184B6D"/>
    <w:rsid w:val="1B5E378B"/>
    <w:rsid w:val="1B6407CA"/>
    <w:rsid w:val="1BD12FA0"/>
    <w:rsid w:val="1D131545"/>
    <w:rsid w:val="1DE55DF3"/>
    <w:rsid w:val="1DED7C35"/>
    <w:rsid w:val="1E7D5094"/>
    <w:rsid w:val="1F3429D4"/>
    <w:rsid w:val="1F5813E5"/>
    <w:rsid w:val="203D583D"/>
    <w:rsid w:val="217F3AF3"/>
    <w:rsid w:val="237302E7"/>
    <w:rsid w:val="239C6B89"/>
    <w:rsid w:val="23BB22C0"/>
    <w:rsid w:val="24F20F0E"/>
    <w:rsid w:val="255F442E"/>
    <w:rsid w:val="26470003"/>
    <w:rsid w:val="265C7769"/>
    <w:rsid w:val="27B67176"/>
    <w:rsid w:val="27E306FD"/>
    <w:rsid w:val="2810243D"/>
    <w:rsid w:val="28901CC2"/>
    <w:rsid w:val="29537773"/>
    <w:rsid w:val="29ED0D25"/>
    <w:rsid w:val="2B25332E"/>
    <w:rsid w:val="2D226FE5"/>
    <w:rsid w:val="2D2B3A9A"/>
    <w:rsid w:val="2D7A157B"/>
    <w:rsid w:val="2F607500"/>
    <w:rsid w:val="3001356B"/>
    <w:rsid w:val="30D150D6"/>
    <w:rsid w:val="319A5060"/>
    <w:rsid w:val="322A7671"/>
    <w:rsid w:val="325C0513"/>
    <w:rsid w:val="33C5114F"/>
    <w:rsid w:val="33CA0AA9"/>
    <w:rsid w:val="33E101BA"/>
    <w:rsid w:val="341A17E1"/>
    <w:rsid w:val="344949D6"/>
    <w:rsid w:val="352D7B6E"/>
    <w:rsid w:val="361729FF"/>
    <w:rsid w:val="368C1215"/>
    <w:rsid w:val="36C639E6"/>
    <w:rsid w:val="36DB4EEE"/>
    <w:rsid w:val="37C20DE5"/>
    <w:rsid w:val="380A4AEB"/>
    <w:rsid w:val="38BB12F1"/>
    <w:rsid w:val="38D13372"/>
    <w:rsid w:val="38DF5A35"/>
    <w:rsid w:val="392500BF"/>
    <w:rsid w:val="3A253E46"/>
    <w:rsid w:val="3AF43FA6"/>
    <w:rsid w:val="3B380347"/>
    <w:rsid w:val="3B675F2F"/>
    <w:rsid w:val="3CF04EEC"/>
    <w:rsid w:val="3D2B24EF"/>
    <w:rsid w:val="3D3D33F9"/>
    <w:rsid w:val="3D823B31"/>
    <w:rsid w:val="3EBE3563"/>
    <w:rsid w:val="3FF436D8"/>
    <w:rsid w:val="40BF2127"/>
    <w:rsid w:val="41E163A6"/>
    <w:rsid w:val="43F27713"/>
    <w:rsid w:val="45147CFC"/>
    <w:rsid w:val="4737795B"/>
    <w:rsid w:val="47FD73D0"/>
    <w:rsid w:val="4B590ADB"/>
    <w:rsid w:val="4B93068F"/>
    <w:rsid w:val="4B9B5C8F"/>
    <w:rsid w:val="4C7656F1"/>
    <w:rsid w:val="4C82654F"/>
    <w:rsid w:val="4CBB5ADB"/>
    <w:rsid w:val="4ED90E2C"/>
    <w:rsid w:val="5280671D"/>
    <w:rsid w:val="52842DED"/>
    <w:rsid w:val="52DE6470"/>
    <w:rsid w:val="53952AF7"/>
    <w:rsid w:val="53A830A7"/>
    <w:rsid w:val="53EF57A7"/>
    <w:rsid w:val="541C775F"/>
    <w:rsid w:val="54FB7779"/>
    <w:rsid w:val="551B0817"/>
    <w:rsid w:val="553501CF"/>
    <w:rsid w:val="55C2182F"/>
    <w:rsid w:val="55E70BDF"/>
    <w:rsid w:val="56F37215"/>
    <w:rsid w:val="5BE7756F"/>
    <w:rsid w:val="5DD72936"/>
    <w:rsid w:val="5EDF69B5"/>
    <w:rsid w:val="614B43FA"/>
    <w:rsid w:val="618922F1"/>
    <w:rsid w:val="61E85183"/>
    <w:rsid w:val="62375232"/>
    <w:rsid w:val="63716AC8"/>
    <w:rsid w:val="640C3F8C"/>
    <w:rsid w:val="64BC3CBA"/>
    <w:rsid w:val="66195D1F"/>
    <w:rsid w:val="667503E6"/>
    <w:rsid w:val="68015D7D"/>
    <w:rsid w:val="68055386"/>
    <w:rsid w:val="680B69A2"/>
    <w:rsid w:val="68605302"/>
    <w:rsid w:val="68A0235F"/>
    <w:rsid w:val="68AE2CB6"/>
    <w:rsid w:val="69F100FF"/>
    <w:rsid w:val="6A6519E2"/>
    <w:rsid w:val="6C217E45"/>
    <w:rsid w:val="6C32481F"/>
    <w:rsid w:val="6D3030D7"/>
    <w:rsid w:val="6DB40FA1"/>
    <w:rsid w:val="6DFC7728"/>
    <w:rsid w:val="6E19572C"/>
    <w:rsid w:val="6E8C4C65"/>
    <w:rsid w:val="6F4738CF"/>
    <w:rsid w:val="70741C1E"/>
    <w:rsid w:val="71190C56"/>
    <w:rsid w:val="72D30F86"/>
    <w:rsid w:val="75545B9E"/>
    <w:rsid w:val="755D0382"/>
    <w:rsid w:val="76396D82"/>
    <w:rsid w:val="76503448"/>
    <w:rsid w:val="76522B87"/>
    <w:rsid w:val="76E34662"/>
    <w:rsid w:val="77B06015"/>
    <w:rsid w:val="792210FD"/>
    <w:rsid w:val="79B45C75"/>
    <w:rsid w:val="79E72217"/>
    <w:rsid w:val="7A6444CB"/>
    <w:rsid w:val="7B4B460A"/>
    <w:rsid w:val="7B660368"/>
    <w:rsid w:val="7C2527A3"/>
    <w:rsid w:val="7C8A4071"/>
    <w:rsid w:val="7CF04845"/>
    <w:rsid w:val="7D996564"/>
    <w:rsid w:val="7DD37677"/>
    <w:rsid w:val="7F6E62E4"/>
    <w:rsid w:val="7F6F2AA8"/>
    <w:rsid w:val="7FB9221D"/>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0" w:semiHidden="0" w:name="Emphasis"/>
    <w:lsdException w:qFormat="1" w:uiPriority="0" w:semiHidden="0" w:name="Document Map"/>
    <w:lsdException w:qFormat="1" w:unhideWhenUsed="0" w:uiPriority="0" w:semiHidden="0" w:name="Plain Text"/>
    <w:lsdException w:uiPriority="99" w:name="E-mail Signature"/>
    <w:lsdException w:qFormat="1" w:uiPriority="99" w:semiHidden="0" w:name="Normal (Web)"/>
    <w:lsdException w:qFormat="1" w:unhideWhenUsed="0" w:uiPriority="0" w:semiHidden="0" w:name="HTML Acronym"/>
    <w:lsdException w:uiPriority="99"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iPriority="99"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49"/>
    <w:qFormat/>
    <w:uiPriority w:val="9"/>
    <w:pPr>
      <w:keepNext/>
      <w:outlineLvl w:val="0"/>
    </w:pPr>
    <w:rPr>
      <w:rFonts w:ascii="宋体"/>
      <w:kern w:val="0"/>
      <w:sz w:val="28"/>
    </w:rPr>
  </w:style>
  <w:style w:type="paragraph" w:styleId="5">
    <w:name w:val="heading 2"/>
    <w:basedOn w:val="1"/>
    <w:next w:val="1"/>
    <w:link w:val="50"/>
    <w:qFormat/>
    <w:uiPriority w:val="0"/>
    <w:pPr>
      <w:keepNext/>
      <w:keepLines/>
      <w:spacing w:before="260" w:after="260" w:line="416" w:lineRule="auto"/>
      <w:outlineLvl w:val="1"/>
    </w:pPr>
    <w:rPr>
      <w:rFonts w:ascii="Arial" w:hAnsi="Arial" w:eastAsia="黑体"/>
      <w:b/>
      <w:bCs/>
      <w:kern w:val="0"/>
      <w:sz w:val="32"/>
      <w:szCs w:val="32"/>
    </w:rPr>
  </w:style>
  <w:style w:type="paragraph" w:styleId="6">
    <w:name w:val="heading 3"/>
    <w:basedOn w:val="1"/>
    <w:next w:val="1"/>
    <w:link w:val="51"/>
    <w:qFormat/>
    <w:uiPriority w:val="0"/>
    <w:pPr>
      <w:keepNext/>
      <w:keepLines/>
      <w:spacing w:before="260" w:after="260" w:line="416" w:lineRule="auto"/>
      <w:outlineLvl w:val="2"/>
    </w:pPr>
    <w:rPr>
      <w:b/>
      <w:bCs/>
      <w:kern w:val="0"/>
      <w:sz w:val="32"/>
      <w:szCs w:val="32"/>
    </w:rPr>
  </w:style>
  <w:style w:type="paragraph" w:styleId="7">
    <w:name w:val="heading 4"/>
    <w:basedOn w:val="1"/>
    <w:next w:val="1"/>
    <w:link w:val="52"/>
    <w:qFormat/>
    <w:uiPriority w:val="0"/>
    <w:pPr>
      <w:keepNext/>
      <w:keepLines/>
      <w:spacing w:before="280" w:after="290" w:line="376" w:lineRule="auto"/>
      <w:outlineLvl w:val="3"/>
    </w:pPr>
    <w:rPr>
      <w:rFonts w:ascii="Arial" w:hAnsi="Arial" w:eastAsia="黑体"/>
      <w:b/>
      <w:bCs/>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55"/>
    <w:unhideWhenUsed/>
    <w:qFormat/>
    <w:uiPriority w:val="0"/>
    <w:pPr>
      <w:spacing w:after="120"/>
    </w:pPr>
    <w:rPr>
      <w:kern w:val="0"/>
      <w:sz w:val="20"/>
    </w:rPr>
  </w:style>
  <w:style w:type="paragraph" w:styleId="3">
    <w:name w:val="Body Text First Indent"/>
    <w:basedOn w:val="2"/>
    <w:link w:val="66"/>
    <w:unhideWhenUsed/>
    <w:qFormat/>
    <w:uiPriority w:val="99"/>
    <w:pPr>
      <w:tabs>
        <w:tab w:val="left" w:pos="567"/>
      </w:tabs>
      <w:ind w:firstLine="420" w:firstLineChars="100"/>
    </w:pPr>
  </w:style>
  <w:style w:type="paragraph" w:styleId="8">
    <w:name w:val="toc 7"/>
    <w:basedOn w:val="1"/>
    <w:next w:val="1"/>
    <w:semiHidden/>
    <w:qFormat/>
    <w:uiPriority w:val="0"/>
    <w:pPr>
      <w:ind w:left="1260"/>
      <w:jc w:val="left"/>
    </w:pPr>
    <w:rPr>
      <w:sz w:val="18"/>
      <w:szCs w:val="18"/>
    </w:rPr>
  </w:style>
  <w:style w:type="paragraph" w:styleId="9">
    <w:name w:val="Document Map"/>
    <w:basedOn w:val="1"/>
    <w:link w:val="53"/>
    <w:unhideWhenUsed/>
    <w:qFormat/>
    <w:uiPriority w:val="0"/>
    <w:rPr>
      <w:rFonts w:ascii="宋体"/>
      <w:kern w:val="0"/>
      <w:sz w:val="18"/>
      <w:szCs w:val="18"/>
    </w:rPr>
  </w:style>
  <w:style w:type="paragraph" w:styleId="10">
    <w:name w:val="toa heading"/>
    <w:basedOn w:val="1"/>
    <w:next w:val="1"/>
    <w:semiHidden/>
    <w:qFormat/>
    <w:uiPriority w:val="99"/>
    <w:pPr>
      <w:spacing w:before="120" w:after="120"/>
      <w:jc w:val="left"/>
    </w:pPr>
    <w:rPr>
      <w:rFonts w:ascii="Calibri" w:hAnsi="Calibri" w:cs="Calibri"/>
      <w:sz w:val="20"/>
      <w:u w:val="single"/>
    </w:rPr>
  </w:style>
  <w:style w:type="paragraph" w:styleId="11">
    <w:name w:val="annotation text"/>
    <w:basedOn w:val="1"/>
    <w:link w:val="54"/>
    <w:qFormat/>
    <w:uiPriority w:val="99"/>
    <w:pPr>
      <w:jc w:val="left"/>
    </w:pPr>
    <w:rPr>
      <w:kern w:val="0"/>
      <w:sz w:val="20"/>
    </w:rPr>
  </w:style>
  <w:style w:type="paragraph" w:styleId="12">
    <w:name w:val="Body Text Indent"/>
    <w:basedOn w:val="1"/>
    <w:link w:val="56"/>
    <w:qFormat/>
    <w:uiPriority w:val="0"/>
    <w:pPr>
      <w:autoSpaceDE w:val="0"/>
      <w:autoSpaceDN w:val="0"/>
      <w:adjustRightInd w:val="0"/>
      <w:spacing w:line="360" w:lineRule="auto"/>
      <w:ind w:firstLine="480"/>
      <w:jc w:val="left"/>
    </w:pPr>
    <w:rPr>
      <w:rFonts w:ascii="宋体" w:hAnsi="宋体"/>
      <w:kern w:val="0"/>
      <w:sz w:val="24"/>
    </w:rPr>
  </w:style>
  <w:style w:type="paragraph" w:styleId="13">
    <w:name w:val="toc 5"/>
    <w:basedOn w:val="1"/>
    <w:next w:val="1"/>
    <w:semiHidden/>
    <w:qFormat/>
    <w:uiPriority w:val="0"/>
    <w:pPr>
      <w:ind w:left="840"/>
      <w:jc w:val="left"/>
    </w:pPr>
    <w:rPr>
      <w:sz w:val="18"/>
      <w:szCs w:val="18"/>
    </w:rPr>
  </w:style>
  <w:style w:type="paragraph" w:styleId="14">
    <w:name w:val="toc 3"/>
    <w:basedOn w:val="1"/>
    <w:next w:val="1"/>
    <w:qFormat/>
    <w:uiPriority w:val="39"/>
    <w:pPr>
      <w:tabs>
        <w:tab w:val="right" w:leader="hyphen" w:pos="9629"/>
      </w:tabs>
      <w:spacing w:line="360" w:lineRule="exact"/>
      <w:ind w:left="420" w:leftChars="200" w:firstLine="210" w:firstLineChars="100"/>
      <w:jc w:val="left"/>
    </w:pPr>
    <w:rPr>
      <w:rFonts w:ascii="宋体" w:hAnsi="宋体"/>
      <w:i/>
      <w:iCs/>
      <w:szCs w:val="21"/>
    </w:rPr>
  </w:style>
  <w:style w:type="paragraph" w:styleId="15">
    <w:name w:val="Plain Text"/>
    <w:basedOn w:val="1"/>
    <w:link w:val="57"/>
    <w:qFormat/>
    <w:uiPriority w:val="0"/>
    <w:pPr>
      <w:spacing w:line="360" w:lineRule="auto"/>
    </w:pPr>
    <w:rPr>
      <w:rFonts w:ascii="楷体_GB2312" w:hAnsi="Courier New" w:eastAsia="楷体_GB2312"/>
      <w:kern w:val="0"/>
      <w:sz w:val="24"/>
    </w:rPr>
  </w:style>
  <w:style w:type="paragraph" w:styleId="16">
    <w:name w:val="toc 8"/>
    <w:basedOn w:val="1"/>
    <w:next w:val="1"/>
    <w:semiHidden/>
    <w:qFormat/>
    <w:uiPriority w:val="0"/>
    <w:pPr>
      <w:ind w:left="1470"/>
      <w:jc w:val="left"/>
    </w:pPr>
    <w:rPr>
      <w:sz w:val="18"/>
      <w:szCs w:val="18"/>
    </w:rPr>
  </w:style>
  <w:style w:type="paragraph" w:styleId="17">
    <w:name w:val="Date"/>
    <w:basedOn w:val="1"/>
    <w:next w:val="1"/>
    <w:link w:val="58"/>
    <w:qFormat/>
    <w:uiPriority w:val="0"/>
    <w:rPr>
      <w:kern w:val="0"/>
      <w:sz w:val="28"/>
    </w:rPr>
  </w:style>
  <w:style w:type="paragraph" w:styleId="18">
    <w:name w:val="Body Text Indent 2"/>
    <w:basedOn w:val="1"/>
    <w:link w:val="59"/>
    <w:qFormat/>
    <w:uiPriority w:val="0"/>
    <w:pPr>
      <w:spacing w:after="120" w:line="480" w:lineRule="auto"/>
      <w:ind w:left="420" w:leftChars="200"/>
    </w:pPr>
    <w:rPr>
      <w:kern w:val="0"/>
      <w:sz w:val="20"/>
    </w:rPr>
  </w:style>
  <w:style w:type="paragraph" w:styleId="19">
    <w:name w:val="Balloon Text"/>
    <w:basedOn w:val="1"/>
    <w:link w:val="60"/>
    <w:qFormat/>
    <w:uiPriority w:val="99"/>
    <w:rPr>
      <w:kern w:val="0"/>
      <w:sz w:val="18"/>
      <w:szCs w:val="18"/>
    </w:rPr>
  </w:style>
  <w:style w:type="paragraph" w:styleId="20">
    <w:name w:val="footer"/>
    <w:basedOn w:val="1"/>
    <w:link w:val="61"/>
    <w:qFormat/>
    <w:uiPriority w:val="99"/>
    <w:pPr>
      <w:tabs>
        <w:tab w:val="center" w:pos="4153"/>
        <w:tab w:val="right" w:pos="8306"/>
      </w:tabs>
      <w:snapToGrid w:val="0"/>
      <w:jc w:val="left"/>
    </w:pPr>
    <w:rPr>
      <w:kern w:val="0"/>
      <w:sz w:val="18"/>
    </w:rPr>
  </w:style>
  <w:style w:type="paragraph" w:styleId="21">
    <w:name w:val="header"/>
    <w:basedOn w:val="1"/>
    <w:link w:val="62"/>
    <w:qFormat/>
    <w:uiPriority w:val="99"/>
    <w:pPr>
      <w:pBdr>
        <w:bottom w:val="single" w:color="auto" w:sz="6" w:space="1"/>
      </w:pBdr>
      <w:tabs>
        <w:tab w:val="center" w:pos="4153"/>
        <w:tab w:val="right" w:pos="8306"/>
      </w:tabs>
      <w:snapToGrid w:val="0"/>
      <w:jc w:val="center"/>
    </w:pPr>
    <w:rPr>
      <w:kern w:val="0"/>
      <w:sz w:val="18"/>
      <w:szCs w:val="18"/>
    </w:rPr>
  </w:style>
  <w:style w:type="paragraph" w:styleId="22">
    <w:name w:val="toc 1"/>
    <w:basedOn w:val="1"/>
    <w:next w:val="1"/>
    <w:qFormat/>
    <w:uiPriority w:val="39"/>
    <w:pPr>
      <w:tabs>
        <w:tab w:val="right" w:leader="hyphen" w:pos="9629"/>
      </w:tabs>
      <w:spacing w:line="320" w:lineRule="exact"/>
      <w:jc w:val="left"/>
    </w:pPr>
    <w:rPr>
      <w:rFonts w:ascii="宋体" w:hAnsi="宋体"/>
      <w:b/>
      <w:bCs/>
      <w:caps/>
      <w:szCs w:val="21"/>
    </w:rPr>
  </w:style>
  <w:style w:type="paragraph" w:styleId="23">
    <w:name w:val="toc 4"/>
    <w:basedOn w:val="1"/>
    <w:next w:val="1"/>
    <w:semiHidden/>
    <w:qFormat/>
    <w:uiPriority w:val="0"/>
    <w:pPr>
      <w:ind w:left="630"/>
      <w:jc w:val="left"/>
    </w:pPr>
    <w:rPr>
      <w:sz w:val="18"/>
      <w:szCs w:val="18"/>
    </w:rPr>
  </w:style>
  <w:style w:type="paragraph" w:styleId="24">
    <w:name w:val="Subtitle"/>
    <w:basedOn w:val="1"/>
    <w:next w:val="1"/>
    <w:link w:val="63"/>
    <w:qFormat/>
    <w:uiPriority w:val="11"/>
    <w:pPr>
      <w:spacing w:before="240" w:after="60" w:line="312" w:lineRule="auto"/>
      <w:jc w:val="center"/>
      <w:outlineLvl w:val="1"/>
    </w:pPr>
    <w:rPr>
      <w:rFonts w:ascii="Cambria" w:hAnsi="Cambria"/>
      <w:b/>
      <w:bCs/>
      <w:kern w:val="28"/>
      <w:sz w:val="32"/>
      <w:szCs w:val="32"/>
    </w:rPr>
  </w:style>
  <w:style w:type="paragraph" w:styleId="25">
    <w:name w:val="toc 6"/>
    <w:basedOn w:val="1"/>
    <w:next w:val="1"/>
    <w:semiHidden/>
    <w:qFormat/>
    <w:uiPriority w:val="0"/>
    <w:pPr>
      <w:ind w:left="1050"/>
      <w:jc w:val="left"/>
    </w:pPr>
    <w:rPr>
      <w:sz w:val="18"/>
      <w:szCs w:val="18"/>
    </w:rPr>
  </w:style>
  <w:style w:type="paragraph" w:styleId="26">
    <w:name w:val="toc 2"/>
    <w:basedOn w:val="1"/>
    <w:next w:val="1"/>
    <w:qFormat/>
    <w:uiPriority w:val="39"/>
    <w:pPr>
      <w:tabs>
        <w:tab w:val="right" w:leader="hyphen" w:pos="9639"/>
      </w:tabs>
      <w:spacing w:line="320" w:lineRule="exact"/>
      <w:ind w:left="210"/>
      <w:jc w:val="left"/>
    </w:pPr>
    <w:rPr>
      <w:smallCaps/>
      <w:sz w:val="20"/>
    </w:rPr>
  </w:style>
  <w:style w:type="paragraph" w:styleId="27">
    <w:name w:val="toc 9"/>
    <w:basedOn w:val="1"/>
    <w:next w:val="1"/>
    <w:semiHidden/>
    <w:qFormat/>
    <w:uiPriority w:val="0"/>
    <w:pPr>
      <w:ind w:left="1680"/>
      <w:jc w:val="left"/>
    </w:pPr>
    <w:rPr>
      <w:sz w:val="18"/>
      <w:szCs w:val="18"/>
    </w:rPr>
  </w:style>
  <w:style w:type="paragraph" w:styleId="28">
    <w:name w:val="Body Text 2"/>
    <w:basedOn w:val="1"/>
    <w:link w:val="64"/>
    <w:qFormat/>
    <w:uiPriority w:val="0"/>
    <w:rPr>
      <w:rFonts w:ascii="Calibri" w:hAnsi="Calibri"/>
      <w:kern w:val="0"/>
      <w:sz w:val="28"/>
      <w:szCs w:val="24"/>
      <w:lang w:val="zh-CN"/>
    </w:rPr>
  </w:style>
  <w:style w:type="paragraph" w:styleId="29">
    <w:name w:val="Normal (Web)"/>
    <w:basedOn w:val="1"/>
    <w:unhideWhenUsed/>
    <w:qFormat/>
    <w:uiPriority w:val="99"/>
    <w:pPr>
      <w:widowControl/>
      <w:spacing w:before="100" w:beforeAutospacing="1" w:after="100" w:afterAutospacing="1"/>
      <w:jc w:val="left"/>
    </w:pPr>
    <w:rPr>
      <w:rFonts w:ascii="宋体" w:hAnsi="宋体" w:cs="宋体"/>
      <w:color w:val="000000"/>
      <w:kern w:val="0"/>
      <w:sz w:val="24"/>
    </w:rPr>
  </w:style>
  <w:style w:type="paragraph" w:styleId="30">
    <w:name w:val="annotation subject"/>
    <w:basedOn w:val="11"/>
    <w:next w:val="11"/>
    <w:link w:val="65"/>
    <w:unhideWhenUsed/>
    <w:qFormat/>
    <w:uiPriority w:val="99"/>
    <w:rPr>
      <w:b/>
      <w:bCs/>
      <w:kern w:val="2"/>
      <w:sz w:val="21"/>
    </w:rPr>
  </w:style>
  <w:style w:type="paragraph" w:styleId="31">
    <w:name w:val="Body Text First Indent 2"/>
    <w:basedOn w:val="12"/>
    <w:link w:val="67"/>
    <w:qFormat/>
    <w:uiPriority w:val="0"/>
  </w:style>
  <w:style w:type="table" w:styleId="33">
    <w:name w:val="Table Grid"/>
    <w:basedOn w:val="3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5">
    <w:name w:val="Strong"/>
    <w:qFormat/>
    <w:uiPriority w:val="22"/>
    <w:rPr>
      <w:b/>
      <w:bCs/>
    </w:rPr>
  </w:style>
  <w:style w:type="character" w:styleId="36">
    <w:name w:val="page number"/>
    <w:qFormat/>
    <w:uiPriority w:val="0"/>
  </w:style>
  <w:style w:type="character" w:styleId="37">
    <w:name w:val="FollowedHyperlink"/>
    <w:qFormat/>
    <w:uiPriority w:val="99"/>
    <w:rPr>
      <w:color w:val="800080"/>
      <w:u w:val="none"/>
    </w:rPr>
  </w:style>
  <w:style w:type="character" w:styleId="38">
    <w:name w:val="Emphasis"/>
    <w:qFormat/>
    <w:uiPriority w:val="0"/>
    <w:rPr>
      <w:b/>
    </w:rPr>
  </w:style>
  <w:style w:type="character" w:styleId="39">
    <w:name w:val="HTML Definition"/>
    <w:qFormat/>
    <w:uiPriority w:val="0"/>
  </w:style>
  <w:style w:type="character" w:styleId="40">
    <w:name w:val="HTML Typewriter"/>
    <w:qFormat/>
    <w:uiPriority w:val="0"/>
    <w:rPr>
      <w:rFonts w:hint="default" w:ascii="monospace" w:hAnsi="monospace" w:eastAsia="monospace" w:cs="monospace"/>
      <w:sz w:val="20"/>
    </w:rPr>
  </w:style>
  <w:style w:type="character" w:styleId="41">
    <w:name w:val="HTML Acronym"/>
    <w:qFormat/>
    <w:uiPriority w:val="0"/>
  </w:style>
  <w:style w:type="character" w:styleId="42">
    <w:name w:val="HTML Variable"/>
    <w:qFormat/>
    <w:uiPriority w:val="0"/>
  </w:style>
  <w:style w:type="character" w:styleId="43">
    <w:name w:val="Hyperlink"/>
    <w:qFormat/>
    <w:uiPriority w:val="99"/>
    <w:rPr>
      <w:color w:val="0000FF"/>
      <w:u w:val="none"/>
    </w:rPr>
  </w:style>
  <w:style w:type="character" w:styleId="44">
    <w:name w:val="HTML Code"/>
    <w:qFormat/>
    <w:uiPriority w:val="0"/>
    <w:rPr>
      <w:rFonts w:ascii="monospace" w:hAnsi="monospace" w:eastAsia="monospace" w:cs="monospace"/>
      <w:sz w:val="20"/>
    </w:rPr>
  </w:style>
  <w:style w:type="character" w:styleId="45">
    <w:name w:val="annotation reference"/>
    <w:unhideWhenUsed/>
    <w:qFormat/>
    <w:uiPriority w:val="99"/>
    <w:rPr>
      <w:sz w:val="21"/>
      <w:szCs w:val="21"/>
    </w:rPr>
  </w:style>
  <w:style w:type="character" w:styleId="46">
    <w:name w:val="HTML Cite"/>
    <w:qFormat/>
    <w:uiPriority w:val="0"/>
  </w:style>
  <w:style w:type="character" w:styleId="47">
    <w:name w:val="HTML Keyboard"/>
    <w:qFormat/>
    <w:uiPriority w:val="0"/>
    <w:rPr>
      <w:rFonts w:hint="default" w:ascii="monospace" w:hAnsi="monospace" w:eastAsia="monospace" w:cs="monospace"/>
      <w:sz w:val="20"/>
    </w:rPr>
  </w:style>
  <w:style w:type="character" w:styleId="48">
    <w:name w:val="HTML Sample"/>
    <w:qFormat/>
    <w:uiPriority w:val="0"/>
    <w:rPr>
      <w:rFonts w:hint="default" w:ascii="monospace" w:hAnsi="monospace" w:eastAsia="monospace" w:cs="monospace"/>
    </w:rPr>
  </w:style>
  <w:style w:type="character" w:customStyle="1" w:styleId="49">
    <w:name w:val="标题 1 Char"/>
    <w:link w:val="4"/>
    <w:qFormat/>
    <w:uiPriority w:val="9"/>
    <w:rPr>
      <w:rFonts w:ascii="宋体" w:hAnsi="Times New Roman" w:eastAsia="宋体" w:cs="Times New Roman"/>
      <w:sz w:val="28"/>
      <w:szCs w:val="20"/>
    </w:rPr>
  </w:style>
  <w:style w:type="character" w:customStyle="1" w:styleId="50">
    <w:name w:val="标题 2 Char"/>
    <w:link w:val="5"/>
    <w:qFormat/>
    <w:uiPriority w:val="0"/>
    <w:rPr>
      <w:rFonts w:ascii="Arial" w:hAnsi="Arial" w:eastAsia="黑体" w:cs="Times New Roman"/>
      <w:b/>
      <w:bCs/>
      <w:sz w:val="32"/>
      <w:szCs w:val="32"/>
    </w:rPr>
  </w:style>
  <w:style w:type="character" w:customStyle="1" w:styleId="51">
    <w:name w:val="标题 3 Char"/>
    <w:link w:val="6"/>
    <w:qFormat/>
    <w:uiPriority w:val="0"/>
    <w:rPr>
      <w:rFonts w:ascii="Times New Roman" w:hAnsi="Times New Roman" w:eastAsia="宋体" w:cs="Times New Roman"/>
      <w:b/>
      <w:bCs/>
      <w:sz w:val="32"/>
      <w:szCs w:val="32"/>
    </w:rPr>
  </w:style>
  <w:style w:type="character" w:customStyle="1" w:styleId="52">
    <w:name w:val="标题 4 Char"/>
    <w:link w:val="7"/>
    <w:qFormat/>
    <w:uiPriority w:val="0"/>
    <w:rPr>
      <w:rFonts w:ascii="Arial" w:hAnsi="Arial" w:eastAsia="黑体" w:cs="Times New Roman"/>
      <w:b/>
      <w:bCs/>
      <w:sz w:val="28"/>
      <w:szCs w:val="28"/>
    </w:rPr>
  </w:style>
  <w:style w:type="character" w:customStyle="1" w:styleId="53">
    <w:name w:val="文档结构图 Char"/>
    <w:link w:val="9"/>
    <w:qFormat/>
    <w:uiPriority w:val="0"/>
    <w:rPr>
      <w:rFonts w:ascii="宋体" w:hAnsi="Times New Roman" w:eastAsia="宋体" w:cs="Times New Roman"/>
      <w:sz w:val="18"/>
      <w:szCs w:val="18"/>
    </w:rPr>
  </w:style>
  <w:style w:type="character" w:customStyle="1" w:styleId="54">
    <w:name w:val="批注文字 Char"/>
    <w:link w:val="11"/>
    <w:qFormat/>
    <w:uiPriority w:val="99"/>
    <w:rPr>
      <w:rFonts w:ascii="Times New Roman" w:hAnsi="Times New Roman" w:eastAsia="宋体" w:cs="Times New Roman"/>
      <w:szCs w:val="20"/>
    </w:rPr>
  </w:style>
  <w:style w:type="character" w:customStyle="1" w:styleId="55">
    <w:name w:val="正文文本 Char"/>
    <w:link w:val="2"/>
    <w:qFormat/>
    <w:uiPriority w:val="0"/>
    <w:rPr>
      <w:rFonts w:ascii="Times New Roman" w:hAnsi="Times New Roman" w:eastAsia="宋体" w:cs="Times New Roman"/>
      <w:szCs w:val="20"/>
    </w:rPr>
  </w:style>
  <w:style w:type="character" w:customStyle="1" w:styleId="56">
    <w:name w:val="正文文本缩进 Char"/>
    <w:link w:val="12"/>
    <w:qFormat/>
    <w:uiPriority w:val="0"/>
    <w:rPr>
      <w:rFonts w:ascii="宋体" w:hAnsi="宋体" w:eastAsia="宋体" w:cs="Times New Roman"/>
      <w:kern w:val="0"/>
      <w:sz w:val="24"/>
      <w:szCs w:val="20"/>
    </w:rPr>
  </w:style>
  <w:style w:type="character" w:customStyle="1" w:styleId="57">
    <w:name w:val="纯文本 Char"/>
    <w:link w:val="15"/>
    <w:qFormat/>
    <w:uiPriority w:val="0"/>
    <w:rPr>
      <w:rFonts w:ascii="楷体_GB2312" w:hAnsi="Courier New" w:eastAsia="楷体_GB2312" w:cs="Times New Roman"/>
      <w:sz w:val="24"/>
      <w:szCs w:val="20"/>
    </w:rPr>
  </w:style>
  <w:style w:type="character" w:customStyle="1" w:styleId="58">
    <w:name w:val="日期 Char"/>
    <w:link w:val="17"/>
    <w:qFormat/>
    <w:uiPriority w:val="0"/>
    <w:rPr>
      <w:rFonts w:ascii="Times New Roman" w:hAnsi="Times New Roman" w:eastAsia="宋体" w:cs="Times New Roman"/>
      <w:sz w:val="28"/>
      <w:szCs w:val="20"/>
    </w:rPr>
  </w:style>
  <w:style w:type="character" w:customStyle="1" w:styleId="59">
    <w:name w:val="正文文本缩进 2 Char"/>
    <w:link w:val="18"/>
    <w:qFormat/>
    <w:uiPriority w:val="0"/>
    <w:rPr>
      <w:rFonts w:ascii="Times New Roman" w:hAnsi="Times New Roman" w:eastAsia="宋体" w:cs="Times New Roman"/>
      <w:szCs w:val="20"/>
    </w:rPr>
  </w:style>
  <w:style w:type="character" w:customStyle="1" w:styleId="60">
    <w:name w:val="批注框文本 Char"/>
    <w:link w:val="19"/>
    <w:qFormat/>
    <w:uiPriority w:val="99"/>
    <w:rPr>
      <w:rFonts w:ascii="Times New Roman" w:hAnsi="Times New Roman" w:eastAsia="宋体" w:cs="Times New Roman"/>
      <w:sz w:val="18"/>
      <w:szCs w:val="18"/>
    </w:rPr>
  </w:style>
  <w:style w:type="character" w:customStyle="1" w:styleId="61">
    <w:name w:val="页脚 Char"/>
    <w:link w:val="20"/>
    <w:qFormat/>
    <w:uiPriority w:val="99"/>
    <w:rPr>
      <w:rFonts w:ascii="Times New Roman" w:hAnsi="Times New Roman" w:eastAsia="宋体" w:cs="Times New Roman"/>
      <w:sz w:val="18"/>
      <w:szCs w:val="20"/>
    </w:rPr>
  </w:style>
  <w:style w:type="character" w:customStyle="1" w:styleId="62">
    <w:name w:val="页眉 Char"/>
    <w:link w:val="21"/>
    <w:qFormat/>
    <w:uiPriority w:val="99"/>
    <w:rPr>
      <w:rFonts w:ascii="Times New Roman" w:hAnsi="Times New Roman" w:eastAsia="宋体" w:cs="Times New Roman"/>
      <w:sz w:val="18"/>
      <w:szCs w:val="18"/>
    </w:rPr>
  </w:style>
  <w:style w:type="character" w:customStyle="1" w:styleId="63">
    <w:name w:val="副标题 Char"/>
    <w:link w:val="24"/>
    <w:qFormat/>
    <w:uiPriority w:val="11"/>
    <w:rPr>
      <w:rFonts w:ascii="Cambria" w:hAnsi="Cambria" w:eastAsia="宋体" w:cs="Times New Roman"/>
      <w:b/>
      <w:bCs/>
      <w:kern w:val="28"/>
      <w:sz w:val="32"/>
      <w:szCs w:val="32"/>
    </w:rPr>
  </w:style>
  <w:style w:type="character" w:customStyle="1" w:styleId="64">
    <w:name w:val="正文文本 2 Char"/>
    <w:link w:val="28"/>
    <w:qFormat/>
    <w:uiPriority w:val="0"/>
    <w:rPr>
      <w:rFonts w:ascii="Calibri" w:hAnsi="Calibri" w:eastAsia="宋体" w:cs="Times New Roman"/>
      <w:sz w:val="28"/>
      <w:szCs w:val="24"/>
      <w:lang w:val="zh-CN"/>
    </w:rPr>
  </w:style>
  <w:style w:type="character" w:customStyle="1" w:styleId="65">
    <w:name w:val="批注主题 Char"/>
    <w:link w:val="30"/>
    <w:semiHidden/>
    <w:qFormat/>
    <w:uiPriority w:val="99"/>
    <w:rPr>
      <w:rFonts w:ascii="Times New Roman" w:hAnsi="Times New Roman" w:eastAsia="宋体" w:cs="Times New Roman"/>
      <w:b/>
      <w:bCs/>
      <w:kern w:val="2"/>
      <w:sz w:val="21"/>
      <w:szCs w:val="20"/>
    </w:rPr>
  </w:style>
  <w:style w:type="character" w:customStyle="1" w:styleId="66">
    <w:name w:val="正文首行缩进 Char"/>
    <w:link w:val="3"/>
    <w:qFormat/>
    <w:uiPriority w:val="99"/>
    <w:rPr>
      <w:rFonts w:ascii="Times New Roman" w:hAnsi="Times New Roman" w:eastAsia="宋体" w:cs="Times New Roman"/>
      <w:szCs w:val="20"/>
    </w:rPr>
  </w:style>
  <w:style w:type="character" w:customStyle="1" w:styleId="67">
    <w:name w:val="正文首行缩进 2 Char"/>
    <w:link w:val="31"/>
    <w:qFormat/>
    <w:uiPriority w:val="0"/>
    <w:rPr>
      <w:rFonts w:ascii="宋体" w:hAnsi="宋体" w:eastAsia="宋体" w:cs="Times New Roman"/>
      <w:kern w:val="0"/>
      <w:sz w:val="24"/>
      <w:szCs w:val="20"/>
    </w:rPr>
  </w:style>
  <w:style w:type="paragraph" w:customStyle="1" w:styleId="68">
    <w:name w:val="BodyText1I2"/>
    <w:basedOn w:val="69"/>
    <w:qFormat/>
    <w:uiPriority w:val="0"/>
    <w:pPr>
      <w:spacing w:after="120" w:line="240" w:lineRule="auto"/>
      <w:ind w:left="420" w:leftChars="200" w:firstLine="420" w:firstLineChars="200"/>
    </w:pPr>
    <w:rPr>
      <w:rFonts w:ascii="Times New Roman"/>
      <w:sz w:val="21"/>
    </w:rPr>
  </w:style>
  <w:style w:type="paragraph" w:customStyle="1" w:styleId="69">
    <w:name w:val="BodyTextIndent"/>
    <w:basedOn w:val="1"/>
    <w:next w:val="68"/>
    <w:qFormat/>
    <w:uiPriority w:val="0"/>
    <w:pPr>
      <w:spacing w:line="360" w:lineRule="auto"/>
      <w:ind w:firstLine="480"/>
      <w:jc w:val="left"/>
      <w:textAlignment w:val="baseline"/>
    </w:pPr>
    <w:rPr>
      <w:rFonts w:ascii="宋体" w:hAnsi="宋体" w:eastAsia="仿宋_GB2312"/>
      <w:b/>
      <w:spacing w:val="4"/>
      <w:kern w:val="0"/>
      <w:sz w:val="24"/>
      <w:szCs w:val="28"/>
    </w:rPr>
  </w:style>
  <w:style w:type="paragraph" w:customStyle="1" w:styleId="70">
    <w:name w:val="3级"/>
    <w:basedOn w:val="6"/>
    <w:qFormat/>
    <w:uiPriority w:val="0"/>
    <w:pPr>
      <w:snapToGrid w:val="0"/>
      <w:spacing w:before="100" w:after="100" w:line="240" w:lineRule="auto"/>
      <w:jc w:val="left"/>
    </w:pPr>
    <w:rPr>
      <w:rFonts w:ascii="Cambria" w:hAnsi="Cambria" w:cs="仿宋"/>
      <w:sz w:val="24"/>
      <w:szCs w:val="24"/>
    </w:rPr>
  </w:style>
  <w:style w:type="paragraph" w:customStyle="1" w:styleId="71">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72">
    <w:name w:val="Char"/>
    <w:basedOn w:val="1"/>
    <w:qFormat/>
    <w:uiPriority w:val="0"/>
    <w:rPr>
      <w:rFonts w:ascii="仿宋_GB2312" w:eastAsia="仿宋_GB2312"/>
      <w:b/>
      <w:sz w:val="32"/>
      <w:szCs w:val="32"/>
    </w:rPr>
  </w:style>
  <w:style w:type="paragraph" w:customStyle="1" w:styleId="73">
    <w:name w:val="列表段落1"/>
    <w:basedOn w:val="1"/>
    <w:qFormat/>
    <w:uiPriority w:val="99"/>
    <w:pPr>
      <w:ind w:firstLine="420" w:firstLineChars="200"/>
    </w:pPr>
    <w:rPr>
      <w:szCs w:val="24"/>
    </w:rPr>
  </w:style>
  <w:style w:type="paragraph" w:customStyle="1" w:styleId="74">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75">
    <w:name w:val="p0"/>
    <w:basedOn w:val="1"/>
    <w:qFormat/>
    <w:uiPriority w:val="0"/>
    <w:pPr>
      <w:widowControl/>
    </w:pPr>
    <w:rPr>
      <w:rFonts w:ascii="Calibri" w:hAnsi="Calibri" w:cs="宋体"/>
      <w:kern w:val="0"/>
      <w:szCs w:val="21"/>
    </w:rPr>
  </w:style>
  <w:style w:type="character" w:customStyle="1" w:styleId="76">
    <w:name w:val="mini-outputtext1"/>
    <w:qFormat/>
    <w:uiPriority w:val="0"/>
  </w:style>
  <w:style w:type="character" w:customStyle="1" w:styleId="77">
    <w:name w:val="font31"/>
    <w:qFormat/>
    <w:uiPriority w:val="0"/>
    <w:rPr>
      <w:rFonts w:hint="eastAsia" w:ascii="宋体" w:hAnsi="宋体" w:eastAsia="宋体" w:cs="宋体"/>
      <w:color w:val="000000"/>
      <w:sz w:val="18"/>
      <w:szCs w:val="18"/>
      <w:u w:val="none"/>
    </w:rPr>
  </w:style>
  <w:style w:type="character" w:customStyle="1" w:styleId="78">
    <w:name w:val="font01"/>
    <w:qFormat/>
    <w:uiPriority w:val="0"/>
    <w:rPr>
      <w:rFonts w:hint="eastAsia" w:ascii="宋体" w:hAnsi="宋体" w:eastAsia="宋体" w:cs="宋体"/>
      <w:color w:val="000000"/>
      <w:sz w:val="18"/>
      <w:szCs w:val="18"/>
      <w:u w:val="none"/>
      <w:vertAlign w:val="superscript"/>
    </w:rPr>
  </w:style>
  <w:style w:type="paragraph" w:customStyle="1" w:styleId="79">
    <w:name w:val="首行缩进"/>
    <w:basedOn w:val="1"/>
    <w:qFormat/>
    <w:uiPriority w:val="0"/>
    <w:pPr>
      <w:spacing w:line="360" w:lineRule="auto"/>
      <w:ind w:firstLine="480" w:firstLineChars="200"/>
    </w:pPr>
    <w:rPr>
      <w:rFonts w:ascii="宋体" w:hAnsi="宋体" w:cs="宋体"/>
      <w:kern w:val="0"/>
      <w:sz w:val="24"/>
    </w:rPr>
  </w:style>
  <w:style w:type="paragraph" w:customStyle="1" w:styleId="80">
    <w:name w:val="Body text|2"/>
    <w:basedOn w:val="1"/>
    <w:qFormat/>
    <w:uiPriority w:val="0"/>
    <w:pPr>
      <w:spacing w:before="160" w:after="380"/>
    </w:pPr>
    <w:rPr>
      <w:rFonts w:ascii="宋体" w:hAnsi="宋体" w:cs="宋体"/>
      <w:sz w:val="28"/>
      <w:szCs w:val="28"/>
      <w:lang w:val="zh-TW" w:eastAsia="zh-TW" w:bidi="zh-TW"/>
    </w:rPr>
  </w:style>
  <w:style w:type="paragraph" w:customStyle="1" w:styleId="81">
    <w:name w:val="Heading #1|1"/>
    <w:basedOn w:val="1"/>
    <w:qFormat/>
    <w:uiPriority w:val="0"/>
    <w:pPr>
      <w:spacing w:after="220"/>
      <w:jc w:val="center"/>
      <w:outlineLvl w:val="0"/>
    </w:pPr>
    <w:rPr>
      <w:rFonts w:ascii="宋体" w:hAnsi="宋体" w:cs="宋体"/>
      <w:sz w:val="38"/>
      <w:szCs w:val="38"/>
      <w:lang w:val="zh-TW" w:eastAsia="zh-TW" w:bidi="zh-TW"/>
    </w:rPr>
  </w:style>
  <w:style w:type="paragraph" w:customStyle="1" w:styleId="82">
    <w:name w:val="Other|1"/>
    <w:basedOn w:val="1"/>
    <w:qFormat/>
    <w:uiPriority w:val="0"/>
    <w:pPr>
      <w:spacing w:line="298" w:lineRule="exact"/>
    </w:pPr>
    <w:rPr>
      <w:rFonts w:ascii="宋体" w:hAnsi="宋体" w:cs="宋体"/>
      <w:sz w:val="19"/>
      <w:szCs w:val="19"/>
      <w:lang w:val="zh-TW" w:eastAsia="zh-TW" w:bidi="zh-TW"/>
    </w:rPr>
  </w:style>
  <w:style w:type="paragraph" w:customStyle="1" w:styleId="83">
    <w:name w:val="Table caption|1"/>
    <w:basedOn w:val="1"/>
    <w:qFormat/>
    <w:uiPriority w:val="0"/>
    <w:pPr>
      <w:spacing w:line="317" w:lineRule="exact"/>
    </w:pPr>
    <w:rPr>
      <w:rFonts w:ascii="宋体" w:hAnsi="宋体" w:cs="宋体"/>
      <w:sz w:val="22"/>
      <w:szCs w:val="22"/>
      <w:lang w:val="zh-TW" w:eastAsia="zh-TW" w:bidi="zh-TW"/>
    </w:rPr>
  </w:style>
  <w:style w:type="paragraph" w:customStyle="1" w:styleId="84">
    <w:name w:val="Body text|1"/>
    <w:basedOn w:val="1"/>
    <w:qFormat/>
    <w:uiPriority w:val="0"/>
    <w:pPr>
      <w:spacing w:line="295" w:lineRule="auto"/>
      <w:ind w:firstLine="400"/>
    </w:pPr>
    <w:rPr>
      <w:rFonts w:ascii="宋体" w:hAnsi="宋体" w:cs="宋体"/>
      <w:sz w:val="22"/>
      <w:szCs w:val="22"/>
      <w:lang w:val="zh-TW" w:eastAsia="zh-TW" w:bidi="zh-TW"/>
    </w:rPr>
  </w:style>
  <w:style w:type="paragraph" w:customStyle="1" w:styleId="85">
    <w:name w:val="Table Text"/>
    <w:basedOn w:val="1"/>
    <w:semiHidden/>
    <w:qFormat/>
    <w:uiPriority w:val="0"/>
    <w:rPr>
      <w:rFonts w:ascii="黑体" w:hAnsi="黑体" w:eastAsia="黑体" w:cs="黑体"/>
      <w:sz w:val="18"/>
      <w:szCs w:val="18"/>
    </w:rPr>
  </w:style>
  <w:style w:type="character" w:customStyle="1" w:styleId="86">
    <w:name w:val="font11"/>
    <w:qFormat/>
    <w:uiPriority w:val="0"/>
    <w:rPr>
      <w:rFonts w:hint="eastAsia" w:ascii="宋体" w:hAnsi="宋体" w:eastAsia="宋体" w:cs="宋体"/>
      <w:color w:val="000000"/>
      <w:sz w:val="20"/>
      <w:szCs w:val="20"/>
      <w:u w:val="none"/>
    </w:rPr>
  </w:style>
  <w:style w:type="character" w:customStyle="1" w:styleId="87">
    <w:name w:val="font41"/>
    <w:qFormat/>
    <w:uiPriority w:val="0"/>
    <w:rPr>
      <w:rFonts w:hint="eastAsia" w:ascii="宋体" w:hAnsi="宋体" w:eastAsia="宋体" w:cs="宋体"/>
      <w:b/>
      <w:bCs/>
      <w:color w:val="000000"/>
      <w:sz w:val="20"/>
      <w:szCs w:val="20"/>
      <w:u w:val="none"/>
    </w:rPr>
  </w:style>
  <w:style w:type="paragraph" w:customStyle="1" w:styleId="88">
    <w:name w:val="正文缩进1"/>
    <w:qFormat/>
    <w:uiPriority w:val="0"/>
    <w:pPr>
      <w:ind w:firstLine="420" w:firstLineChars="200"/>
      <w:jc w:val="both"/>
    </w:pPr>
    <w:rPr>
      <w:rFonts w:ascii="Times New Roman" w:hAnsi="Times New Roman" w:eastAsia="宋体" w:cs="Times New Roman"/>
      <w:kern w:val="2"/>
      <w:sz w:val="21"/>
      <w:szCs w:val="21"/>
      <w:lang w:val="en-US" w:eastAsia="zh-CN" w:bidi="ar-SA"/>
    </w:rPr>
  </w:style>
  <w:style w:type="paragraph" w:styleId="89">
    <w:name w:val="List Paragraph"/>
    <w:basedOn w:val="1"/>
    <w:qFormat/>
    <w:uiPriority w:val="34"/>
    <w:pPr>
      <w:ind w:firstLine="420" w:firstLineChars="200"/>
    </w:pPr>
    <w:rPr>
      <w:rFonts w:ascii="Calibri" w:hAnsi="Calibri" w:eastAsia="黑体"/>
      <w:bCs/>
      <w:sz w:val="30"/>
      <w:szCs w:val="30"/>
    </w:rPr>
  </w:style>
  <w:style w:type="paragraph" w:customStyle="1" w:styleId="90">
    <w:name w:val="修订1"/>
    <w:semiHidden/>
    <w:qFormat/>
    <w:uiPriority w:val="99"/>
    <w:rPr>
      <w:rFonts w:ascii="Calibri" w:hAnsi="Calibri" w:eastAsia="宋体" w:cs="Times New Roman"/>
      <w:kern w:val="2"/>
      <w:sz w:val="21"/>
      <w:szCs w:val="24"/>
      <w:lang w:val="en-US" w:eastAsia="zh-CN" w:bidi="ar-SA"/>
    </w:rPr>
  </w:style>
  <w:style w:type="paragraph" w:customStyle="1" w:styleId="91">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92">
    <w:name w:val="列出段落1"/>
    <w:basedOn w:val="1"/>
    <w:qFormat/>
    <w:uiPriority w:val="0"/>
    <w:pPr>
      <w:ind w:firstLine="420" w:firstLineChars="200"/>
    </w:pPr>
    <w:rPr>
      <w:rFonts w:ascii="Calibri" w:hAnsi="Calibri"/>
      <w:szCs w:val="21"/>
    </w:rPr>
  </w:style>
  <w:style w:type="paragraph" w:customStyle="1" w:styleId="93">
    <w:name w:val="_Style 92"/>
    <w:unhideWhenUsed/>
    <w:qFormat/>
    <w:uiPriority w:val="99"/>
    <w:rPr>
      <w:rFonts w:ascii="Times New Roman" w:hAnsi="Times New Roman" w:eastAsia="宋体" w:cs="Times New Roman"/>
      <w:kern w:val="2"/>
      <w:sz w:val="21"/>
      <w:lang w:val="en-US" w:eastAsia="zh-CN" w:bidi="ar-SA"/>
    </w:rPr>
  </w:style>
  <w:style w:type="paragraph" w:customStyle="1" w:styleId="94">
    <w:name w:val="列出段落2"/>
    <w:basedOn w:val="1"/>
    <w:qFormat/>
    <w:uiPriority w:val="0"/>
    <w:pPr>
      <w:ind w:firstLine="420" w:firstLineChars="200"/>
    </w:pPr>
    <w:rPr>
      <w:szCs w:val="21"/>
    </w:rPr>
  </w:style>
  <w:style w:type="paragraph" w:customStyle="1" w:styleId="95">
    <w:name w:val="正文 New New New New"/>
    <w:qFormat/>
    <w:uiPriority w:val="0"/>
    <w:pPr>
      <w:widowControl w:val="0"/>
      <w:jc w:val="both"/>
    </w:pPr>
    <w:rPr>
      <w:rFonts w:ascii="Times New Roman" w:hAnsi="Times New Roman" w:eastAsia="宋体" w:cs="Times New Roman"/>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14</Pages>
  <Words>27970</Words>
  <Characters>29670</Characters>
  <Lines>328</Lines>
  <Paragraphs>92</Paragraphs>
  <TotalTime>3</TotalTime>
  <ScaleCrop>false</ScaleCrop>
  <LinksUpToDate>false</LinksUpToDate>
  <CharactersWithSpaces>30971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2025-05-18T11:13:00Z</dcterms:created>
  <dc:creator>李玮</dc:creator>
  <cp:lastModifiedBy>123</cp:lastModifiedBy>
  <dcterms:modified xsi:type="dcterms:W3CDTF">2026-06-25T01:28:39Z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5A75DBA2A9FB459CA415CDFF9D92532A_13</vt:lpwstr>
  </property>
  <property fmtid="{D5CDD505-2E9C-101B-9397-08002B2CF9AE}" pid="4" name="KSOTemplateDocerSaveRecord">
    <vt:lpwstr>eyJoZGlkIjoiMGZhOTYxZDQ5ZDU4YTk1YzU1OGRlNGM4Njg1YjBhMjEiLCJ1c2VySWQiOiIxMTMzNjgyMjIxIn0=</vt:lpwstr>
  </property>
</Properties>
</file>