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E1AF51">
      <w:pPr>
        <w:pageBreakBefore w:val="0"/>
        <w:widowControl w:val="0"/>
        <w:kinsoku/>
        <w:wordWrap/>
        <w:overflowPunct/>
        <w:topLinePunct w:val="0"/>
        <w:bidi w:val="0"/>
        <w:spacing w:before="47" w:line="219" w:lineRule="auto"/>
        <w:ind w:left="3805"/>
        <w:jc w:val="both"/>
        <w:outlineLvl w:val="1"/>
        <w:rPr>
          <w:rFonts w:ascii="宋体" w:hAnsi="宋体" w:eastAsia="宋体" w:cs="宋体"/>
          <w:color w:val="auto"/>
          <w:sz w:val="24"/>
          <w:szCs w:val="24"/>
          <w:highlight w:val="none"/>
        </w:rPr>
      </w:pPr>
      <w:bookmarkStart w:id="0" w:name="_Toc12949"/>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p>
    <w:p w14:paraId="015D2860">
      <w:pPr>
        <w:pageBreakBefore w:val="0"/>
        <w:widowControl w:val="0"/>
        <w:kinsoku/>
        <w:wordWrap/>
        <w:overflowPunct/>
        <w:topLinePunct w:val="0"/>
        <w:bidi w:val="0"/>
        <w:spacing w:before="78" w:line="219" w:lineRule="auto"/>
        <w:jc w:val="both"/>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tbl>
      <w:tblPr>
        <w:tblStyle w:val="3"/>
        <w:tblW w:w="871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1"/>
        <w:gridCol w:w="1974"/>
        <w:gridCol w:w="4894"/>
        <w:gridCol w:w="499"/>
        <w:gridCol w:w="699"/>
      </w:tblGrid>
      <w:tr w14:paraId="68317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4"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272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序号</w:t>
            </w:r>
          </w:p>
        </w:tc>
        <w:tc>
          <w:tcPr>
            <w:tcW w:w="19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2B05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产品名称</w:t>
            </w:r>
          </w:p>
        </w:tc>
        <w:tc>
          <w:tcPr>
            <w:tcW w:w="48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B72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规格参数</w:t>
            </w:r>
          </w:p>
        </w:tc>
        <w:tc>
          <w:tcPr>
            <w:tcW w:w="4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1EC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单位</w:t>
            </w:r>
          </w:p>
        </w:tc>
        <w:tc>
          <w:tcPr>
            <w:tcW w:w="6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B44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数量</w:t>
            </w:r>
          </w:p>
        </w:tc>
      </w:tr>
      <w:tr w14:paraId="45C1A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30"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FDB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w:t>
            </w:r>
          </w:p>
        </w:tc>
        <w:tc>
          <w:tcPr>
            <w:tcW w:w="19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A097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5P天花机空调</w:t>
            </w:r>
          </w:p>
        </w:tc>
        <w:tc>
          <w:tcPr>
            <w:tcW w:w="4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CF20A2">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b/>
                <w:bCs/>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auto"/>
                <w:kern w:val="0"/>
                <w:sz w:val="18"/>
                <w:szCs w:val="18"/>
                <w:highlight w:val="none"/>
                <w:u w:val="none"/>
                <w:lang w:val="en-US" w:eastAsia="zh-CN" w:bidi="ar"/>
              </w:rPr>
              <w:t>一级节能</w:t>
            </w:r>
          </w:p>
          <w:p w14:paraId="02C0B3B1">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1、冷暖两用、380V</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2、全年能源消耗效率APF≥3.8</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3、额定制冷量≥12000W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4、额定制热量≥13000W( 不含电辅加热)</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5、额定制冷功率≤5100W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6、额定制热功率≤4700W(不含电辅加热)</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7、电辅加热功率≤2500W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8、循环风量≥1800m³/h</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9、室内机噪音最大值≤54dB(A)</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10、室外机噪音最大值≤64dB(A)</w:t>
            </w:r>
          </w:p>
        </w:tc>
        <w:tc>
          <w:tcPr>
            <w:tcW w:w="4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6DAE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套</w:t>
            </w:r>
          </w:p>
        </w:tc>
        <w:tc>
          <w:tcPr>
            <w:tcW w:w="6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26B3D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12</w:t>
            </w:r>
          </w:p>
        </w:tc>
      </w:tr>
      <w:tr w14:paraId="41A2E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18"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70C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2</w:t>
            </w:r>
          </w:p>
        </w:tc>
        <w:tc>
          <w:tcPr>
            <w:tcW w:w="19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31D02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黑白A4双面打印机</w:t>
            </w:r>
          </w:p>
        </w:tc>
        <w:tc>
          <w:tcPr>
            <w:tcW w:w="4894" w:type="dxa"/>
            <w:tcBorders>
              <w:top w:val="single" w:color="000000" w:sz="4" w:space="0"/>
              <w:left w:val="single" w:color="000000" w:sz="4" w:space="0"/>
              <w:bottom w:val="single" w:color="000000" w:sz="4" w:space="0"/>
              <w:right w:val="single" w:color="000000" w:sz="4" w:space="0"/>
            </w:tcBorders>
            <w:shd w:val="clear" w:color="auto" w:fill="FFFFFF"/>
            <w:noWrap/>
            <w:vAlign w:val="top"/>
          </w:tcPr>
          <w:p w14:paraId="4472233D">
            <w:pPr>
              <w:keepNext w:val="0"/>
              <w:keepLines w:val="0"/>
              <w:widowControl/>
              <w:numPr>
                <w:ilvl w:val="0"/>
                <w:numId w:val="1"/>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打印速度：≥30页/分钟</w:t>
            </w:r>
          </w:p>
          <w:p w14:paraId="5A5C237F">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2、分辨率：≥600*600dpi;</w:t>
            </w:r>
          </w:p>
          <w:p w14:paraId="062B1ABC">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4、内存容量：≥256MB</w:t>
            </w:r>
          </w:p>
          <w:p w14:paraId="3B817C50">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5、首页打印时间：≤6.9秒</w:t>
            </w:r>
          </w:p>
          <w:p w14:paraId="4628425C">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6、功能：打印、复印、扫描、自动双面</w:t>
            </w:r>
          </w:p>
          <w:p w14:paraId="7A37935F">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7、复印功能：身份证复印、票据复印、多页合一复印、克隆复印、海报复印、自动双面复印、逐份复印</w:t>
            </w:r>
          </w:p>
          <w:p w14:paraId="06241B34">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8、扫描：平板+ADF≥50页 </w:t>
            </w:r>
          </w:p>
          <w:p w14:paraId="5DE7BDB1">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9、接口：高速 USB 2.0 ; 有线网络：IEEE 802.3 10/100Base-Tx</w:t>
            </w:r>
          </w:p>
          <w:p w14:paraId="65FCFEC3">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10、打印语言：PCL5e、PCL6、PS、PDF</w:t>
            </w:r>
          </w:p>
          <w:p w14:paraId="7624F9C3">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11、鼓粉分离鼓组件：≥20000页，粉盒：≥4000页</w:t>
            </w:r>
          </w:p>
        </w:tc>
        <w:tc>
          <w:tcPr>
            <w:tcW w:w="4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072B7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台</w:t>
            </w:r>
          </w:p>
        </w:tc>
        <w:tc>
          <w:tcPr>
            <w:tcW w:w="6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87FB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7</w:t>
            </w:r>
          </w:p>
        </w:tc>
      </w:tr>
      <w:tr w14:paraId="6C660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56"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D74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3</w:t>
            </w:r>
          </w:p>
        </w:tc>
        <w:tc>
          <w:tcPr>
            <w:tcW w:w="19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D7E7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3P立式空调</w:t>
            </w:r>
          </w:p>
        </w:tc>
        <w:tc>
          <w:tcPr>
            <w:tcW w:w="4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EBE38A">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auto"/>
                <w:kern w:val="0"/>
                <w:sz w:val="18"/>
                <w:szCs w:val="18"/>
                <w:highlight w:val="none"/>
                <w:u w:val="none"/>
                <w:lang w:val="en-US" w:eastAsia="zh-CN" w:bidi="ar"/>
              </w:rPr>
              <w:t>一级节能</w:t>
            </w:r>
          </w:p>
          <w:p w14:paraId="6D594039">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1、冷暖两用、220V</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2、全年能源消耗效率APF≥3.7</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3、额定制冷量≥7200W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4、额定制热量≥8500W(不含电辅加热)</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5、额定制冷功率≤2400W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6、额定制热功率≤3100W(不含电辅加热)</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7、电辅加热功率≤2400W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8、循环风量≥1300m³/h</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9、室内机噪音最大值≤52dB(A)</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10、室外机噪音最大值≤63dB(A)</w:t>
            </w:r>
          </w:p>
        </w:tc>
        <w:tc>
          <w:tcPr>
            <w:tcW w:w="4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4707D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套</w:t>
            </w:r>
          </w:p>
        </w:tc>
        <w:tc>
          <w:tcPr>
            <w:tcW w:w="6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6BF7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5</w:t>
            </w:r>
          </w:p>
        </w:tc>
      </w:tr>
      <w:tr w14:paraId="21736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92"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1B3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4</w:t>
            </w:r>
          </w:p>
        </w:tc>
        <w:tc>
          <w:tcPr>
            <w:tcW w:w="19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40A3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3P天花机空调</w:t>
            </w:r>
          </w:p>
        </w:tc>
        <w:tc>
          <w:tcPr>
            <w:tcW w:w="4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86186A">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auto"/>
                <w:kern w:val="0"/>
                <w:sz w:val="18"/>
                <w:szCs w:val="18"/>
                <w:highlight w:val="none"/>
                <w:u w:val="none"/>
                <w:lang w:val="en-US" w:eastAsia="zh-CN" w:bidi="ar"/>
              </w:rPr>
              <w:t>一级节能</w:t>
            </w:r>
          </w:p>
          <w:p w14:paraId="25A61179">
            <w:pPr>
              <w:keepNext w:val="0"/>
              <w:keepLines w:val="0"/>
              <w:widowControl/>
              <w:numPr>
                <w:ilvl w:val="0"/>
                <w:numId w:val="2"/>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冷暖两用、220V</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2、全年能源消耗效率APF≥3.7</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3、额定制冷量≥7200W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4、额定制热量≥8600W(不含电辅加热)</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5、额定制冷功率≤2600W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6、额定制热功率≤3000W(不含电辅加热)</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7、电辅加热功率≤2000W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8、循环风量≥1150m³/h</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9、室内机噪音最大值≤53dB(A)</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10、室外机噪音最大值≤62dB（A）</w:t>
            </w:r>
          </w:p>
        </w:tc>
        <w:tc>
          <w:tcPr>
            <w:tcW w:w="4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5016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套</w:t>
            </w:r>
          </w:p>
        </w:tc>
        <w:tc>
          <w:tcPr>
            <w:tcW w:w="6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9653CF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4</w:t>
            </w:r>
          </w:p>
        </w:tc>
      </w:tr>
      <w:tr w14:paraId="5F615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72"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C65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5</w:t>
            </w:r>
          </w:p>
        </w:tc>
        <w:tc>
          <w:tcPr>
            <w:tcW w:w="19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DE023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2P挂壁式空调</w:t>
            </w:r>
          </w:p>
        </w:tc>
        <w:tc>
          <w:tcPr>
            <w:tcW w:w="4894" w:type="dxa"/>
            <w:tcBorders>
              <w:top w:val="single" w:color="000000" w:sz="4" w:space="0"/>
              <w:left w:val="single" w:color="000000" w:sz="4" w:space="0"/>
              <w:bottom w:val="single" w:color="000000" w:sz="4" w:space="0"/>
              <w:right w:val="single" w:color="000000" w:sz="4" w:space="0"/>
            </w:tcBorders>
            <w:shd w:val="clear" w:color="auto" w:fill="FFFFFF"/>
            <w:vAlign w:val="top"/>
          </w:tcPr>
          <w:p w14:paraId="3367C8A2">
            <w:pPr>
              <w:jc w:val="left"/>
              <w:rPr>
                <w:rFonts w:hint="eastAsia" w:asciiTheme="minorEastAsia" w:hAnsiTheme="minorEastAsia" w:eastAsiaTheme="minorEastAsia" w:cstheme="minorEastAsia"/>
                <w:b/>
                <w:bCs/>
                <w:i w:val="0"/>
                <w:iCs w:val="0"/>
                <w:color w:val="auto"/>
                <w:sz w:val="18"/>
                <w:szCs w:val="18"/>
                <w:highlight w:val="none"/>
                <w:u w:val="none"/>
                <w:lang w:val="en-US" w:eastAsia="zh-CN"/>
              </w:rPr>
            </w:pPr>
            <w:r>
              <w:rPr>
                <w:rFonts w:hint="eastAsia" w:asciiTheme="minorEastAsia" w:hAnsiTheme="minorEastAsia" w:eastAsiaTheme="minorEastAsia" w:cstheme="minorEastAsia"/>
                <w:b/>
                <w:bCs/>
                <w:i w:val="0"/>
                <w:iCs w:val="0"/>
                <w:color w:val="auto"/>
                <w:sz w:val="18"/>
                <w:szCs w:val="18"/>
                <w:highlight w:val="none"/>
                <w:u w:val="none"/>
                <w:lang w:val="en-US" w:eastAsia="zh-CN"/>
              </w:rPr>
              <w:t>一级节能</w:t>
            </w:r>
          </w:p>
          <w:p w14:paraId="3C9B2D7E">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1、冷暖两用、220V</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2、全年能源消耗效率APF≥4.2</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3、额定制冷量≥5000W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4、额定制热量≥7000W( 不含电辅加热)</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5、额定制冷功率≤1500W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6、额定制热功率≤2200W(不含电辅加热)</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7、电辅加热功率≤1400W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8、循环风量≥850m³/h</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9、空调室内机噪音最大值≤52dB(A)</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10、空调室外机噪音最大值≤61dB(A)</w:t>
            </w:r>
          </w:p>
        </w:tc>
        <w:tc>
          <w:tcPr>
            <w:tcW w:w="4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61CC7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台</w:t>
            </w:r>
          </w:p>
        </w:tc>
        <w:tc>
          <w:tcPr>
            <w:tcW w:w="6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B69B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4</w:t>
            </w:r>
          </w:p>
        </w:tc>
      </w:tr>
      <w:tr w14:paraId="32B66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31"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E9C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6</w:t>
            </w:r>
          </w:p>
        </w:tc>
        <w:tc>
          <w:tcPr>
            <w:tcW w:w="19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6BF1AA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台式电脑</w:t>
            </w:r>
          </w:p>
        </w:tc>
        <w:tc>
          <w:tcPr>
            <w:tcW w:w="4894" w:type="dxa"/>
            <w:tcBorders>
              <w:top w:val="single" w:color="000000" w:sz="4" w:space="0"/>
              <w:left w:val="single" w:color="000000" w:sz="4" w:space="0"/>
              <w:bottom w:val="single" w:color="000000" w:sz="4" w:space="0"/>
              <w:right w:val="single" w:color="000000" w:sz="4" w:space="0"/>
            </w:tcBorders>
            <w:shd w:val="clear" w:color="auto" w:fill="FFFFFF"/>
            <w:vAlign w:val="top"/>
          </w:tcPr>
          <w:p w14:paraId="53C7C35B">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1、处理器：≥ 14核心20线程，基础频率≥2.6GHz，11.5MB缓存； </w:t>
            </w:r>
          </w:p>
          <w:p w14:paraId="6B30B5DB">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2、内存：≥16GB DDR5 4800MHz； </w:t>
            </w:r>
          </w:p>
          <w:p w14:paraId="7D45DE6A">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3、存储：≥1T M.2 NVMe固态硬盘；读写速度≥ 2000MB/s </w:t>
            </w:r>
          </w:p>
          <w:p w14:paraId="407852BD">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4、电源：额定≥180W电源； </w:t>
            </w:r>
          </w:p>
          <w:p w14:paraId="7B3B8116">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5、网络：集成千兆自适应以太网卡； </w:t>
            </w:r>
          </w:p>
          <w:p w14:paraId="5D09DE25">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6、显示器：≥27寸显示器 ,分辨率：1920*1080， 带HDMI和VGA接口； </w:t>
            </w:r>
          </w:p>
          <w:p w14:paraId="259F4BDE">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7、所有配置必须原厂原装，不接受其他改装配置； </w:t>
            </w:r>
          </w:p>
          <w:p w14:paraId="7F14A8BF">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8、配备鼠标键盘。 </w:t>
            </w:r>
          </w:p>
          <w:p w14:paraId="3850F07D">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auto"/>
                <w:kern w:val="0"/>
                <w:sz w:val="18"/>
                <w:szCs w:val="18"/>
                <w:highlight w:val="none"/>
                <w:u w:val="none"/>
                <w:lang w:val="en-US" w:eastAsia="zh-CN" w:bidi="ar"/>
              </w:rPr>
              <w:t>9、必须符合财政部工业和信息化部关于印发《台式计算机政府采购需求标准（2023年版）》的通知（财库〔2023〕29号文中带*的规定。</w:t>
            </w:r>
          </w:p>
        </w:tc>
        <w:tc>
          <w:tcPr>
            <w:tcW w:w="4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E3937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台</w:t>
            </w:r>
          </w:p>
        </w:tc>
        <w:tc>
          <w:tcPr>
            <w:tcW w:w="6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689E5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10</w:t>
            </w:r>
          </w:p>
        </w:tc>
      </w:tr>
      <w:tr w14:paraId="549BE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813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7</w:t>
            </w:r>
          </w:p>
        </w:tc>
        <w:tc>
          <w:tcPr>
            <w:tcW w:w="19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C01D8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笔记本电脑</w:t>
            </w:r>
          </w:p>
        </w:tc>
        <w:tc>
          <w:tcPr>
            <w:tcW w:w="489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62C232B">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1、处理器：≥12核、≥16线程 主频≥2.7GHz；</w:t>
            </w:r>
          </w:p>
          <w:p w14:paraId="313D716D">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2、内存：≥16G DDR5 内存，标配双内存插槽； </w:t>
            </w:r>
          </w:p>
          <w:p w14:paraId="742A87B6">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3、硬盘：≥512G M.2 NVMe固态硬盘；读写速度≥2000MB/s </w:t>
            </w:r>
          </w:p>
          <w:p w14:paraId="435DB4DE">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4、显示屏：≥14＂ LED雾面防眩光液晶显示屏； </w:t>
            </w:r>
          </w:p>
          <w:p w14:paraId="297663E1">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5、网卡：≥802.11 AX无线网卡（支持WIFI6协议， 蓝牙5.0协议）； </w:t>
            </w:r>
          </w:p>
          <w:p w14:paraId="55608D53">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6、摄像头：≥720P高清摄像头； </w:t>
            </w:r>
          </w:p>
          <w:p w14:paraId="3E2B56A6">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7、电池：内置≥60WHr及以上锂电池； </w:t>
            </w:r>
          </w:p>
          <w:p w14:paraId="1C8A3A86">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8、体积：重量≤1.42KG（含电池），厚度≤16.9mm； </w:t>
            </w:r>
          </w:p>
          <w:p w14:paraId="4368B9FD">
            <w:pPr>
              <w:jc w:val="left"/>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 xml:space="preserve">9、配备鼠标键盘。 </w:t>
            </w:r>
          </w:p>
          <w:p w14:paraId="5A7204EE">
            <w:pPr>
              <w:jc w:val="left"/>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b/>
                <w:bCs/>
                <w:i w:val="0"/>
                <w:iCs w:val="0"/>
                <w:color w:val="auto"/>
                <w:kern w:val="0"/>
                <w:sz w:val="18"/>
                <w:szCs w:val="18"/>
                <w:highlight w:val="none"/>
                <w:u w:val="none"/>
                <w:lang w:val="en-US" w:eastAsia="zh-CN" w:bidi="ar"/>
              </w:rPr>
              <w:t>10.必须符合财政部工业和信息化部关于印发《便携式计算机政府采购需求标准（2023年版）》的通知（财库〔2023〕30号）中带*的规定。</w:t>
            </w:r>
          </w:p>
        </w:tc>
        <w:tc>
          <w:tcPr>
            <w:tcW w:w="4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B64F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台</w:t>
            </w:r>
          </w:p>
        </w:tc>
        <w:tc>
          <w:tcPr>
            <w:tcW w:w="6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132B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2</w:t>
            </w:r>
          </w:p>
        </w:tc>
      </w:tr>
      <w:tr w14:paraId="2E836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3"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934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8</w:t>
            </w:r>
          </w:p>
        </w:tc>
        <w:tc>
          <w:tcPr>
            <w:tcW w:w="19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5012E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彩色A3双面打印机</w:t>
            </w:r>
          </w:p>
        </w:tc>
        <w:tc>
          <w:tcPr>
            <w:tcW w:w="489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A17E163">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打印速度：≥20页/分钟(黑白彩色)；</w:t>
            </w:r>
          </w:p>
          <w:p w14:paraId="050A54DC">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打印分辨率：≥1200*1200dpi</w:t>
            </w:r>
          </w:p>
          <w:p w14:paraId="259D3BA8">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复印、扫描分辨率：≥600*600dpi；</w:t>
            </w:r>
          </w:p>
          <w:p w14:paraId="01336121">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扫描速度：≥40页/分钟(黑白彩色)；</w:t>
            </w:r>
          </w:p>
          <w:p w14:paraId="1538CB3C">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支持U盘扫描；配置彩色扫描功能，支持推扫描及拉扫描；供纸能力：≥1200页供纸能力（2*550页纸盒+100页旁路纸盒）；</w:t>
            </w:r>
          </w:p>
          <w:p w14:paraId="215ECFB3">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内存：≥2GB；</w:t>
            </w:r>
          </w:p>
          <w:p w14:paraId="4B469695">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硬盘：≥128GB；</w:t>
            </w:r>
          </w:p>
          <w:p w14:paraId="74CF2E3A">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显示屏：≥7英寸显示屏；</w:t>
            </w:r>
          </w:p>
          <w:p w14:paraId="5D7C0D1D">
            <w:pPr>
              <w:keepNext w:val="0"/>
              <w:keepLines w:val="0"/>
              <w:widowControl/>
              <w:numPr>
                <w:ilvl w:val="0"/>
                <w:numId w:val="0"/>
              </w:numPr>
              <w:suppressLineNumbers w:val="0"/>
              <w:jc w:val="left"/>
              <w:textAlignment w:val="center"/>
              <w:rPr>
                <w:rFonts w:hint="default"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首页复印速度≤8秒（黑白）、10秒（彩色）、预热时间≤30秒。</w:t>
            </w:r>
          </w:p>
        </w:tc>
        <w:tc>
          <w:tcPr>
            <w:tcW w:w="4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FF75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台</w:t>
            </w:r>
          </w:p>
        </w:tc>
        <w:tc>
          <w:tcPr>
            <w:tcW w:w="6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61D0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w:t>
            </w:r>
          </w:p>
        </w:tc>
      </w:tr>
      <w:tr w14:paraId="67EEB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34F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9</w:t>
            </w:r>
          </w:p>
        </w:tc>
        <w:tc>
          <w:tcPr>
            <w:tcW w:w="19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A77BA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碎纸机</w:t>
            </w:r>
          </w:p>
        </w:tc>
        <w:tc>
          <w:tcPr>
            <w:tcW w:w="489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89CECF">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1、碎纸效果（mm）2*12</w:t>
            </w:r>
          </w:p>
          <w:p w14:paraId="16A6E9EE">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2、连续碎纸时间≥60分钟</w:t>
            </w:r>
          </w:p>
          <w:p w14:paraId="000126C3">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3、可碎CD</w:t>
            </w:r>
          </w:p>
          <w:p w14:paraId="7BADE793">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4、碎纸张数≥8张</w:t>
            </w:r>
          </w:p>
          <w:p w14:paraId="2850BF1D">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5、碎纸箱容量≥20升</w:t>
            </w:r>
          </w:p>
          <w:p w14:paraId="1FD3721F">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6、5级保密等级</w:t>
            </w:r>
          </w:p>
        </w:tc>
        <w:tc>
          <w:tcPr>
            <w:tcW w:w="4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5139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台</w:t>
            </w:r>
          </w:p>
        </w:tc>
        <w:tc>
          <w:tcPr>
            <w:tcW w:w="6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0064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w:t>
            </w:r>
          </w:p>
        </w:tc>
      </w:tr>
      <w:tr w14:paraId="505D0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7"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099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10</w:t>
            </w:r>
          </w:p>
        </w:tc>
        <w:tc>
          <w:tcPr>
            <w:tcW w:w="19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30899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室外LED显示屏</w:t>
            </w:r>
          </w:p>
        </w:tc>
        <w:tc>
          <w:tcPr>
            <w:tcW w:w="489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4F9C4A9">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含室外一体支架、配套视频处理器、配电柜、电源、控制器、线路等配套设备</w:t>
            </w:r>
          </w:p>
          <w:p w14:paraId="1B25F729">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一、显示屏参数：</w:t>
            </w:r>
          </w:p>
          <w:p w14:paraId="041252ED">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像素点间距：≤2.5mm</w:t>
            </w:r>
          </w:p>
          <w:p w14:paraId="6AA19C8F">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单元板分辨率：≥8192 Dots</w:t>
            </w:r>
          </w:p>
          <w:p w14:paraId="2BAC8F15">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像素构成：1R、1G、1B</w:t>
            </w:r>
          </w:p>
          <w:p w14:paraId="6E357518">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封装方式：SMD表贴三合一</w:t>
            </w:r>
          </w:p>
          <w:p w14:paraId="54E51211">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驱动方式：恒流驱动</w:t>
            </w:r>
          </w:p>
          <w:p w14:paraId="68FCFB6B">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控制方式：同步控制系统</w:t>
            </w:r>
          </w:p>
          <w:p w14:paraId="207BB5BD">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整屏平整度≤0.1mm</w:t>
            </w:r>
          </w:p>
          <w:p w14:paraId="13C17C37">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白平衡亮度：0-6000cd/㎡可调，亮度调节：0-100%亮度可调，256级手动/自动调节，屏幕亮度具有随环境照度的变化任意调整功能</w:t>
            </w:r>
          </w:p>
          <w:p w14:paraId="36C116A5">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亮度均匀性≥95%</w:t>
            </w:r>
          </w:p>
          <w:p w14:paraId="10B49F5E">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水平视角≥170°</w:t>
            </w:r>
          </w:p>
          <w:p w14:paraId="4E57A962">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垂直视角≥170°</w:t>
            </w:r>
          </w:p>
          <w:p w14:paraId="614DC349">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对比度≥5000：1</w:t>
            </w:r>
          </w:p>
          <w:p w14:paraId="75761DFD">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峰值功耗≤600W/m²</w:t>
            </w:r>
          </w:p>
          <w:p w14:paraId="61541252">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平均功耗≤165W/m²</w:t>
            </w:r>
          </w:p>
          <w:p w14:paraId="411C7523">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供电电源：在4.0*（1±10%）VDC～4.8*（1±10%）VDC范围内能正常工作</w:t>
            </w:r>
          </w:p>
          <w:p w14:paraId="24992368">
            <w:pPr>
              <w:numPr>
                <w:ilvl w:val="0"/>
                <w:numId w:val="3"/>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防护性能：具有防静电、防电磁干扰、防腐蚀、防霉菌、防虫、防潮、抗震动、抗雷击等功能；具有电源过压、过流、断电保护、分布上电措施、防护等级达到IP65</w:t>
            </w:r>
          </w:p>
          <w:p w14:paraId="37B4D7AA">
            <w:pPr>
              <w:pStyle w:val="5"/>
              <w:numPr>
                <w:ilvl w:val="0"/>
                <w:numId w:val="3"/>
              </w:numPr>
              <w:ind w:left="0" w:leftChars="0" w:firstLine="0" w:firstLineChars="0"/>
              <w:jc w:val="left"/>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色坐标X、Y坐标符合SJ/T11141-2017 5.10.5规定；色度均匀性±0.00</w:t>
            </w:r>
            <w:r>
              <w:rPr>
                <w:rFonts w:hint="eastAsia" w:asciiTheme="minorEastAsia" w:hAnsiTheme="minorEastAsia" w:cstheme="minorEastAsia"/>
                <w:b w:val="0"/>
                <w:bCs w:val="0"/>
                <w:color w:val="auto"/>
                <w:sz w:val="18"/>
                <w:szCs w:val="18"/>
                <w:highlight w:val="none"/>
                <w:lang w:val="en-US" w:eastAsia="zh-CN"/>
              </w:rPr>
              <w:t>4</w:t>
            </w:r>
            <w:r>
              <w:rPr>
                <w:rFonts w:hint="eastAsia" w:asciiTheme="minorEastAsia" w:hAnsiTheme="minorEastAsia" w:eastAsiaTheme="minorEastAsia" w:cstheme="minorEastAsia"/>
                <w:b w:val="0"/>
                <w:bCs w:val="0"/>
                <w:color w:val="auto"/>
                <w:sz w:val="18"/>
                <w:szCs w:val="18"/>
                <w:highlight w:val="none"/>
                <w:lang w:val="en-US" w:eastAsia="zh-CN"/>
              </w:rPr>
              <w:t>Cx、Cy内；色域空间≥</w:t>
            </w:r>
            <w:r>
              <w:rPr>
                <w:rFonts w:hint="eastAsia" w:asciiTheme="minorEastAsia" w:hAnsiTheme="minorEastAsia" w:cstheme="minorEastAsia"/>
                <w:b w:val="0"/>
                <w:bCs w:val="0"/>
                <w:color w:val="auto"/>
                <w:sz w:val="18"/>
                <w:szCs w:val="18"/>
                <w:highlight w:val="none"/>
                <w:lang w:val="en-US" w:eastAsia="zh-CN"/>
              </w:rPr>
              <w:t>9</w:t>
            </w:r>
            <w:r>
              <w:rPr>
                <w:rFonts w:hint="eastAsia" w:asciiTheme="minorEastAsia" w:hAnsiTheme="minorEastAsia" w:eastAsiaTheme="minorEastAsia" w:cstheme="minorEastAsia"/>
                <w:b w:val="0"/>
                <w:bCs w:val="0"/>
                <w:color w:val="auto"/>
                <w:sz w:val="18"/>
                <w:szCs w:val="18"/>
                <w:highlight w:val="none"/>
                <w:lang w:val="en-US" w:eastAsia="zh-CN"/>
              </w:rPr>
              <w:t>0% NTSC，LED显示屏ColorSPace覆盖率≥1</w:t>
            </w:r>
            <w:r>
              <w:rPr>
                <w:rFonts w:hint="eastAsia" w:asciiTheme="minorEastAsia" w:hAnsiTheme="minorEastAsia" w:cstheme="minorEastAsia"/>
                <w:b w:val="0"/>
                <w:bCs w:val="0"/>
                <w:color w:val="auto"/>
                <w:sz w:val="18"/>
                <w:szCs w:val="18"/>
                <w:highlight w:val="none"/>
                <w:lang w:val="en-US" w:eastAsia="zh-CN"/>
              </w:rPr>
              <w:t>1</w:t>
            </w:r>
            <w:r>
              <w:rPr>
                <w:rFonts w:hint="eastAsia" w:asciiTheme="minorEastAsia" w:hAnsiTheme="minorEastAsia" w:eastAsiaTheme="minorEastAsia" w:cstheme="minorEastAsia"/>
                <w:b w:val="0"/>
                <w:bCs w:val="0"/>
                <w:color w:val="auto"/>
                <w:sz w:val="18"/>
                <w:szCs w:val="18"/>
                <w:highlight w:val="none"/>
                <w:lang w:val="en-US" w:eastAsia="zh-CN"/>
              </w:rPr>
              <w:t>0%YUV(PAL)</w:t>
            </w:r>
          </w:p>
          <w:p w14:paraId="6B1303AE">
            <w:pPr>
              <w:numPr>
                <w:ilvl w:val="0"/>
                <w:numId w:val="0"/>
              </w:numPr>
              <w:tabs>
                <w:tab w:val="left" w:pos="0"/>
              </w:tabs>
              <w:ind w:leftChars="0"/>
              <w:jc w:val="left"/>
              <w:rPr>
                <w:rFonts w:hint="eastAsia" w:asciiTheme="minorEastAsia" w:hAnsiTheme="minorEastAsia" w:eastAsiaTheme="minorEastAsia" w:cstheme="minorEastAsia"/>
                <w:b/>
                <w:bCs/>
                <w:color w:val="auto"/>
                <w:sz w:val="18"/>
                <w:szCs w:val="18"/>
                <w:highlight w:val="none"/>
                <w:lang w:val="en-US" w:eastAsia="zh-CN"/>
              </w:rPr>
            </w:pPr>
            <w:r>
              <w:rPr>
                <w:rFonts w:hint="eastAsia" w:asciiTheme="minorEastAsia" w:hAnsiTheme="minorEastAsia" w:eastAsiaTheme="minorEastAsia" w:cstheme="minorEastAsia"/>
                <w:b/>
                <w:bCs/>
                <w:color w:val="auto"/>
                <w:sz w:val="18"/>
                <w:szCs w:val="18"/>
                <w:highlight w:val="none"/>
                <w:lang w:val="en-US" w:eastAsia="zh-CN"/>
              </w:rPr>
              <w:t>二、</w:t>
            </w:r>
            <w:r>
              <w:rPr>
                <w:rFonts w:hint="eastAsia" w:asciiTheme="minorEastAsia" w:hAnsiTheme="minorEastAsia" w:eastAsiaTheme="minorEastAsia" w:cstheme="minorEastAsia"/>
                <w:b/>
                <w:bCs/>
                <w:color w:val="auto"/>
                <w:sz w:val="18"/>
                <w:szCs w:val="18"/>
                <w:highlight w:val="none"/>
                <w:vertAlign w:val="baseline"/>
                <w:lang w:val="en-US" w:eastAsia="zh-CN"/>
              </w:rPr>
              <w:t>信号监控编排器</w:t>
            </w:r>
            <w:r>
              <w:rPr>
                <w:rFonts w:hint="eastAsia" w:asciiTheme="minorEastAsia" w:hAnsiTheme="minorEastAsia" w:eastAsiaTheme="minorEastAsia" w:cstheme="minorEastAsia"/>
                <w:b/>
                <w:bCs/>
                <w:color w:val="auto"/>
                <w:sz w:val="18"/>
                <w:szCs w:val="18"/>
                <w:highlight w:val="none"/>
                <w:lang w:val="en-US" w:eastAsia="zh-CN"/>
              </w:rPr>
              <w:t>信</w:t>
            </w:r>
          </w:p>
          <w:p w14:paraId="727A57ED">
            <w:pPr>
              <w:numPr>
                <w:ilvl w:val="0"/>
                <w:numId w:val="4"/>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信号输入：≥3路HDMI1.4、≥1路HDMI2.0、≥1路VGA、、≥1路CVBS、≥1路AUDIO-in、≥2路USB输入、≥1路内置麦克风。</w:t>
            </w:r>
          </w:p>
          <w:p w14:paraId="30390487">
            <w:pPr>
              <w:numPr>
                <w:ilvl w:val="0"/>
                <w:numId w:val="4"/>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信号输出：≥2路HDMI OUT、≥1路AUDIO-out、≥4路SFP光纤接口、≥8路网口输出、≥2路USB输出。</w:t>
            </w:r>
          </w:p>
          <w:p w14:paraId="266ABE8C">
            <w:pPr>
              <w:numPr>
                <w:ilvl w:val="0"/>
                <w:numId w:val="4"/>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控制接口：≥1路WAN口、≥1路LAN口、≥1路WiFi天线口、≥1路irda红外传感器接口、≥1路RS232、≥1路RS485。</w:t>
            </w:r>
          </w:p>
          <w:p w14:paraId="39241276">
            <w:pPr>
              <w:numPr>
                <w:ilvl w:val="0"/>
                <w:numId w:val="4"/>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设备具有手机、平板、电脑等多媒体无线投屏功能。</w:t>
            </w:r>
          </w:p>
          <w:p w14:paraId="7B15336E">
            <w:pPr>
              <w:numPr>
                <w:ilvl w:val="0"/>
                <w:numId w:val="4"/>
              </w:numPr>
              <w:ind w:left="0" w:leftChars="0" w:firstLine="0" w:firstLine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为保障设备使用安全，避免非法人员操作导致的安全事故发生，要求设备安全控制能力。</w:t>
            </w:r>
          </w:p>
          <w:p w14:paraId="2D0DB76F">
            <w:pPr>
              <w:numPr>
                <w:ilvl w:val="0"/>
                <w:numId w:val="0"/>
              </w:numPr>
              <w:tabs>
                <w:tab w:val="left" w:pos="0"/>
              </w:tabs>
              <w:ind w:leftChars="0"/>
              <w:jc w:val="left"/>
              <w:rPr>
                <w:rFonts w:hint="eastAsia" w:asciiTheme="minorEastAsia" w:hAnsiTheme="minorEastAsia" w:eastAsiaTheme="minorEastAsia" w:cstheme="minorEastAsia"/>
                <w:b/>
                <w:bCs/>
                <w:color w:val="auto"/>
                <w:kern w:val="0"/>
                <w:sz w:val="18"/>
                <w:szCs w:val="18"/>
                <w:highlight w:val="none"/>
                <w:lang w:val="en-US" w:eastAsia="zh-CN" w:bidi="ar-SA"/>
              </w:rPr>
            </w:pPr>
            <w:r>
              <w:rPr>
                <w:rFonts w:hint="eastAsia" w:asciiTheme="minorEastAsia" w:hAnsiTheme="minorEastAsia" w:eastAsiaTheme="minorEastAsia" w:cstheme="minorEastAsia"/>
                <w:b/>
                <w:bCs/>
                <w:color w:val="auto"/>
                <w:sz w:val="18"/>
                <w:szCs w:val="18"/>
                <w:highlight w:val="none"/>
                <w:lang w:val="en-US" w:eastAsia="zh-CN"/>
              </w:rPr>
              <w:t>三、</w:t>
            </w:r>
            <w:r>
              <w:rPr>
                <w:rFonts w:hint="eastAsia" w:asciiTheme="minorEastAsia" w:hAnsiTheme="minorEastAsia" w:eastAsiaTheme="minorEastAsia" w:cstheme="minorEastAsia"/>
                <w:b/>
                <w:bCs/>
                <w:color w:val="auto"/>
                <w:kern w:val="0"/>
                <w:sz w:val="18"/>
                <w:szCs w:val="18"/>
                <w:highlight w:val="none"/>
                <w:lang w:val="en-US" w:eastAsia="zh-CN" w:bidi="ar-SA"/>
              </w:rPr>
              <w:t>数据监测解码网关</w:t>
            </w:r>
          </w:p>
          <w:p w14:paraId="7837D605">
            <w:pPr>
              <w:numPr>
                <w:ilvl w:val="0"/>
                <w:numId w:val="0"/>
              </w:numPr>
              <w:tabs>
                <w:tab w:val="left" w:pos="0"/>
              </w:tabs>
              <w:ind w:left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1、数据监测解码网关具有网络数据安全监测审计能力，可监测、记录产品自身运行状态和重要操作。</w:t>
            </w:r>
          </w:p>
          <w:p w14:paraId="6C3EE373">
            <w:pPr>
              <w:numPr>
                <w:ilvl w:val="0"/>
                <w:numId w:val="0"/>
              </w:numPr>
              <w:tabs>
                <w:tab w:val="left" w:pos="0"/>
              </w:tabs>
              <w:ind w:left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2、嵌入式内核程序可对接收到的数据进行鉴别和传输分配，数据传输和存储过程中具有冗余备份能力，确保数据传输的完整性和安全性。</w:t>
            </w:r>
          </w:p>
          <w:p w14:paraId="3B317943">
            <w:pPr>
              <w:numPr>
                <w:ilvl w:val="0"/>
                <w:numId w:val="0"/>
              </w:numPr>
              <w:tabs>
                <w:tab w:val="left" w:pos="0"/>
              </w:tabs>
              <w:ind w:left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3、‌数据采集‌：支持从多媒体显示设备中获取原始数据，支持多协议接入。</w:t>
            </w:r>
          </w:p>
          <w:p w14:paraId="7EFE1B60">
            <w:pPr>
              <w:numPr>
                <w:ilvl w:val="0"/>
                <w:numId w:val="0"/>
              </w:numPr>
              <w:tabs>
                <w:tab w:val="left" w:pos="0"/>
              </w:tabs>
              <w:ind w:leftChars="0"/>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4、‌协议转换‌：支持将设备数据转换为云端可识别的格式，实现不同网络或协议间的通信。</w:t>
            </w:r>
          </w:p>
          <w:p w14:paraId="7809ABDD">
            <w:pPr>
              <w:numPr>
                <w:ilvl w:val="0"/>
                <w:numId w:val="0"/>
              </w:numPr>
              <w:tabs>
                <w:tab w:val="left" w:pos="0"/>
              </w:tabs>
              <w:ind w:leftChars="0"/>
              <w:rPr>
                <w:rFonts w:hint="eastAsia" w:asciiTheme="minorEastAsia" w:hAnsiTheme="minorEastAsia" w:eastAsiaTheme="minorEastAsia" w:cstheme="minorEastAsia"/>
                <w:b/>
                <w:bCs/>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5、‌安全传输‌：采用TLS/SSL加密和访问控制机制，保障数据传输安全‌。 ‌</w:t>
            </w:r>
          </w:p>
          <w:p w14:paraId="17D6A267">
            <w:pPr>
              <w:numPr>
                <w:ilvl w:val="0"/>
                <w:numId w:val="0"/>
              </w:numPr>
              <w:rPr>
                <w:rFonts w:hint="eastAsia" w:asciiTheme="minorEastAsia" w:hAnsiTheme="minorEastAsia" w:eastAsiaTheme="minorEastAsia" w:cstheme="minorEastAsia"/>
                <w:b/>
                <w:bCs/>
                <w:color w:val="auto"/>
                <w:sz w:val="18"/>
                <w:szCs w:val="18"/>
                <w:highlight w:val="none"/>
                <w:lang w:val="en-US" w:eastAsia="zh-CN"/>
              </w:rPr>
            </w:pPr>
            <w:r>
              <w:rPr>
                <w:rFonts w:hint="eastAsia" w:asciiTheme="minorEastAsia" w:hAnsiTheme="minorEastAsia" w:eastAsiaTheme="minorEastAsia" w:cstheme="minorEastAsia"/>
                <w:b/>
                <w:bCs/>
                <w:color w:val="auto"/>
                <w:sz w:val="18"/>
                <w:szCs w:val="18"/>
                <w:highlight w:val="none"/>
                <w:lang w:val="en-US" w:eastAsia="zh-CN"/>
              </w:rPr>
              <w:t>四、全彩电源</w:t>
            </w:r>
          </w:p>
          <w:p w14:paraId="50575C23">
            <w:pPr>
              <w:numPr>
                <w:ilvl w:val="0"/>
                <w:numId w:val="5"/>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输入电压：Vac176-264VAC</w:t>
            </w:r>
          </w:p>
          <w:p w14:paraId="26994DA6">
            <w:pPr>
              <w:numPr>
                <w:ilvl w:val="0"/>
                <w:numId w:val="5"/>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输出电压：4.2-4.5Vdc/40A-50A</w:t>
            </w:r>
          </w:p>
          <w:p w14:paraId="2B76669F">
            <w:pPr>
              <w:numPr>
                <w:ilvl w:val="0"/>
                <w:numId w:val="5"/>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输入频率范围：47</w:t>
            </w:r>
            <w:r>
              <w:rPr>
                <w:rFonts w:hint="eastAsia" w:asciiTheme="minorEastAsia" w:hAnsiTheme="minorEastAsia" w:eastAsiaTheme="minorEastAsia" w:cstheme="minorEastAsia"/>
                <w:b w:val="0"/>
                <w:bCs w:val="0"/>
                <w:color w:val="auto"/>
                <w:sz w:val="18"/>
                <w:szCs w:val="18"/>
                <w:highlight w:val="none"/>
              </w:rPr>
              <w:t>Hz/</w:t>
            </w:r>
            <w:r>
              <w:rPr>
                <w:rFonts w:hint="eastAsia" w:asciiTheme="minorEastAsia" w:hAnsiTheme="minorEastAsia" w:eastAsiaTheme="minorEastAsia" w:cstheme="minorEastAsia"/>
                <w:b w:val="0"/>
                <w:bCs w:val="0"/>
                <w:color w:val="auto"/>
                <w:sz w:val="18"/>
                <w:szCs w:val="18"/>
                <w:highlight w:val="none"/>
                <w:lang w:val="en-US" w:eastAsia="zh-CN"/>
              </w:rPr>
              <w:t>63</w:t>
            </w:r>
            <w:r>
              <w:rPr>
                <w:rFonts w:hint="eastAsia" w:asciiTheme="minorEastAsia" w:hAnsiTheme="minorEastAsia" w:eastAsiaTheme="minorEastAsia" w:cstheme="minorEastAsia"/>
                <w:b w:val="0"/>
                <w:bCs w:val="0"/>
                <w:color w:val="auto"/>
                <w:sz w:val="18"/>
                <w:szCs w:val="18"/>
                <w:highlight w:val="none"/>
              </w:rPr>
              <w:t>Hz±5%</w:t>
            </w:r>
          </w:p>
          <w:p w14:paraId="429DB61A">
            <w:pPr>
              <w:numPr>
                <w:ilvl w:val="0"/>
                <w:numId w:val="5"/>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散热方式：自散热</w:t>
            </w:r>
          </w:p>
          <w:p w14:paraId="1B46C7FE">
            <w:pPr>
              <w:numPr>
                <w:ilvl w:val="0"/>
                <w:numId w:val="5"/>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启动时间测试：在额定电压220VAC状态下,启动时间≤5S</w:t>
            </w:r>
          </w:p>
          <w:p w14:paraId="27010FB6">
            <w:pPr>
              <w:numPr>
                <w:ilvl w:val="0"/>
                <w:numId w:val="5"/>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冷启动浪涌测试：在额定电压220VAC状态下,冷启动浪涌≤70A</w:t>
            </w:r>
          </w:p>
          <w:p w14:paraId="01478AF7">
            <w:pPr>
              <w:numPr>
                <w:ilvl w:val="0"/>
                <w:numId w:val="5"/>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绝缘阻抗测试：</w:t>
            </w:r>
            <w:r>
              <w:rPr>
                <w:rFonts w:hint="eastAsia" w:asciiTheme="minorEastAsia" w:hAnsiTheme="minorEastAsia" w:eastAsiaTheme="minorEastAsia" w:cstheme="minorEastAsia"/>
                <w:b w:val="0"/>
                <w:bCs w:val="0"/>
                <w:color w:val="auto"/>
                <w:sz w:val="18"/>
                <w:szCs w:val="18"/>
                <w:highlight w:val="none"/>
                <w:lang w:eastAsia="zh-CN"/>
              </w:rPr>
              <w:t>在器具输入插座端或者电源引入端子与外壳裸露金属部件</w:t>
            </w:r>
            <w:r>
              <w:rPr>
                <w:rFonts w:hint="eastAsia" w:asciiTheme="minorEastAsia" w:hAnsiTheme="minorEastAsia" w:eastAsiaTheme="minorEastAsia" w:cstheme="minorEastAsia"/>
                <w:b w:val="0"/>
                <w:bCs w:val="0"/>
                <w:color w:val="auto"/>
                <w:sz w:val="18"/>
                <w:szCs w:val="18"/>
                <w:highlight w:val="none"/>
                <w:lang w:val="en-US" w:eastAsia="zh-CN"/>
              </w:rPr>
              <w:t>之间</w:t>
            </w:r>
            <w:r>
              <w:rPr>
                <w:rFonts w:hint="eastAsia" w:asciiTheme="minorEastAsia" w:hAnsiTheme="minorEastAsia" w:eastAsiaTheme="minorEastAsia" w:cstheme="minorEastAsia"/>
                <w:b w:val="0"/>
                <w:bCs w:val="0"/>
                <w:color w:val="auto"/>
                <w:sz w:val="18"/>
                <w:szCs w:val="18"/>
                <w:highlight w:val="none"/>
                <w:lang w:eastAsia="zh-CN"/>
              </w:rPr>
              <w:t>的绝缘电阻在正常大气条件下应≥</w:t>
            </w:r>
            <w:r>
              <w:rPr>
                <w:rFonts w:hint="eastAsia" w:asciiTheme="minorEastAsia" w:hAnsiTheme="minorEastAsia" w:eastAsiaTheme="minorEastAsia" w:cstheme="minorEastAsia"/>
                <w:b w:val="0"/>
                <w:bCs w:val="0"/>
                <w:color w:val="auto"/>
                <w:sz w:val="18"/>
                <w:szCs w:val="18"/>
                <w:highlight w:val="none"/>
                <w:lang w:val="en-US" w:eastAsia="zh-CN"/>
              </w:rPr>
              <w:t>70MΩ</w:t>
            </w:r>
          </w:p>
          <w:p w14:paraId="549199F4">
            <w:pPr>
              <w:numPr>
                <w:ilvl w:val="0"/>
                <w:numId w:val="0"/>
              </w:numPr>
              <w:rPr>
                <w:rFonts w:hint="eastAsia" w:asciiTheme="minorEastAsia" w:hAnsiTheme="minorEastAsia" w:eastAsiaTheme="minorEastAsia" w:cstheme="minorEastAsia"/>
                <w:b/>
                <w:bCs w:val="0"/>
                <w:color w:val="auto"/>
                <w:sz w:val="18"/>
                <w:szCs w:val="18"/>
                <w:highlight w:val="none"/>
                <w:vertAlign w:val="baseline"/>
                <w:lang w:val="en-US" w:eastAsia="zh-CN"/>
              </w:rPr>
            </w:pPr>
            <w:r>
              <w:rPr>
                <w:rFonts w:hint="eastAsia" w:asciiTheme="minorEastAsia" w:hAnsiTheme="minorEastAsia" w:eastAsiaTheme="minorEastAsia" w:cstheme="minorEastAsia"/>
                <w:b/>
                <w:bCs w:val="0"/>
                <w:color w:val="auto"/>
                <w:sz w:val="18"/>
                <w:szCs w:val="18"/>
                <w:highlight w:val="none"/>
                <w:vertAlign w:val="baseline"/>
                <w:lang w:val="en-US" w:eastAsia="zh-CN"/>
              </w:rPr>
              <w:t>五、数据备份存储终端</w:t>
            </w:r>
          </w:p>
          <w:p w14:paraId="1BADBC0B">
            <w:pPr>
              <w:numPr>
                <w:ilvl w:val="0"/>
                <w:numId w:val="0"/>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1、数据备份存储终端的存储运行内存≥4GB。</w:t>
            </w:r>
          </w:p>
          <w:p w14:paraId="041DEE03">
            <w:pPr>
              <w:numPr>
                <w:ilvl w:val="0"/>
                <w:numId w:val="0"/>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2、数据备份存储终端自带USB2.0高速传输接口，传输速度≥15M/每秒。</w:t>
            </w:r>
          </w:p>
          <w:p w14:paraId="16A1E42E">
            <w:pPr>
              <w:numPr>
                <w:ilvl w:val="0"/>
                <w:numId w:val="0"/>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3、数据备份存储终端具有数据保护功能，兼容电脑、工作站、服务器、播放盒、机顶盒等多种硬件设备。支持实时编解码及编辑处理功能。</w:t>
            </w:r>
          </w:p>
          <w:p w14:paraId="2CF71D14">
            <w:pPr>
              <w:numPr>
                <w:ilvl w:val="0"/>
                <w:numId w:val="0"/>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4、数据备份存储终端所使用的各种材料和元器件符合电子信息产品中有毒有害物质的限量要求。</w:t>
            </w:r>
          </w:p>
          <w:p w14:paraId="47520662">
            <w:pPr>
              <w:numPr>
                <w:ilvl w:val="0"/>
                <w:numId w:val="0"/>
              </w:numPr>
              <w:jc w:val="both"/>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5、数据备份存储终端防护性能具有防潮、防尘、防腐蚀、防电磁干扰、防静电等特性</w:t>
            </w:r>
          </w:p>
          <w:p w14:paraId="2DDA3D23">
            <w:pPr>
              <w:numPr>
                <w:ilvl w:val="0"/>
                <w:numId w:val="0"/>
              </w:numPr>
              <w:jc w:val="both"/>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bCs/>
                <w:color w:val="auto"/>
                <w:sz w:val="18"/>
                <w:szCs w:val="18"/>
                <w:highlight w:val="none"/>
                <w:lang w:val="en-US" w:eastAsia="zh-CN"/>
              </w:rPr>
              <w:t>六、电路安全管理终端</w:t>
            </w:r>
          </w:p>
          <w:p w14:paraId="5100B7BA">
            <w:pPr>
              <w:numPr>
                <w:ilvl w:val="0"/>
                <w:numId w:val="0"/>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1、支持因出现短路、烟雾、高温、过压等紧急状态，具备智能自动保护功能，支持可编程远程控制唤醒功能。</w:t>
            </w:r>
          </w:p>
          <w:p w14:paraId="245BE40A">
            <w:pPr>
              <w:numPr>
                <w:ilvl w:val="0"/>
                <w:numId w:val="0"/>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2、产品支持在预期使用和合理可预见的使用下能安全操作、运行、并不会对人身、财产和周围环境产生危险。</w:t>
            </w:r>
          </w:p>
          <w:p w14:paraId="50B5078F">
            <w:pPr>
              <w:numPr>
                <w:ilvl w:val="0"/>
                <w:numId w:val="0"/>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3、诊断功能‌：所有I/O模块配备LED状态指示，支持自诊断功能。</w:t>
            </w:r>
          </w:p>
          <w:p w14:paraId="4147C334">
            <w:pPr>
              <w:numPr>
                <w:ilvl w:val="0"/>
                <w:numId w:val="0"/>
              </w:numPr>
              <w:rPr>
                <w:rFonts w:hint="eastAsia" w:asciiTheme="minorEastAsia" w:hAnsiTheme="minorEastAsia" w:eastAsiaTheme="minorEastAsia" w:cstheme="minorEastAsia"/>
                <w:b w:val="0"/>
                <w:bCs w:val="0"/>
                <w:color w:val="auto"/>
                <w:sz w:val="18"/>
                <w:szCs w:val="18"/>
                <w:highlight w:val="none"/>
                <w:lang w:val="en-US" w:eastAsia="zh-CN"/>
              </w:rPr>
            </w:pPr>
            <w:r>
              <w:rPr>
                <w:rFonts w:hint="eastAsia" w:asciiTheme="minorEastAsia" w:hAnsiTheme="minorEastAsia" w:eastAsiaTheme="minorEastAsia" w:cstheme="minorEastAsia"/>
                <w:b w:val="0"/>
                <w:bCs w:val="0"/>
                <w:color w:val="auto"/>
                <w:sz w:val="18"/>
                <w:szCs w:val="18"/>
                <w:highlight w:val="none"/>
                <w:lang w:val="en-US" w:eastAsia="zh-CN"/>
              </w:rPr>
              <w:t>4、平均无故障运行时间(MTBF)不小于5万小时。‌</w:t>
            </w:r>
          </w:p>
        </w:tc>
        <w:tc>
          <w:tcPr>
            <w:tcW w:w="4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0F1A6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平方</w:t>
            </w:r>
          </w:p>
        </w:tc>
        <w:tc>
          <w:tcPr>
            <w:tcW w:w="6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E6615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24</w:t>
            </w:r>
          </w:p>
        </w:tc>
      </w:tr>
      <w:tr w14:paraId="32C28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21"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B2E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11</w:t>
            </w:r>
          </w:p>
        </w:tc>
        <w:tc>
          <w:tcPr>
            <w:tcW w:w="19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55204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1.5P挂壁式空调</w:t>
            </w:r>
          </w:p>
        </w:tc>
        <w:tc>
          <w:tcPr>
            <w:tcW w:w="489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915A6D">
            <w:pPr>
              <w:keepNext w:val="0"/>
              <w:keepLines w:val="0"/>
              <w:widowControl/>
              <w:numPr>
                <w:ilvl w:val="0"/>
                <w:numId w:val="0"/>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auto"/>
                <w:kern w:val="0"/>
                <w:sz w:val="18"/>
                <w:szCs w:val="18"/>
                <w:highlight w:val="none"/>
                <w:u w:val="none"/>
                <w:lang w:val="en-US" w:eastAsia="zh-CN" w:bidi="ar"/>
              </w:rPr>
              <w:t>一级节能</w:t>
            </w:r>
          </w:p>
          <w:p w14:paraId="38A50A4B">
            <w:pPr>
              <w:keepNext w:val="0"/>
              <w:keepLines w:val="0"/>
              <w:widowControl/>
              <w:numPr>
                <w:ilvl w:val="0"/>
                <w:numId w:val="6"/>
              </w:numPr>
              <w:suppressLineNumbers w:val="0"/>
              <w:jc w:val="left"/>
              <w:textAlignment w:val="center"/>
              <w:rPr>
                <w:rFonts w:hint="eastAsia" w:asciiTheme="minorEastAsia" w:hAnsiTheme="minorEastAsia" w:eastAsiaTheme="minorEastAsia" w:cstheme="minorEastAsia"/>
                <w:i w:val="0"/>
                <w:iCs w:val="0"/>
                <w:color w:val="auto"/>
                <w:kern w:val="0"/>
                <w:sz w:val="18"/>
                <w:szCs w:val="18"/>
                <w:highlight w:val="none"/>
                <w:u w:val="none"/>
                <w:lang w:val="en-US" w:eastAsia="zh-CN" w:bidi="ar"/>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冷暖两用、220V</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2、全年能源消耗效率APF≥4.5</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3、额定制冷量≥3500W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4、额定制热量≥4500W( 不含电辅加热)</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5、额定制冷功率≤850W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6、额定制热功率≤1290W(不含电辅加热)</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7、电辅加热功率≤1020W</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8、循环风量≥550m³/h</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9、空调室内机噪音最大值≤49dB(A)</w:t>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br w:type="textWrapping"/>
            </w: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10、空调室外机噪音最大值≤58dB(A)</w:t>
            </w:r>
          </w:p>
        </w:tc>
        <w:tc>
          <w:tcPr>
            <w:tcW w:w="4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96E5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台</w:t>
            </w:r>
          </w:p>
        </w:tc>
        <w:tc>
          <w:tcPr>
            <w:tcW w:w="6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F4A4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w:t>
            </w:r>
          </w:p>
        </w:tc>
      </w:tr>
      <w:tr w14:paraId="4DE0C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8"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0B5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12</w:t>
            </w:r>
          </w:p>
        </w:tc>
        <w:tc>
          <w:tcPr>
            <w:tcW w:w="19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BBBA6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铜管</w:t>
            </w:r>
          </w:p>
        </w:tc>
        <w:tc>
          <w:tcPr>
            <w:tcW w:w="489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7115448">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5P天花机</w:t>
            </w:r>
          </w:p>
        </w:tc>
        <w:tc>
          <w:tcPr>
            <w:tcW w:w="4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7BBB1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米</w:t>
            </w:r>
          </w:p>
        </w:tc>
        <w:tc>
          <w:tcPr>
            <w:tcW w:w="6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440E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180</w:t>
            </w:r>
          </w:p>
        </w:tc>
      </w:tr>
      <w:tr w14:paraId="73DC8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7" w:hRule="atLeast"/>
        </w:trPr>
        <w:tc>
          <w:tcPr>
            <w:tcW w:w="6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BCF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13</w:t>
            </w:r>
          </w:p>
        </w:tc>
        <w:tc>
          <w:tcPr>
            <w:tcW w:w="19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CA09F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铜管</w:t>
            </w:r>
          </w:p>
        </w:tc>
        <w:tc>
          <w:tcPr>
            <w:tcW w:w="489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C89B34C">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3P天花机</w:t>
            </w:r>
          </w:p>
        </w:tc>
        <w:tc>
          <w:tcPr>
            <w:tcW w:w="4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BA8DC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米</w:t>
            </w:r>
          </w:p>
        </w:tc>
        <w:tc>
          <w:tcPr>
            <w:tcW w:w="699"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CAC3C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18"/>
                <w:szCs w:val="18"/>
                <w:highlight w:val="none"/>
                <w:u w:val="none"/>
              </w:rPr>
            </w:pPr>
            <w:r>
              <w:rPr>
                <w:rFonts w:hint="eastAsia" w:asciiTheme="minorEastAsia" w:hAnsiTheme="minorEastAsia" w:eastAsiaTheme="minorEastAsia" w:cstheme="minorEastAsia"/>
                <w:i w:val="0"/>
                <w:iCs w:val="0"/>
                <w:color w:val="auto"/>
                <w:kern w:val="0"/>
                <w:sz w:val="18"/>
                <w:szCs w:val="18"/>
                <w:highlight w:val="none"/>
                <w:u w:val="none"/>
                <w:lang w:val="en-US" w:eastAsia="zh-CN" w:bidi="ar"/>
              </w:rPr>
              <w:t>42</w:t>
            </w:r>
          </w:p>
        </w:tc>
      </w:tr>
    </w:tbl>
    <w:p w14:paraId="59561BC4">
      <w:pPr>
        <w:pageBreakBefore w:val="0"/>
        <w:widowControl w:val="0"/>
        <w:kinsoku/>
        <w:wordWrap/>
        <w:overflowPunct/>
        <w:topLinePunct w:val="0"/>
        <w:bidi w:val="0"/>
        <w:spacing w:before="78" w:line="219" w:lineRule="auto"/>
        <w:jc w:val="both"/>
        <w:rPr>
          <w:rFonts w:ascii="宋体" w:hAnsi="宋体" w:eastAsia="宋体" w:cs="宋体"/>
          <w:color w:val="auto"/>
          <w:spacing w:val="-6"/>
          <w:sz w:val="24"/>
          <w:szCs w:val="24"/>
          <w:highlight w:val="none"/>
          <w:lang w:eastAsia="zh-CN"/>
        </w:rPr>
      </w:pPr>
      <w:r>
        <w:rPr>
          <w:rFonts w:hint="eastAsia" w:ascii="宋体" w:hAnsi="宋体" w:eastAsia="宋体" w:cs="宋体"/>
          <w:color w:val="auto"/>
          <w:spacing w:val="-6"/>
          <w:sz w:val="24"/>
          <w:szCs w:val="24"/>
          <w:highlight w:val="none"/>
          <w:lang w:val="en-US" w:eastAsia="zh-CN"/>
        </w:rPr>
        <w:t>注意：台式电脑（台式计算机）、笔记本电脑（便携式计算机）、 显示器、空调、打印机等属于强制节能产品，响应文件中须提供有效期内的节能认证证书扫描件，未提响应无效。</w:t>
      </w:r>
    </w:p>
    <w:p w14:paraId="5AEE63A2">
      <w:pPr>
        <w:pageBreakBefore w:val="0"/>
        <w:widowControl w:val="0"/>
        <w:kinsoku/>
        <w:wordWrap/>
        <w:overflowPunct/>
        <w:topLinePunct w:val="0"/>
        <w:bidi w:val="0"/>
        <w:spacing w:before="78" w:line="219" w:lineRule="auto"/>
        <w:jc w:val="both"/>
        <w:rPr>
          <w:rFonts w:ascii="宋体" w:hAnsi="宋体" w:eastAsia="宋体" w:cs="宋体"/>
          <w:color w:val="auto"/>
          <w:spacing w:val="-6"/>
          <w:sz w:val="24"/>
          <w:szCs w:val="24"/>
          <w:highlight w:val="none"/>
          <w:lang w:eastAsia="zh-CN"/>
        </w:rPr>
      </w:pPr>
    </w:p>
    <w:p w14:paraId="150FD43A">
      <w:pPr>
        <w:pageBreakBefore w:val="0"/>
        <w:widowControl w:val="0"/>
        <w:kinsoku/>
        <w:wordWrap/>
        <w:overflowPunct/>
        <w:topLinePunct w:val="0"/>
        <w:bidi w:val="0"/>
        <w:spacing w:before="78" w:line="219" w:lineRule="auto"/>
        <w:jc w:val="both"/>
        <w:rPr>
          <w:rFonts w:ascii="宋体" w:hAnsi="宋体" w:eastAsia="宋体" w:cs="宋体"/>
          <w:color w:val="auto"/>
          <w:spacing w:val="-5"/>
          <w:sz w:val="24"/>
          <w:szCs w:val="24"/>
          <w:highlight w:val="none"/>
          <w:lang w:eastAsia="zh-CN"/>
        </w:rPr>
      </w:pPr>
      <w:r>
        <w:rPr>
          <w:rFonts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二</w:t>
      </w:r>
      <w:r>
        <w:rPr>
          <w:rFonts w:ascii="宋体" w:hAnsi="宋体" w:eastAsia="宋体" w:cs="宋体"/>
          <w:color w:val="auto"/>
          <w:spacing w:val="-5"/>
          <w:sz w:val="24"/>
          <w:szCs w:val="24"/>
          <w:highlight w:val="none"/>
          <w:lang w:eastAsia="zh-CN"/>
        </w:rPr>
        <w:t>）商务条件</w:t>
      </w:r>
    </w:p>
    <w:p w14:paraId="1C5F9F2F">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1、质保期：质量保证期为3年，质保期自项目验收合格之日起计算，成交供应商必须保证质保期内项目正常使用。所有费用（含维修人工费、差旅费、物流费等一切费用）由成交供应商承担。其中包括质保期内所有故障部件的免费更换及整套货物故障的现场维修（人力不可抗拒因素除外）。</w:t>
      </w:r>
    </w:p>
    <w:p w14:paraId="0F2B9BB2">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2、付款方式：项目完成验收合格后支付中标价的100%。</w:t>
      </w:r>
    </w:p>
    <w:p w14:paraId="50BC4AED">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3、交货时间：自合同签订之日起30日内安装调试完成。</w:t>
      </w:r>
    </w:p>
    <w:p w14:paraId="28DADA02">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4、交货地点：</w:t>
      </w:r>
      <w:r>
        <w:rPr>
          <w:rFonts w:hint="eastAsia" w:ascii="宋体" w:hAnsi="宋体" w:eastAsia="宋体" w:cs="宋体"/>
          <w:color w:val="auto"/>
          <w:spacing w:val="0"/>
          <w:position w:val="0"/>
          <w:sz w:val="18"/>
          <w:szCs w:val="18"/>
          <w:highlight w:val="none"/>
          <w:lang w:val="en-US" w:eastAsia="zh-CN"/>
        </w:rPr>
        <w:t>分宜县幸福里小区幼儿园</w:t>
      </w:r>
      <w:r>
        <w:rPr>
          <w:rFonts w:hint="eastAsia" w:ascii="宋体" w:hAnsi="宋体" w:eastAsia="宋体" w:cs="宋体"/>
          <w:color w:val="auto"/>
          <w:spacing w:val="0"/>
          <w:position w:val="0"/>
          <w:sz w:val="18"/>
          <w:szCs w:val="18"/>
          <w:highlight w:val="none"/>
          <w:lang w:eastAsia="zh-CN"/>
        </w:rPr>
        <w:t>。</w:t>
      </w:r>
    </w:p>
    <w:p w14:paraId="5E4F91D9">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5、投标报价：本项目报价包括货物费用、材料费、安装调试费、运输搬运费、税费等履行合同所需的所有的费用，并以通过采购人的验收和达到使用目的为履约标准。</w:t>
      </w:r>
    </w:p>
    <w:p w14:paraId="2ACC93CB">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6、售后服务：3年保修（费用包含在此次报价内）、质保期内提供2*72小时电话响应，并提供有效解决2*72小时方案和技术服务培训支持。</w:t>
      </w:r>
    </w:p>
    <w:p w14:paraId="26306725">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7、验收</w:t>
      </w:r>
    </w:p>
    <w:p w14:paraId="389AB9BC">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7.1、货物到现场后，由采购人组织有关专业人员共同现场验收。验收时主要对货物的数量、外观、包装质量、技术资料等进行检查，对货物依照询价文件上的技术规格要求、以及国家有关标准进行验收；货物性能达到技术要求以及最终业主满意需求的，给予签收；验收合格后由采购人（或其授权代表）签署确认验收合格文件，验收时如发现货物的质量、性能不符合询价文件规定标准的，本项目采购人有权在货物验收时予以拒收；因此产生的一切经济损失由成交供应商承担。</w:t>
      </w:r>
    </w:p>
    <w:p w14:paraId="717C502C">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7.2、交付验收标准，依次序对照适用标准为：</w:t>
      </w:r>
    </w:p>
    <w:p w14:paraId="5574BD98">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①符合中华人民共和国国家相关行业标准。</w:t>
      </w:r>
    </w:p>
    <w:p w14:paraId="504B5550">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②符合招标文件和投标承诺中采购人认可的合理最佳配置、参数及各项要求。</w:t>
      </w:r>
    </w:p>
    <w:p w14:paraId="77564112">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7.3、成交供应商须为验收提供必需的设备、工具及其他便利条件。</w:t>
      </w:r>
    </w:p>
    <w:p w14:paraId="53F81682">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7.4、在验收过程中发现有质量、技术等问题，成交供应商应负责按照采购人的要求采取更换或退货等措施妥善处理，并承担由此发生的一切费用和损失。</w:t>
      </w:r>
    </w:p>
    <w:p w14:paraId="70F62D2B">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hint="eastAsia" w:ascii="宋体" w:hAnsi="宋体" w:eastAsia="宋体" w:cs="宋体"/>
          <w:color w:val="auto"/>
          <w:spacing w:val="-6"/>
          <w:sz w:val="18"/>
          <w:szCs w:val="18"/>
          <w:highlight w:val="none"/>
          <w:lang w:val="en-US" w:eastAsia="zh-CN"/>
        </w:rPr>
      </w:pPr>
      <w:r>
        <w:rPr>
          <w:rFonts w:hint="eastAsia" w:ascii="宋体" w:hAnsi="宋体" w:eastAsia="宋体" w:cs="宋体"/>
          <w:color w:val="auto"/>
          <w:spacing w:val="-6"/>
          <w:sz w:val="18"/>
          <w:szCs w:val="18"/>
          <w:highlight w:val="none"/>
          <w:lang w:val="en-US" w:eastAsia="zh-CN"/>
        </w:rPr>
        <w:t>7.5、对于不合格的货物，成交供应商须在7个工作日里及时完成更换并重新对更换货物进行验收。</w:t>
      </w:r>
    </w:p>
    <w:p w14:paraId="248DC6EF">
      <w:pPr>
        <w:keepNext w:val="0"/>
        <w:keepLines w:val="0"/>
        <w:pageBreakBefore w:val="0"/>
        <w:widowControl w:val="0"/>
        <w:kinsoku/>
        <w:wordWrap/>
        <w:overflowPunct/>
        <w:topLinePunct w:val="0"/>
        <w:autoSpaceDE w:val="0"/>
        <w:autoSpaceDN w:val="0"/>
        <w:bidi w:val="0"/>
        <w:adjustRightInd w:val="0"/>
        <w:snapToGrid w:val="0"/>
        <w:spacing w:before="78" w:line="360" w:lineRule="auto"/>
        <w:ind w:firstLine="336" w:firstLineChars="200"/>
        <w:jc w:val="left"/>
        <w:textAlignment w:val="baseline"/>
        <w:rPr>
          <w:rFonts w:ascii="宋体" w:hAnsi="宋体" w:eastAsia="宋体" w:cs="宋体"/>
          <w:color w:val="auto"/>
          <w:spacing w:val="-6"/>
          <w:sz w:val="24"/>
          <w:szCs w:val="24"/>
          <w:highlight w:val="none"/>
          <w:lang w:eastAsia="zh-CN"/>
        </w:rPr>
      </w:pPr>
      <w:r>
        <w:rPr>
          <w:rFonts w:hint="eastAsia" w:ascii="宋体" w:hAnsi="宋体" w:eastAsia="宋体" w:cs="宋体"/>
          <w:color w:val="auto"/>
          <w:spacing w:val="-6"/>
          <w:sz w:val="18"/>
          <w:szCs w:val="18"/>
          <w:highlight w:val="none"/>
          <w:lang w:eastAsia="zh-CN"/>
        </w:rPr>
        <w:t>说明：“商务条件为实质性要求，必须满足或优于该要求，否则按照无效响应处理。</w:t>
      </w:r>
    </w:p>
    <w:p w14:paraId="15587F86">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1DF2DE"/>
    <w:multiLevelType w:val="singleLevel"/>
    <w:tmpl w:val="BE1DF2DE"/>
    <w:lvl w:ilvl="0" w:tentative="0">
      <w:start w:val="1"/>
      <w:numFmt w:val="decimal"/>
      <w:suff w:val="nothing"/>
      <w:lvlText w:val="%1、"/>
      <w:lvlJc w:val="left"/>
    </w:lvl>
  </w:abstractNum>
  <w:abstractNum w:abstractNumId="1">
    <w:nsid w:val="CF93EB58"/>
    <w:multiLevelType w:val="singleLevel"/>
    <w:tmpl w:val="CF93EB58"/>
    <w:lvl w:ilvl="0" w:tentative="0">
      <w:start w:val="1"/>
      <w:numFmt w:val="decimal"/>
      <w:suff w:val="nothing"/>
      <w:lvlText w:val="%1、"/>
      <w:lvlJc w:val="left"/>
    </w:lvl>
  </w:abstractNum>
  <w:abstractNum w:abstractNumId="2">
    <w:nsid w:val="093C4710"/>
    <w:multiLevelType w:val="singleLevel"/>
    <w:tmpl w:val="093C4710"/>
    <w:lvl w:ilvl="0" w:tentative="0">
      <w:start w:val="1"/>
      <w:numFmt w:val="decimal"/>
      <w:suff w:val="nothing"/>
      <w:lvlText w:val="%1、"/>
      <w:lvlJc w:val="left"/>
    </w:lvl>
  </w:abstractNum>
  <w:abstractNum w:abstractNumId="3">
    <w:nsid w:val="27B6E2FA"/>
    <w:multiLevelType w:val="singleLevel"/>
    <w:tmpl w:val="27B6E2FA"/>
    <w:lvl w:ilvl="0" w:tentative="0">
      <w:start w:val="1"/>
      <w:numFmt w:val="decimal"/>
      <w:suff w:val="nothing"/>
      <w:lvlText w:val="%1、"/>
      <w:lvlJc w:val="left"/>
      <w:pPr>
        <w:tabs>
          <w:tab w:val="left" w:pos="0"/>
        </w:tabs>
      </w:pPr>
      <w:rPr>
        <w:rFonts w:hint="default"/>
        <w:sz w:val="21"/>
        <w:szCs w:val="21"/>
      </w:rPr>
    </w:lvl>
  </w:abstractNum>
  <w:abstractNum w:abstractNumId="4">
    <w:nsid w:val="3B71EA36"/>
    <w:multiLevelType w:val="singleLevel"/>
    <w:tmpl w:val="3B71EA36"/>
    <w:lvl w:ilvl="0" w:tentative="0">
      <w:start w:val="1"/>
      <w:numFmt w:val="decimal"/>
      <w:suff w:val="nothing"/>
      <w:lvlText w:val="%1、"/>
      <w:lvlJc w:val="left"/>
    </w:lvl>
  </w:abstractNum>
  <w:abstractNum w:abstractNumId="5">
    <w:nsid w:val="729908B1"/>
    <w:multiLevelType w:val="singleLevel"/>
    <w:tmpl w:val="729908B1"/>
    <w:lvl w:ilvl="0" w:tentative="0">
      <w:start w:val="1"/>
      <w:numFmt w:val="decimal"/>
      <w:suff w:val="nothing"/>
      <w:lvlText w:val="%1、"/>
      <w:lvlJc w:val="left"/>
      <w:pPr>
        <w:tabs>
          <w:tab w:val="left" w:pos="0"/>
        </w:tabs>
      </w:pPr>
      <w:rPr>
        <w:rFonts w:hint="default"/>
        <w:sz w:val="21"/>
        <w:szCs w:val="21"/>
      </w:rPr>
    </w:lvl>
  </w:abstractNum>
  <w:num w:numId="1">
    <w:abstractNumId w:val="0"/>
  </w:num>
  <w:num w:numId="2">
    <w:abstractNumId w:val="2"/>
  </w:num>
  <w:num w:numId="3">
    <w:abstractNumId w:val="5"/>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B667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styleId="5">
    <w:name w:val="List Paragraph"/>
    <w:basedOn w:val="1"/>
    <w:qFormat/>
    <w:uiPriority w:val="34"/>
    <w:pPr>
      <w:ind w:firstLine="420" w:firstLineChars="200"/>
    </w:pPr>
    <w:rPr>
      <w:rFonts w:asciiTheme="minorHAnsi" w:hAnsiTheme="minorHAnsi" w:eastAsiaTheme="minorEastAsia" w:cstheme="minorBidi"/>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2026-06-25T01:10:30Z</dcterms:created>
  <dc:creator>Lenovo</dc:creator>
  <cp:lastModifiedBy>Lenovo</cp:lastModifiedBy>
  <dcterms:modified xsi:type="dcterms:W3CDTF">2026-06-25T01:11:12Z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eyJoZGlkIjoiZjEyYTY1MzlkY2VmMDQyODYxMjI4NjFlZGNlMGZlMzkiLCJ1c2VySWQiOiIxMDExMzU0NjQzIn0=</vt:lpwstr>
  </property>
  <property fmtid="{D5CDD505-2E9C-101B-9397-08002B2CF9AE}" pid="4" name="ICV">
    <vt:lpwstr>405F3EB87C154B0CA56789E197251E31_12</vt:lpwstr>
  </property>
</Properties>
</file>