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B2880">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p>
    <w:p w14:paraId="29F373B1">
      <w:pPr>
        <w:pageBreakBefore w:val="0"/>
        <w:widowControl w:val="0"/>
        <w:wordWrap/>
        <w:overflowPunct/>
        <w:topLinePunct w:val="0"/>
        <w:bidi w:val="0"/>
        <w:spacing w:before="78" w:line="360" w:lineRule="auto"/>
        <w:jc w:val="both"/>
        <w:rPr>
          <w:rFonts w:hint="default" w:ascii="宋体" w:hAnsi="宋体" w:eastAsia="宋体" w:cs="宋体"/>
          <w:color w:val="auto"/>
          <w:spacing w:val="-5"/>
          <w:sz w:val="24"/>
          <w:szCs w:val="24"/>
          <w:highlight w:val="none"/>
          <w:lang w:val="en-US" w:eastAsia="zh-CN"/>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25"/>
          <w:sz w:val="24"/>
          <w:szCs w:val="24"/>
          <w:highlight w:val="none"/>
        </w:rPr>
        <w:t>技术需求</w:t>
      </w:r>
    </w:p>
    <w:tbl>
      <w:tblPr>
        <w:tblStyle w:val="5"/>
        <w:tblW w:w="58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4"/>
        <w:gridCol w:w="1194"/>
        <w:gridCol w:w="6899"/>
        <w:gridCol w:w="767"/>
        <w:gridCol w:w="784"/>
      </w:tblGrid>
      <w:tr w14:paraId="5EBD7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384" w:type="pct"/>
            <w:noWrap w:val="0"/>
            <w:vAlign w:val="center"/>
          </w:tcPr>
          <w:p w14:paraId="60B74EDC">
            <w:pPr>
              <w:pageBreakBefore w:val="0"/>
              <w:widowControl/>
              <w:wordWrap/>
              <w:overflowPunct/>
              <w:topLinePunct w:val="0"/>
              <w:autoSpaceDE w:val="0"/>
              <w:autoSpaceDN w:val="0"/>
              <w:bidi w:val="0"/>
              <w:adjustRightInd w:val="0"/>
              <w:snapToGrid w:val="0"/>
              <w:spacing w:line="240" w:lineRule="auto"/>
              <w:jc w:val="center"/>
              <w:rPr>
                <w:rFonts w:hint="eastAsia"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序号</w:t>
            </w:r>
          </w:p>
        </w:tc>
        <w:tc>
          <w:tcPr>
            <w:tcW w:w="571" w:type="pct"/>
            <w:noWrap w:val="0"/>
            <w:vAlign w:val="center"/>
          </w:tcPr>
          <w:p w14:paraId="1FF743EF">
            <w:pPr>
              <w:pageBreakBefore w:val="0"/>
              <w:widowControl/>
              <w:wordWrap/>
              <w:overflowPunct/>
              <w:topLinePunct w:val="0"/>
              <w:autoSpaceDE w:val="0"/>
              <w:autoSpaceDN w:val="0"/>
              <w:bidi w:val="0"/>
              <w:adjustRightInd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名称</w:t>
            </w:r>
          </w:p>
        </w:tc>
        <w:tc>
          <w:tcPr>
            <w:tcW w:w="3301" w:type="pct"/>
            <w:noWrap/>
            <w:vAlign w:val="center"/>
          </w:tcPr>
          <w:p w14:paraId="31A3DC9A">
            <w:pPr>
              <w:pageBreakBefore w:val="0"/>
              <w:widowControl/>
              <w:wordWrap/>
              <w:overflowPunct/>
              <w:topLinePunct w:val="0"/>
              <w:autoSpaceDE w:val="0"/>
              <w:autoSpaceDN w:val="0"/>
              <w:bidi w:val="0"/>
              <w:adjustRightInd w:val="0"/>
              <w:snapToGrid w:val="0"/>
              <w:spacing w:line="240" w:lineRule="auto"/>
              <w:jc w:val="center"/>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详细规格</w:t>
            </w:r>
          </w:p>
        </w:tc>
        <w:tc>
          <w:tcPr>
            <w:tcW w:w="367" w:type="pct"/>
            <w:noWrap/>
            <w:vAlign w:val="center"/>
          </w:tcPr>
          <w:p w14:paraId="5B74EE91">
            <w:pPr>
              <w:pageBreakBefore w:val="0"/>
              <w:widowControl/>
              <w:wordWrap/>
              <w:overflowPunct/>
              <w:topLinePunct w:val="0"/>
              <w:autoSpaceDE w:val="0"/>
              <w:autoSpaceDN w:val="0"/>
              <w:bidi w:val="0"/>
              <w:adjustRightInd w:val="0"/>
              <w:snapToGrid w:val="0"/>
              <w:spacing w:line="240" w:lineRule="auto"/>
              <w:jc w:val="center"/>
              <w:rPr>
                <w:rFonts w:hint="eastAsia" w:ascii="宋体" w:hAnsi="宋体" w:eastAsia="宋体" w:cs="宋体"/>
                <w:color w:val="000000"/>
                <w:kern w:val="0"/>
                <w:sz w:val="24"/>
                <w:szCs w:val="24"/>
                <w:lang w:eastAsia="zh-CN"/>
              </w:rPr>
            </w:pPr>
            <w:r>
              <w:rPr>
                <w:rFonts w:hint="eastAsia" w:ascii="宋体" w:hAnsi="宋体" w:eastAsia="宋体" w:cs="宋体"/>
                <w:b/>
                <w:bCs/>
                <w:color w:val="000000"/>
                <w:kern w:val="0"/>
                <w:sz w:val="24"/>
                <w:szCs w:val="24"/>
                <w:lang w:val="en-US" w:eastAsia="zh-CN"/>
              </w:rPr>
              <w:t>单位</w:t>
            </w:r>
          </w:p>
        </w:tc>
        <w:tc>
          <w:tcPr>
            <w:tcW w:w="375" w:type="pct"/>
            <w:noWrap/>
            <w:vAlign w:val="center"/>
          </w:tcPr>
          <w:p w14:paraId="30443FD8">
            <w:pPr>
              <w:pageBreakBefore w:val="0"/>
              <w:widowControl/>
              <w:wordWrap/>
              <w:overflowPunct/>
              <w:topLinePunct w:val="0"/>
              <w:autoSpaceDE w:val="0"/>
              <w:autoSpaceDN w:val="0"/>
              <w:bidi w:val="0"/>
              <w:adjustRightInd w:val="0"/>
              <w:snapToGrid w:val="0"/>
              <w:spacing w:line="240" w:lineRule="auto"/>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数量</w:t>
            </w:r>
          </w:p>
        </w:tc>
      </w:tr>
      <w:tr w14:paraId="32B1E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384" w:type="pct"/>
            <w:noWrap w:val="0"/>
            <w:vAlign w:val="center"/>
          </w:tcPr>
          <w:p w14:paraId="6122962A">
            <w:pPr>
              <w:pageBreakBefore w:val="0"/>
              <w:widowControl/>
              <w:wordWrap/>
              <w:overflowPunct/>
              <w:topLinePunct w:val="0"/>
              <w:autoSpaceDE w:val="0"/>
              <w:autoSpaceDN w:val="0"/>
              <w:bidi w:val="0"/>
              <w:adjustRightInd w:val="0"/>
              <w:snapToGrid w:val="0"/>
              <w:spacing w:line="240" w:lineRule="auto"/>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w:t>
            </w:r>
          </w:p>
        </w:tc>
        <w:tc>
          <w:tcPr>
            <w:tcW w:w="571" w:type="pct"/>
            <w:noWrap w:val="0"/>
            <w:vAlign w:val="center"/>
          </w:tcPr>
          <w:p w14:paraId="3DB2F1F8">
            <w:pPr>
              <w:keepNext w:val="0"/>
              <w:keepLines w:val="0"/>
              <w:pageBreakBefore w:val="0"/>
              <w:widowControl w:val="0"/>
              <w:kinsoku/>
              <w:wordWrap/>
              <w:overflowPunct/>
              <w:topLinePunct w:val="0"/>
              <w:autoSpaceDE/>
              <w:autoSpaceDN/>
              <w:bidi w:val="0"/>
              <w:adjustRightInd/>
              <w:snapToGrid/>
              <w:spacing w:before="79" w:beforeLines="25" w:after="79" w:afterLines="25" w:line="360" w:lineRule="auto"/>
              <w:jc w:val="center"/>
              <w:textAlignment w:val="auto"/>
              <w:rPr>
                <w:rFonts w:hint="eastAsia" w:ascii="宋体" w:hAnsi="宋体" w:eastAsia="宋体" w:cs="宋体"/>
                <w:color w:val="000000"/>
                <w:kern w:val="0"/>
                <w:sz w:val="24"/>
                <w:szCs w:val="24"/>
              </w:rPr>
            </w:pPr>
            <w:r>
              <w:rPr>
                <w:rFonts w:hint="eastAsia" w:ascii="仿宋" w:hAnsi="仿宋" w:eastAsia="仿宋" w:cs="仿宋"/>
                <w:sz w:val="24"/>
                <w:szCs w:val="24"/>
              </w:rPr>
              <w:t>两连三位公寓床</w:t>
            </w:r>
          </w:p>
        </w:tc>
        <w:tc>
          <w:tcPr>
            <w:tcW w:w="3301" w:type="pct"/>
            <w:noWrap/>
            <w:vAlign w:val="top"/>
          </w:tcPr>
          <w:p w14:paraId="1936FC54">
            <w:pPr>
              <w:keepNext w:val="0"/>
              <w:keepLines w:val="0"/>
              <w:pageBreakBefore w:val="0"/>
              <w:widowControl w:val="0"/>
              <w:kinsoku/>
              <w:wordWrap/>
              <w:overflowPunct/>
              <w:topLinePunct w:val="0"/>
              <w:autoSpaceDE/>
              <w:autoSpaceDN/>
              <w:bidi w:val="0"/>
              <w:adjustRightInd/>
              <w:snapToGrid/>
              <w:spacing w:line="360" w:lineRule="auto"/>
              <w:ind w:firstLine="233" w:firstLineChars="100"/>
              <w:textAlignment w:val="auto"/>
              <w:rPr>
                <w:rFonts w:hint="eastAsia" w:ascii="仿宋" w:hAnsi="仿宋" w:eastAsia="仿宋" w:cs="仿宋"/>
                <w:sz w:val="24"/>
                <w:szCs w:val="24"/>
                <w:lang w:eastAsia="zh-CN"/>
              </w:rPr>
            </w:pPr>
            <w:r>
              <w:rPr>
                <w:rFonts w:hint="eastAsia" w:ascii="仿宋" w:hAnsi="仿宋" w:eastAsia="仿宋" w:cs="仿宋"/>
                <w:b/>
                <w:bCs/>
                <w:spacing w:val="-4"/>
                <w:sz w:val="24"/>
                <w:szCs w:val="24"/>
              </w:rPr>
              <w:t>一、两连三位公寓床</w:t>
            </w:r>
            <w:r>
              <w:rPr>
                <w:rFonts w:hint="eastAsia" w:ascii="仿宋" w:hAnsi="仿宋" w:eastAsia="仿宋" w:cs="仿宋"/>
                <w:b/>
                <w:bCs/>
                <w:spacing w:val="-4"/>
                <w:sz w:val="24"/>
                <w:szCs w:val="24"/>
                <w:lang w:eastAsia="zh-CN"/>
              </w:rPr>
              <w:t>（</w:t>
            </w:r>
            <w:r>
              <w:rPr>
                <w:rFonts w:hint="eastAsia" w:ascii="仿宋" w:hAnsi="仿宋" w:eastAsia="仿宋" w:cs="仿宋"/>
                <w:sz w:val="24"/>
                <w:szCs w:val="24"/>
                <w:lang w:val="en-US" w:eastAsia="zh-CN"/>
              </w:rPr>
              <w:t>含两连三位公寓床1套、3人位桌椅书架1套、3人位储物柜、3位椅子）</w:t>
            </w:r>
          </w:p>
          <w:p w14:paraId="71944D9F">
            <w:pPr>
              <w:keepNext w:val="0"/>
              <w:keepLines w:val="0"/>
              <w:pageBreakBefore w:val="0"/>
              <w:widowControl w:val="0"/>
              <w:kinsoku/>
              <w:wordWrap/>
              <w:overflowPunct/>
              <w:topLinePunct w:val="0"/>
              <w:autoSpaceDE/>
              <w:autoSpaceDN/>
              <w:bidi w:val="0"/>
              <w:adjustRightInd/>
              <w:snapToGrid/>
              <w:spacing w:line="360" w:lineRule="auto"/>
              <w:ind w:firstLine="229" w:firstLineChars="100"/>
              <w:textAlignment w:val="auto"/>
              <w:rPr>
                <w:rFonts w:hint="eastAsia" w:ascii="仿宋" w:hAnsi="仿宋" w:eastAsia="仿宋" w:cs="仿宋"/>
                <w:sz w:val="24"/>
                <w:szCs w:val="24"/>
                <w:lang w:eastAsia="zh-CN"/>
              </w:rPr>
            </w:pPr>
            <w:r>
              <w:rPr>
                <w:rFonts w:hint="eastAsia" w:ascii="仿宋" w:hAnsi="仿宋" w:eastAsia="仿宋" w:cs="仿宋"/>
                <w:b/>
                <w:bCs/>
                <w:spacing w:val="-6"/>
                <w:sz w:val="24"/>
                <w:szCs w:val="24"/>
              </w:rPr>
              <w:t>（一）床架</w:t>
            </w:r>
          </w:p>
          <w:p w14:paraId="3048750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lang w:eastAsia="zh-CN"/>
              </w:rPr>
            </w:pPr>
            <w:r>
              <w:rPr>
                <w:rFonts w:hint="eastAsia" w:ascii="仿宋" w:hAnsi="仿宋" w:eastAsia="仿宋" w:cs="仿宋"/>
                <w:sz w:val="24"/>
                <w:szCs w:val="24"/>
              </w:rPr>
              <w:t>规格：4000mm*900mm*2080mm/2880mm</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实际尺寸按安装位置空间调整制作，确保大小合适</w:t>
            </w:r>
            <w:r>
              <w:rPr>
                <w:rFonts w:hint="eastAsia" w:ascii="仿宋" w:hAnsi="仿宋" w:eastAsia="仿宋" w:cs="仿宋"/>
                <w:sz w:val="24"/>
                <w:szCs w:val="24"/>
                <w:lang w:eastAsia="zh-CN"/>
              </w:rPr>
              <w:t>）</w:t>
            </w:r>
          </w:p>
          <w:p w14:paraId="191501B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trike/>
                <w:dstrike w:val="0"/>
                <w:sz w:val="24"/>
                <w:szCs w:val="24"/>
                <w:highlight w:val="red"/>
                <w:lang w:val="en-US" w:eastAsia="zh-CN"/>
              </w:rPr>
            </w:pPr>
            <w:r>
              <w:rPr>
                <w:rFonts w:hint="eastAsia" w:ascii="仿宋" w:hAnsi="仿宋" w:eastAsia="仿宋" w:cs="仿宋"/>
                <w:sz w:val="24"/>
                <w:szCs w:val="24"/>
                <w:lang w:val="en-US" w:eastAsia="zh-CN"/>
              </w:rPr>
              <w:t>▲学生防腐蚀公寓钢制床架。依据QB/T 3826-1999</w:t>
            </w:r>
            <w:r>
              <w:rPr>
                <w:rFonts w:hint="eastAsia" w:ascii="仿宋" w:hAnsi="仿宋" w:eastAsia="仿宋" w:cs="仿宋"/>
                <w:sz w:val="24"/>
                <w:szCs w:val="24"/>
                <w:highlight w:val="none"/>
                <w:lang w:val="en-US" w:eastAsia="zh-CN"/>
              </w:rPr>
              <w:t>，GB 18584-2024</w:t>
            </w:r>
            <w:r>
              <w:rPr>
                <w:rFonts w:hint="eastAsia" w:ascii="仿宋" w:hAnsi="仿宋" w:eastAsia="仿宋" w:cs="仿宋"/>
                <w:sz w:val="24"/>
                <w:szCs w:val="24"/>
                <w:lang w:val="en-US" w:eastAsia="zh-CN"/>
              </w:rPr>
              <w:t>检测标准：</w:t>
            </w:r>
            <w:r>
              <w:rPr>
                <w:rFonts w:hint="eastAsia" w:ascii="仿宋" w:hAnsi="仿宋" w:eastAsia="仿宋" w:cs="仿宋"/>
                <w:sz w:val="24"/>
                <w:szCs w:val="24"/>
                <w:highlight w:val="none"/>
                <w:lang w:val="en-US" w:eastAsia="zh-CN"/>
              </w:rPr>
              <w:t>中性盐雾试验连续喷雾≥200h；家具涂层可迁移元素：镉、铅、铬、汞、锑、钡、硒、砷，均未检出，苯未检出，甲苯未检出，二甲苯未检出，总挥发性有机化合物（TVOC）未检出。</w:t>
            </w:r>
          </w:p>
          <w:p w14:paraId="3B230F1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b/>
                <w:bCs/>
                <w:sz w:val="24"/>
                <w:szCs w:val="24"/>
                <w:lang w:eastAsia="zh-CN"/>
              </w:rPr>
            </w:pPr>
            <w:r>
              <w:rPr>
                <w:rFonts w:hint="eastAsia" w:ascii="仿宋" w:hAnsi="仿宋" w:eastAsia="仿宋" w:cs="仿宋"/>
                <w:b/>
                <w:bCs/>
                <w:sz w:val="24"/>
                <w:szCs w:val="24"/>
                <w:lang w:val="en-US" w:eastAsia="zh-CN"/>
              </w:rPr>
              <w:t>响应</w:t>
            </w:r>
            <w:r>
              <w:rPr>
                <w:rFonts w:hint="eastAsia" w:ascii="仿宋" w:hAnsi="仿宋" w:eastAsia="仿宋" w:cs="仿宋"/>
                <w:b/>
                <w:bCs/>
                <w:sz w:val="24"/>
                <w:szCs w:val="24"/>
                <w:lang w:eastAsia="zh-CN"/>
              </w:rPr>
              <w:t>文件中须提供</w:t>
            </w:r>
            <w:r>
              <w:rPr>
                <w:rFonts w:hint="eastAsia" w:ascii="仿宋" w:hAnsi="仿宋" w:eastAsia="仿宋" w:cs="仿宋"/>
                <w:b/>
                <w:bCs/>
                <w:strike w:val="0"/>
                <w:dstrike w:val="0"/>
                <w:sz w:val="24"/>
                <w:szCs w:val="24"/>
                <w:highlight w:val="none"/>
                <w:lang w:val="en-US" w:eastAsia="zh-CN"/>
              </w:rPr>
              <w:t>带有</w:t>
            </w:r>
            <w:r>
              <w:rPr>
                <w:rFonts w:hint="eastAsia" w:ascii="仿宋" w:hAnsi="仿宋" w:eastAsia="仿宋" w:cs="仿宋"/>
                <w:b/>
                <w:bCs/>
                <w:strike w:val="0"/>
                <w:dstrike w:val="0"/>
                <w:sz w:val="24"/>
                <w:szCs w:val="24"/>
                <w:highlight w:val="none"/>
              </w:rPr>
              <w:t>“CMA”标识</w:t>
            </w:r>
            <w:r>
              <w:rPr>
                <w:rFonts w:hint="eastAsia" w:ascii="仿宋" w:hAnsi="仿宋" w:eastAsia="仿宋" w:cs="仿宋"/>
                <w:b/>
                <w:bCs/>
                <w:strike w:val="0"/>
                <w:dstrike w:val="0"/>
                <w:sz w:val="24"/>
                <w:szCs w:val="24"/>
                <w:highlight w:val="none"/>
                <w:lang w:val="en-US" w:eastAsia="zh-CN"/>
              </w:rPr>
              <w:t>的</w:t>
            </w:r>
            <w:r>
              <w:rPr>
                <w:rFonts w:hint="eastAsia" w:ascii="仿宋" w:hAnsi="仿宋" w:eastAsia="仿宋" w:cs="仿宋"/>
                <w:b/>
                <w:bCs/>
                <w:sz w:val="24"/>
                <w:szCs w:val="24"/>
                <w:lang w:val="en-US" w:eastAsia="zh-CN"/>
              </w:rPr>
              <w:t>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7E6B275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lang w:val="en-US" w:eastAsia="zh-CN"/>
              </w:rPr>
              <w:t>▲学生防腐蚀公寓钢制床架。依据</w:t>
            </w:r>
            <w:r>
              <w:rPr>
                <w:rFonts w:hint="eastAsia" w:ascii="仿宋" w:hAnsi="仿宋" w:eastAsia="仿宋" w:cs="仿宋"/>
                <w:sz w:val="24"/>
                <w:szCs w:val="24"/>
                <w:highlight w:val="none"/>
                <w:lang w:val="en-US" w:eastAsia="zh-CN"/>
              </w:rPr>
              <w:t>QB/T 3832-1999</w:t>
            </w:r>
            <w:r>
              <w:rPr>
                <w:rFonts w:hint="eastAsia" w:ascii="仿宋" w:hAnsi="仿宋" w:eastAsia="仿宋" w:cs="仿宋"/>
                <w:sz w:val="24"/>
                <w:szCs w:val="24"/>
                <w:lang w:val="en-US" w:eastAsia="zh-CN"/>
              </w:rPr>
              <w:t>等检测标准</w:t>
            </w:r>
            <w:r>
              <w:rPr>
                <w:rFonts w:hint="eastAsia" w:ascii="仿宋" w:hAnsi="仿宋" w:eastAsia="仿宋" w:cs="仿宋"/>
                <w:sz w:val="24"/>
                <w:szCs w:val="24"/>
                <w:highlight w:val="none"/>
                <w:lang w:val="en-US" w:eastAsia="zh-CN"/>
              </w:rPr>
              <w:t>：镀（涂）层本身耐腐蚀等级≥9级，镀（涂）层对基体的保护等级≥9级。</w:t>
            </w:r>
          </w:p>
          <w:p w14:paraId="2031B30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sz w:val="24"/>
                <w:szCs w:val="24"/>
                <w:highlight w:val="none"/>
                <w:lang w:val="en-US" w:eastAsia="zh-CN"/>
              </w:rPr>
            </w:pPr>
            <w:r>
              <w:rPr>
                <w:rFonts w:hint="eastAsia" w:ascii="仿宋" w:hAnsi="仿宋" w:eastAsia="仿宋" w:cs="仿宋"/>
                <w:b/>
                <w:bCs/>
                <w:sz w:val="24"/>
                <w:szCs w:val="24"/>
                <w:lang w:val="en-US" w:eastAsia="zh-CN"/>
              </w:rPr>
              <w:t>响应</w:t>
            </w:r>
            <w:r>
              <w:rPr>
                <w:rFonts w:hint="eastAsia" w:ascii="仿宋" w:hAnsi="仿宋" w:eastAsia="仿宋" w:cs="仿宋"/>
                <w:b/>
                <w:bCs/>
                <w:sz w:val="24"/>
                <w:szCs w:val="24"/>
                <w:lang w:eastAsia="zh-CN"/>
              </w:rPr>
              <w:t>文件中须提供</w:t>
            </w:r>
            <w:r>
              <w:rPr>
                <w:rFonts w:hint="eastAsia" w:ascii="仿宋" w:hAnsi="仿宋" w:eastAsia="仿宋" w:cs="仿宋"/>
                <w:b/>
                <w:bCs/>
                <w:sz w:val="24"/>
                <w:szCs w:val="24"/>
                <w:lang w:val="en-US" w:eastAsia="zh-CN"/>
              </w:rPr>
              <w:t>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1D6A28A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rPr>
              <w:t>1.床边立柱：成型后立</w:t>
            </w:r>
            <w:r>
              <w:rPr>
                <w:rFonts w:hint="eastAsia" w:ascii="仿宋" w:hAnsi="仿宋" w:eastAsia="仿宋" w:cs="仿宋"/>
                <w:sz w:val="24"/>
                <w:szCs w:val="24"/>
                <w:highlight w:val="none"/>
              </w:rPr>
              <w:t>面尺寸为</w:t>
            </w:r>
            <w:r>
              <w:rPr>
                <w:rFonts w:hint="eastAsia" w:ascii="仿宋" w:hAnsi="仿宋" w:eastAsia="仿宋" w:cs="仿宋"/>
                <w:sz w:val="24"/>
                <w:szCs w:val="24"/>
                <w:highlight w:val="none"/>
                <w:lang w:val="en-US" w:eastAsia="zh-CN"/>
              </w:rPr>
              <w:t>≥</w:t>
            </w:r>
            <w:r>
              <w:rPr>
                <w:rFonts w:hint="eastAsia" w:ascii="仿宋" w:hAnsi="仿宋" w:eastAsia="仿宋" w:cs="仿宋"/>
                <w:strike w:val="0"/>
                <w:dstrike w:val="0"/>
                <w:sz w:val="24"/>
                <w:szCs w:val="24"/>
                <w:highlight w:val="none"/>
                <w:u w:val="none"/>
              </w:rPr>
              <w:t>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w:t>
            </w:r>
            <w:r>
              <w:rPr>
                <w:rFonts w:hint="eastAsia" w:ascii="仿宋" w:hAnsi="仿宋" w:eastAsia="仿宋" w:cs="仿宋"/>
                <w:sz w:val="24"/>
                <w:szCs w:val="24"/>
                <w:highlight w:val="none"/>
              </w:rPr>
              <w:t>。</w:t>
            </w:r>
            <w:r>
              <w:rPr>
                <w:rFonts w:hint="eastAsia" w:ascii="仿宋" w:hAnsi="仿宋" w:eastAsia="仿宋" w:cs="仿宋"/>
                <w:sz w:val="24"/>
                <w:szCs w:val="24"/>
                <w:highlight w:val="none"/>
                <w:lang w:eastAsia="zh-CN"/>
              </w:rPr>
              <w:t>整体呈“L”字形状</w:t>
            </w:r>
            <w:r>
              <w:rPr>
                <w:rFonts w:hint="eastAsia" w:ascii="仿宋" w:hAnsi="仿宋" w:eastAsia="仿宋" w:cs="仿宋"/>
                <w:sz w:val="24"/>
                <w:szCs w:val="24"/>
                <w:highlight w:val="none"/>
                <w:lang w:val="en-US" w:eastAsia="zh-CN"/>
              </w:rPr>
              <w:t>闭合管</w:t>
            </w:r>
            <w:r>
              <w:rPr>
                <w:rFonts w:hint="eastAsia" w:ascii="仿宋" w:hAnsi="仿宋" w:eastAsia="仿宋" w:cs="仿宋"/>
                <w:sz w:val="24"/>
                <w:szCs w:val="24"/>
                <w:highlight w:val="none"/>
              </w:rPr>
              <w:t>，外侧直径</w:t>
            </w:r>
            <w:r>
              <w:rPr>
                <w:rFonts w:hint="eastAsia" w:ascii="仿宋" w:hAnsi="仿宋" w:eastAsia="仿宋" w:cs="仿宋"/>
                <w:sz w:val="24"/>
                <w:szCs w:val="24"/>
                <w:highlight w:val="none"/>
                <w:lang w:val="en-US" w:eastAsia="zh-CN"/>
              </w:rPr>
              <w:t>≥</w:t>
            </w:r>
            <w:r>
              <w:rPr>
                <w:rFonts w:hint="eastAsia" w:ascii="仿宋" w:hAnsi="仿宋" w:eastAsia="仿宋" w:cs="仿宋"/>
                <w:strike w:val="0"/>
                <w:dstrike w:val="0"/>
                <w:sz w:val="24"/>
                <w:szCs w:val="24"/>
                <w:highlight w:val="none"/>
                <w:u w:val="none"/>
              </w:rPr>
              <w:t>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w:t>
            </w:r>
            <w:r>
              <w:rPr>
                <w:rFonts w:hint="eastAsia" w:ascii="仿宋" w:hAnsi="仿宋" w:eastAsia="仿宋" w:cs="仿宋"/>
                <w:sz w:val="24"/>
                <w:szCs w:val="24"/>
                <w:highlight w:val="none"/>
              </w:rPr>
              <w:t>的完整半圆弧形。立柱整体具有≥</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条向内凹的加强筋，材料厚度为≥1.2mm。</w:t>
            </w:r>
          </w:p>
          <w:p w14:paraId="161AF20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2.床后立柱：成型后尺寸为60mm*60mm的方管，壁厚≥1.2mm。</w:t>
            </w:r>
          </w:p>
          <w:p w14:paraId="33A61B8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3.床长横梁：采用</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40mm×90mm的高频焊接封口P形闭合型材管，上方为阶梯式，方便放置床板，放置床铺板位置内凹规格为</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30*10mm），上方平面宽≥30mm；可以放置挂钩并在轨道内自由滑动（无需另外加装滑轨），方便学生悬挂布帘以及其他物品，每个床前厅带5个挂钩，材料厚度为≥1.2mm。</w:t>
            </w:r>
          </w:p>
          <w:p w14:paraId="36FB64D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4</w:t>
            </w:r>
            <w:r>
              <w:rPr>
                <w:rFonts w:hint="eastAsia" w:ascii="仿宋" w:hAnsi="仿宋" w:eastAsia="仿宋" w:cs="仿宋"/>
                <w:sz w:val="24"/>
                <w:szCs w:val="24"/>
                <w:highlight w:val="none"/>
              </w:rPr>
              <w:t>.中立柱：成型后立面尺寸为</w:t>
            </w:r>
            <w:r>
              <w:rPr>
                <w:rFonts w:hint="eastAsia" w:ascii="仿宋" w:hAnsi="仿宋" w:eastAsia="仿宋" w:cs="仿宋"/>
                <w:sz w:val="24"/>
                <w:szCs w:val="24"/>
                <w:highlight w:val="none"/>
                <w:lang w:val="en-US" w:eastAsia="zh-CN"/>
              </w:rPr>
              <w:t>≥</w:t>
            </w:r>
            <w:r>
              <w:rPr>
                <w:rFonts w:hint="eastAsia" w:ascii="仿宋" w:hAnsi="仿宋" w:eastAsia="仿宋" w:cs="仿宋"/>
                <w:strike w:val="0"/>
                <w:dstrike w:val="0"/>
                <w:sz w:val="24"/>
                <w:szCs w:val="24"/>
                <w:highlight w:val="none"/>
                <w:u w:val="none"/>
              </w:rPr>
              <w:t>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w:t>
            </w:r>
            <w:r>
              <w:rPr>
                <w:rFonts w:hint="eastAsia" w:ascii="仿宋" w:hAnsi="仿宋" w:eastAsia="仿宋" w:cs="仿宋"/>
                <w:sz w:val="24"/>
                <w:szCs w:val="24"/>
                <w:highlight w:val="none"/>
              </w:rPr>
              <w:t>。整体呈“凸”字形状，外侧为直径</w:t>
            </w:r>
            <w:r>
              <w:rPr>
                <w:rFonts w:hint="eastAsia" w:ascii="仿宋" w:hAnsi="仿宋" w:eastAsia="仿宋" w:cs="仿宋"/>
                <w:sz w:val="24"/>
                <w:szCs w:val="24"/>
                <w:highlight w:val="none"/>
                <w:lang w:val="en-US" w:eastAsia="zh-CN"/>
              </w:rPr>
              <w:t>≥</w:t>
            </w:r>
            <w:r>
              <w:rPr>
                <w:rFonts w:hint="eastAsia" w:ascii="仿宋" w:hAnsi="仿宋" w:eastAsia="仿宋" w:cs="仿宋"/>
                <w:strike w:val="0"/>
                <w:dstrike w:val="0"/>
                <w:sz w:val="24"/>
                <w:szCs w:val="24"/>
                <w:highlight w:val="none"/>
                <w:u w:val="none"/>
              </w:rPr>
              <w:t>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w:t>
            </w:r>
            <w:r>
              <w:rPr>
                <w:rFonts w:hint="eastAsia" w:ascii="仿宋" w:hAnsi="仿宋" w:eastAsia="仿宋" w:cs="仿宋"/>
                <w:sz w:val="24"/>
                <w:szCs w:val="24"/>
                <w:highlight w:val="none"/>
              </w:rPr>
              <w:t>的完整半圆弧形；</w:t>
            </w:r>
          </w:p>
          <w:p w14:paraId="0270FD5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highlight w:val="none"/>
                <w:lang w:val="en-US" w:eastAsia="zh-CN"/>
              </w:rPr>
              <w:t>5</w:t>
            </w:r>
            <w:r>
              <w:rPr>
                <w:rFonts w:hint="eastAsia" w:ascii="仿宋" w:hAnsi="仿宋" w:eastAsia="仿宋" w:cs="仿宋"/>
                <w:sz w:val="24"/>
                <w:szCs w:val="24"/>
                <w:highlight w:val="none"/>
              </w:rPr>
              <w:t>.公寓床脚套采用ABS工程塑料制作</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与立柱完美贴合</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外侧为完整半圆弧形，脚套厚度</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0</w:t>
            </w:r>
            <w:r>
              <w:rPr>
                <w:rFonts w:hint="eastAsia" w:ascii="仿宋" w:hAnsi="仿宋" w:eastAsia="仿宋" w:cs="仿宋"/>
                <w:sz w:val="24"/>
                <w:szCs w:val="24"/>
                <w:highlight w:val="none"/>
              </w:rPr>
              <w:t>mm，包裹高度</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rPr>
              <w:t>15mm。</w:t>
            </w:r>
            <w:r>
              <w:rPr>
                <w:rFonts w:hint="eastAsia" w:ascii="仿宋" w:hAnsi="仿宋" w:eastAsia="仿宋" w:cs="仿宋"/>
                <w:sz w:val="24"/>
                <w:szCs w:val="24"/>
                <w:lang w:val="en-US" w:eastAsia="zh-CN"/>
              </w:rPr>
              <w:t>不允许3D打印。</w:t>
            </w:r>
          </w:p>
          <w:p w14:paraId="727EDB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6.床下短横梁尺寸为</w:t>
            </w:r>
            <w:r>
              <w:rPr>
                <w:rFonts w:hint="eastAsia" w:ascii="仿宋" w:hAnsi="仿宋" w:eastAsia="仿宋" w:cs="仿宋"/>
                <w:sz w:val="24"/>
                <w:szCs w:val="24"/>
                <w:lang w:val="en-US" w:eastAsia="zh-CN"/>
              </w:rPr>
              <w:t>≥</w:t>
            </w:r>
            <w:r>
              <w:rPr>
                <w:rFonts w:hint="eastAsia" w:ascii="仿宋" w:hAnsi="仿宋" w:eastAsia="仿宋" w:cs="仿宋"/>
                <w:sz w:val="24"/>
                <w:szCs w:val="24"/>
              </w:rPr>
              <w:t>25mm×50mm冷轧方管，厚度≥1.2mm。后拉杆尺寸为20mm×40mm冷轧方管，厚度≥1.2mm。</w:t>
            </w:r>
          </w:p>
          <w:p w14:paraId="3C00D64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7.前护栏：护栏整体采用钢木结构，外围采用≥25*25*1.2mm厚D型管折弯成型，下方焊接25*25*1.2mm厚方管制作，最下层镶嵌一块与柜体同色≥17mm 厚度的三聚氰胺饰面实木生态板。</w:t>
            </w:r>
          </w:p>
          <w:p w14:paraId="6C94FCE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8.侧护栏：护栏上层横档采用≥25mm*25mmD型管厚度≥1.2mm，下层横档采用25mm*25mm方管厚度≥1.2mm，竖管焊接25mm*25mm方管厚度≥1.2mm，最下层镶嵌一块与柜体同色≥17mm厚度的E</w:t>
            </w:r>
            <w:r>
              <w:rPr>
                <w:rFonts w:hint="eastAsia" w:ascii="仿宋" w:hAnsi="仿宋" w:eastAsia="仿宋" w:cs="仿宋"/>
                <w:sz w:val="24"/>
                <w:szCs w:val="24"/>
                <w:lang w:val="en-US" w:eastAsia="zh-CN"/>
              </w:rPr>
              <w:t>0</w:t>
            </w:r>
            <w:r>
              <w:rPr>
                <w:rFonts w:hint="eastAsia" w:ascii="仿宋" w:hAnsi="仿宋" w:eastAsia="仿宋" w:cs="仿宋"/>
                <w:sz w:val="24"/>
                <w:szCs w:val="24"/>
              </w:rPr>
              <w:t>级</w:t>
            </w:r>
            <w:r>
              <w:rPr>
                <w:rFonts w:hint="eastAsia" w:ascii="仿宋" w:hAnsi="仿宋" w:eastAsia="仿宋" w:cs="仿宋"/>
                <w:sz w:val="24"/>
                <w:szCs w:val="24"/>
                <w:lang w:eastAsia="zh-CN"/>
              </w:rPr>
              <w:t>三聚氰胺饰面实木生态板</w:t>
            </w:r>
            <w:r>
              <w:rPr>
                <w:rFonts w:hint="eastAsia" w:ascii="仿宋" w:hAnsi="仿宋" w:eastAsia="仿宋" w:cs="仿宋"/>
                <w:sz w:val="24"/>
                <w:szCs w:val="24"/>
              </w:rPr>
              <w:t>。</w:t>
            </w:r>
          </w:p>
          <w:p w14:paraId="7DE1B4B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9.床板支撑：采用成型后尺寸≥30*20mm方管，厚度≥1.0mm，每个床位不低于5根，床板支撑与横梁之间加装静音塑料件，减少噪音。</w:t>
            </w:r>
          </w:p>
          <w:p w14:paraId="622730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10.卡式连接件：采用下挂式连接（无螺栓），冷轧钢板一次性冲压成型，“L”型卡式连接，经数控冲床加工4个连接孔，通过与挂片无缝式下压连接，实现使用后越用越紧的状态。材质厚度为≥1.8mm。为</w:t>
            </w:r>
            <w:r>
              <w:rPr>
                <w:rFonts w:hint="eastAsia" w:ascii="仿宋" w:hAnsi="仿宋" w:eastAsia="仿宋" w:cs="仿宋"/>
                <w:sz w:val="24"/>
                <w:szCs w:val="24"/>
                <w:lang w:val="en-US" w:eastAsia="zh-CN"/>
              </w:rPr>
              <w:t>避免</w:t>
            </w:r>
            <w:r>
              <w:rPr>
                <w:rFonts w:hint="eastAsia" w:ascii="仿宋" w:hAnsi="仿宋" w:eastAsia="仿宋" w:cs="仿宋"/>
                <w:sz w:val="24"/>
                <w:szCs w:val="24"/>
              </w:rPr>
              <w:t>连接件划伤学生，床前横梁与前立柱必须为内挂连接，正视看不到连接件。</w:t>
            </w:r>
          </w:p>
          <w:p w14:paraId="36699B2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11.楼梯：立柱采用</w:t>
            </w:r>
            <w:r>
              <w:rPr>
                <w:rFonts w:hint="eastAsia" w:ascii="仿宋" w:hAnsi="仿宋" w:eastAsia="仿宋" w:cs="仿宋"/>
                <w:sz w:val="24"/>
                <w:szCs w:val="24"/>
                <w:lang w:val="en-US" w:eastAsia="zh-CN"/>
              </w:rPr>
              <w:t>≥</w:t>
            </w:r>
            <w:r>
              <w:rPr>
                <w:rFonts w:hint="eastAsia" w:ascii="仿宋" w:hAnsi="仿宋" w:eastAsia="仿宋" w:cs="仿宋"/>
                <w:sz w:val="24"/>
                <w:szCs w:val="24"/>
              </w:rPr>
              <w:t>25*50*1.2mm椭圆管，中间焊接5根≥20*40*1.2mm方管，方管上方安装防滑踏板，防滑踏板规格：420mm(±</w:t>
            </w:r>
            <w:r>
              <w:rPr>
                <w:rFonts w:hint="eastAsia" w:ascii="仿宋" w:hAnsi="仿宋" w:eastAsia="仿宋" w:cs="仿宋"/>
                <w:sz w:val="24"/>
                <w:szCs w:val="24"/>
                <w:lang w:val="en-US" w:eastAsia="zh-CN"/>
              </w:rPr>
              <w:t>10</w:t>
            </w:r>
            <w:r>
              <w:rPr>
                <w:rFonts w:hint="eastAsia" w:ascii="仿宋" w:hAnsi="仿宋" w:eastAsia="仿宋" w:cs="仿宋"/>
                <w:sz w:val="24"/>
                <w:szCs w:val="24"/>
              </w:rPr>
              <w:t>mm）*140mm (±</w:t>
            </w:r>
            <w:r>
              <w:rPr>
                <w:rFonts w:hint="eastAsia" w:ascii="仿宋" w:hAnsi="仿宋" w:eastAsia="仿宋" w:cs="仿宋"/>
                <w:sz w:val="24"/>
                <w:szCs w:val="24"/>
                <w:lang w:val="en-US" w:eastAsia="zh-CN"/>
              </w:rPr>
              <w:t>10</w:t>
            </w:r>
            <w:r>
              <w:rPr>
                <w:rFonts w:hint="eastAsia" w:ascii="仿宋" w:hAnsi="仿宋" w:eastAsia="仿宋" w:cs="仿宋"/>
                <w:sz w:val="24"/>
                <w:szCs w:val="24"/>
              </w:rPr>
              <w:t>mm）*35mm；踏板前沿需为圆弧形防止撞伤，踏板表面需有防滑纹，并安装有5个夜光片，踏板表面带有不少于</w:t>
            </w:r>
            <w:r>
              <w:rPr>
                <w:rFonts w:hint="eastAsia" w:ascii="仿宋" w:hAnsi="仿宋" w:eastAsia="仿宋" w:cs="仿宋"/>
                <w:sz w:val="24"/>
                <w:szCs w:val="24"/>
                <w:lang w:val="en-US" w:eastAsia="zh-CN"/>
              </w:rPr>
              <w:t>6</w:t>
            </w:r>
            <w:r>
              <w:rPr>
                <w:rFonts w:hint="eastAsia" w:ascii="仿宋" w:hAnsi="仿宋" w:eastAsia="仿宋" w:cs="仿宋"/>
                <w:sz w:val="24"/>
                <w:szCs w:val="24"/>
              </w:rPr>
              <w:t>条凸起的加强筋，增加踏板的强度同时起到防滑作用。</w:t>
            </w:r>
          </w:p>
          <w:p w14:paraId="57FB176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rPr>
              <w:t>12.蚊帐架:采用≥直径16mm*1.0mm厚圆管折弯制作</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采用旋钮式可调节固定基座。</w:t>
            </w:r>
          </w:p>
          <w:p w14:paraId="3A1279A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13.床板：采用15mm厚的全干杉木板制作拼接而成，床板须满铺不留缝隙，尺寸根据实际公寓床内空制作。经干燥防腐、防蛀处理，无闪边，双面刨光。横档用25×35mm实木木方三面刨光，数量不少于三根铁钉钉制而成，木材干燥、无大结疤、无穿心死结，无朽木。</w:t>
            </w:r>
          </w:p>
          <w:p w14:paraId="7E0984F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14.公寓床钢架表面经除油，去锈，磷化静电喷粉高温固化而成，环氧树脂静电粉末喷塑，防锈，耐磨，防腐蚀，床架油漆涂面平整、光滑、无颗粒、气泡、渣点。</w:t>
            </w:r>
          </w:p>
          <w:p w14:paraId="3CD0F497">
            <w:pPr>
              <w:keepNext w:val="0"/>
              <w:keepLines w:val="0"/>
              <w:pageBreakBefore w:val="0"/>
              <w:kinsoku/>
              <w:wordWrap/>
              <w:overflowPunct/>
              <w:topLinePunct w:val="0"/>
              <w:autoSpaceDE/>
              <w:autoSpaceDN/>
              <w:bidi w:val="0"/>
              <w:adjustRightInd/>
              <w:snapToGrid/>
              <w:spacing w:line="360" w:lineRule="auto"/>
              <w:ind w:firstLine="233" w:firstLineChars="100"/>
              <w:textAlignment w:val="auto"/>
              <w:rPr>
                <w:rFonts w:hint="eastAsia" w:ascii="仿宋" w:hAnsi="仿宋" w:eastAsia="仿宋" w:cs="仿宋"/>
                <w:b/>
                <w:bCs/>
                <w:spacing w:val="-4"/>
                <w:sz w:val="24"/>
                <w:szCs w:val="24"/>
              </w:rPr>
            </w:pPr>
            <w:r>
              <w:rPr>
                <w:rFonts w:hint="eastAsia" w:ascii="仿宋" w:hAnsi="仿宋" w:eastAsia="仿宋" w:cs="仿宋"/>
                <w:b/>
                <w:bCs/>
                <w:spacing w:val="-4"/>
                <w:sz w:val="24"/>
                <w:szCs w:val="24"/>
              </w:rPr>
              <w:t>（二）学生书桌及书架（三人位）</w:t>
            </w:r>
          </w:p>
          <w:p w14:paraId="30136AE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green"/>
              </w:rPr>
            </w:pPr>
            <w:r>
              <w:rPr>
                <w:rFonts w:hint="eastAsia" w:ascii="仿宋" w:hAnsi="仿宋" w:eastAsia="仿宋" w:cs="仿宋"/>
                <w:color w:val="auto"/>
                <w:sz w:val="24"/>
                <w:szCs w:val="24"/>
                <w:highlight w:val="none"/>
                <w:lang w:val="en-US" w:eastAsia="zh-CN"/>
              </w:rPr>
              <w:t>▲桌面。依据GB 18580-2025，GB 18584-2024，GB/T 39600-2021检测标准：</w:t>
            </w:r>
            <w:r>
              <w:rPr>
                <w:rFonts w:hint="eastAsia" w:ascii="仿宋" w:hAnsi="仿宋" w:eastAsia="仿宋" w:cs="仿宋"/>
                <w:color w:val="auto"/>
                <w:sz w:val="24"/>
                <w:szCs w:val="24"/>
                <w:highlight w:val="none"/>
              </w:rPr>
              <w:t>甲醛释放量达到E0级标准，甲醛释放量≤0.050mg/m³；挥发性有机物：苯、甲苯、二甲苯均未检出，总挥发性有机化合物（TVOC）未检出</w:t>
            </w:r>
            <w:r>
              <w:rPr>
                <w:rFonts w:hint="eastAsia" w:ascii="仿宋" w:hAnsi="仿宋" w:eastAsia="仿宋" w:cs="仿宋"/>
                <w:color w:val="auto"/>
                <w:sz w:val="24"/>
                <w:szCs w:val="24"/>
                <w:highlight w:val="none"/>
                <w:lang w:eastAsia="zh-CN"/>
              </w:rPr>
              <w:t>。</w:t>
            </w:r>
          </w:p>
          <w:p w14:paraId="2B2EA76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color w:val="auto"/>
                <w:sz w:val="24"/>
                <w:szCs w:val="24"/>
                <w:lang w:val="en-US" w:eastAsia="zh-CN"/>
              </w:rPr>
            </w:pPr>
            <w:r>
              <w:rPr>
                <w:rFonts w:hint="eastAsia" w:ascii="仿宋" w:hAnsi="仿宋" w:eastAsia="仿宋" w:cs="仿宋"/>
                <w:b/>
                <w:bCs/>
                <w:sz w:val="24"/>
                <w:szCs w:val="24"/>
                <w:lang w:val="en-US" w:eastAsia="zh-CN"/>
              </w:rPr>
              <w:t>响应</w:t>
            </w:r>
            <w:r>
              <w:rPr>
                <w:rFonts w:hint="eastAsia" w:ascii="仿宋" w:hAnsi="仿宋" w:eastAsia="仿宋" w:cs="仿宋"/>
                <w:b/>
                <w:bCs/>
                <w:sz w:val="24"/>
                <w:szCs w:val="24"/>
                <w:lang w:eastAsia="zh-CN"/>
              </w:rPr>
              <w:t>文件中须提供</w:t>
            </w:r>
            <w:r>
              <w:rPr>
                <w:rFonts w:hint="eastAsia" w:ascii="仿宋" w:hAnsi="仿宋" w:eastAsia="仿宋" w:cs="仿宋"/>
                <w:b/>
                <w:bCs/>
                <w:sz w:val="24"/>
                <w:szCs w:val="24"/>
                <w:lang w:val="en-US" w:eastAsia="zh-CN"/>
              </w:rPr>
              <w:t>带有</w:t>
            </w:r>
            <w:r>
              <w:rPr>
                <w:rFonts w:hint="eastAsia" w:ascii="仿宋" w:hAnsi="仿宋" w:eastAsia="仿宋" w:cs="仿宋"/>
                <w:b/>
                <w:bCs/>
                <w:sz w:val="24"/>
                <w:szCs w:val="24"/>
              </w:rPr>
              <w:t>“CMA”标识</w:t>
            </w:r>
            <w:r>
              <w:rPr>
                <w:rFonts w:hint="eastAsia" w:ascii="仿宋" w:hAnsi="仿宋" w:eastAsia="仿宋" w:cs="仿宋"/>
                <w:b/>
                <w:bCs/>
                <w:sz w:val="24"/>
                <w:szCs w:val="24"/>
                <w:lang w:val="en-US" w:eastAsia="zh-CN"/>
              </w:rPr>
              <w:t>的第三方检测报告原色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34F118A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rPr>
              <w:t>1.书桌及书架规格：长度为1900mm高度为1680mm深度600mm（长度可根据床下内空空间制作），基材为≥17mm厚度的</w:t>
            </w:r>
            <w:r>
              <w:rPr>
                <w:rFonts w:hint="eastAsia" w:ascii="仿宋" w:hAnsi="仿宋" w:eastAsia="仿宋" w:cs="仿宋"/>
                <w:sz w:val="24"/>
                <w:szCs w:val="24"/>
                <w:lang w:val="en-US" w:eastAsia="zh-CN"/>
              </w:rPr>
              <w:t>E0级</w:t>
            </w:r>
            <w:r>
              <w:rPr>
                <w:rFonts w:hint="eastAsia" w:ascii="仿宋" w:hAnsi="仿宋" w:eastAsia="仿宋" w:cs="仿宋"/>
                <w:sz w:val="24"/>
                <w:szCs w:val="24"/>
              </w:rPr>
              <w:t>三聚氰胺饰面实木生态板，桌面板采用三聚氰胺饰面实木生态板25mm厚制作。背板为≥4.5mm同色</w:t>
            </w:r>
            <w:r>
              <w:rPr>
                <w:rFonts w:hint="eastAsia" w:ascii="仿宋" w:hAnsi="仿宋" w:eastAsia="仿宋" w:cs="仿宋"/>
                <w:sz w:val="24"/>
                <w:szCs w:val="24"/>
                <w:lang w:eastAsia="zh-CN"/>
              </w:rPr>
              <w:t>E0</w:t>
            </w:r>
            <w:r>
              <w:rPr>
                <w:rFonts w:hint="eastAsia" w:ascii="仿宋" w:hAnsi="仿宋" w:eastAsia="仿宋" w:cs="仿宋"/>
                <w:sz w:val="24"/>
                <w:szCs w:val="24"/>
              </w:rPr>
              <w:t>级双饰面环保多层板，应符合环保要求。每张书桌带3个抽屉。</w:t>
            </w:r>
            <w:r>
              <w:rPr>
                <w:rFonts w:hint="eastAsia" w:ascii="仿宋" w:hAnsi="仿宋" w:eastAsia="仿宋" w:cs="仿宋"/>
                <w:sz w:val="24"/>
                <w:szCs w:val="24"/>
                <w:lang w:val="en-US" w:eastAsia="zh-CN"/>
              </w:rPr>
              <w:t>书桌底部采用4个支撑板，书架下部采用加强横梁板支撑。</w:t>
            </w:r>
          </w:p>
          <w:p w14:paraId="0B6F9FA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2.板材经烘干、杀菌、杀虫处理，保证材料不会变形生虫，不带有毒气体，达到国家标准；</w:t>
            </w:r>
          </w:p>
          <w:p w14:paraId="1986D3D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3.封边：采用防潮pvc封边条,与柜板面同色,1.2mm厚，热熔胶封边而成(板露边处),做到平整、不炝边、受热受冻不会脱胶开裂；</w:t>
            </w:r>
          </w:p>
          <w:p w14:paraId="211E422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4.配件部分：柜体采用二合一扣件或三合一扣件链接，衣柜开门采用与柜门同长的整根长排合页</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柜门处增加磁吸闭门器；</w:t>
            </w:r>
            <w:r>
              <w:rPr>
                <w:rFonts w:hint="eastAsia" w:ascii="仿宋" w:hAnsi="仿宋" w:eastAsia="仿宋" w:cs="仿宋"/>
                <w:sz w:val="24"/>
                <w:szCs w:val="24"/>
              </w:rPr>
              <w:t>桌面下储物柜柜门采用铰链；抽屉采用三节导轨，所有门与抽屉需采用拉手</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挂锁件</w:t>
            </w:r>
            <w:r>
              <w:rPr>
                <w:rFonts w:hint="eastAsia" w:ascii="仿宋" w:hAnsi="仿宋" w:eastAsia="仿宋" w:cs="仿宋"/>
                <w:sz w:val="24"/>
                <w:szCs w:val="24"/>
              </w:rPr>
              <w:t>。</w:t>
            </w:r>
          </w:p>
          <w:p w14:paraId="5AFEB83B">
            <w:pPr>
              <w:keepNext w:val="0"/>
              <w:keepLines w:val="0"/>
              <w:pageBreakBefore w:val="0"/>
              <w:kinsoku/>
              <w:wordWrap/>
              <w:overflowPunct/>
              <w:topLinePunct w:val="0"/>
              <w:autoSpaceDE/>
              <w:autoSpaceDN/>
              <w:bidi w:val="0"/>
              <w:adjustRightInd/>
              <w:snapToGrid/>
              <w:spacing w:before="2" w:line="360" w:lineRule="auto"/>
              <w:ind w:firstLine="233" w:firstLineChars="100"/>
              <w:textAlignment w:val="auto"/>
              <w:rPr>
                <w:rFonts w:hint="eastAsia" w:ascii="仿宋" w:hAnsi="仿宋" w:eastAsia="仿宋" w:cs="仿宋"/>
                <w:sz w:val="24"/>
                <w:szCs w:val="24"/>
              </w:rPr>
            </w:pPr>
            <w:r>
              <w:rPr>
                <w:rFonts w:hint="eastAsia" w:ascii="仿宋" w:hAnsi="仿宋" w:eastAsia="仿宋" w:cs="仿宋"/>
                <w:b/>
                <w:bCs/>
                <w:spacing w:val="-4"/>
                <w:sz w:val="24"/>
                <w:szCs w:val="24"/>
              </w:rPr>
              <w:t>（三）</w:t>
            </w:r>
            <w:r>
              <w:rPr>
                <w:rFonts w:hint="eastAsia" w:ascii="仿宋" w:hAnsi="仿宋" w:eastAsia="仿宋" w:cs="仿宋"/>
                <w:b/>
                <w:bCs/>
                <w:spacing w:val="-4"/>
                <w:sz w:val="24"/>
                <w:szCs w:val="24"/>
                <w:lang w:val="en-US" w:eastAsia="zh-CN"/>
              </w:rPr>
              <w:t>公寓椅</w:t>
            </w:r>
            <w:r>
              <w:rPr>
                <w:rFonts w:hint="eastAsia" w:ascii="仿宋" w:hAnsi="仿宋" w:eastAsia="仿宋" w:cs="仿宋"/>
                <w:b/>
                <w:bCs/>
                <w:spacing w:val="-4"/>
                <w:sz w:val="24"/>
                <w:szCs w:val="24"/>
              </w:rPr>
              <w:t>（每组三个）</w:t>
            </w:r>
          </w:p>
          <w:p w14:paraId="396378D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▲学生公寓靠背椅。依据QB/T 3826-1999</w:t>
            </w:r>
            <w:r>
              <w:rPr>
                <w:rFonts w:hint="eastAsia" w:ascii="仿宋" w:hAnsi="仿宋" w:eastAsia="仿宋" w:cs="仿宋"/>
                <w:sz w:val="24"/>
                <w:szCs w:val="24"/>
                <w:highlight w:val="none"/>
                <w:lang w:val="en-US" w:eastAsia="zh-CN"/>
              </w:rPr>
              <w:t>，GB 18584-2024检测标准：</w:t>
            </w:r>
            <w:r>
              <w:rPr>
                <w:rFonts w:hint="eastAsia" w:ascii="仿宋" w:hAnsi="仿宋" w:eastAsia="仿宋" w:cs="仿宋"/>
                <w:color w:val="auto"/>
                <w:sz w:val="24"/>
                <w:szCs w:val="24"/>
                <w:highlight w:val="none"/>
                <w:lang w:val="en-US" w:eastAsia="zh-CN"/>
              </w:rPr>
              <w:t>中性盐雾试验连续喷雾≥200h；</w:t>
            </w:r>
            <w:r>
              <w:rPr>
                <w:rFonts w:hint="eastAsia" w:ascii="仿宋" w:hAnsi="仿宋" w:eastAsia="仿宋" w:cs="仿宋"/>
                <w:sz w:val="24"/>
                <w:szCs w:val="24"/>
                <w:highlight w:val="none"/>
                <w:lang w:val="en-US" w:eastAsia="zh-CN"/>
              </w:rPr>
              <w:t>家具涂层可迁移元素：镉、铅、铬、汞、锑、钡、硒、砷，均未检出，苯未检出，甲苯未检出，二甲苯未检出，总挥发性有机化合物（TVOC）未检出。</w:t>
            </w:r>
          </w:p>
          <w:p w14:paraId="50FDD8C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both"/>
              <w:textAlignment w:val="auto"/>
              <w:rPr>
                <w:rFonts w:hint="eastAsia" w:ascii="仿宋" w:hAnsi="仿宋" w:eastAsia="仿宋" w:cs="仿宋"/>
                <w:b/>
                <w:bCs/>
                <w:sz w:val="24"/>
                <w:szCs w:val="24"/>
                <w:lang w:eastAsia="zh-CN"/>
              </w:rPr>
            </w:pPr>
            <w:r>
              <w:rPr>
                <w:rFonts w:hint="eastAsia" w:ascii="仿宋" w:hAnsi="仿宋" w:eastAsia="仿宋" w:cs="仿宋"/>
                <w:b/>
                <w:bCs/>
                <w:sz w:val="24"/>
                <w:szCs w:val="24"/>
                <w:lang w:val="en-US" w:eastAsia="zh-CN"/>
              </w:rPr>
              <w:t>响应</w:t>
            </w:r>
            <w:r>
              <w:rPr>
                <w:rFonts w:hint="eastAsia" w:ascii="仿宋" w:hAnsi="仿宋" w:eastAsia="仿宋" w:cs="仿宋"/>
                <w:b/>
                <w:bCs/>
                <w:sz w:val="24"/>
                <w:szCs w:val="24"/>
                <w:lang w:eastAsia="zh-CN"/>
              </w:rPr>
              <w:t>文件中须提供</w:t>
            </w:r>
            <w:r>
              <w:rPr>
                <w:rFonts w:hint="eastAsia" w:ascii="仿宋" w:hAnsi="仿宋" w:eastAsia="仿宋" w:cs="仿宋"/>
                <w:b/>
                <w:bCs/>
                <w:sz w:val="24"/>
                <w:szCs w:val="24"/>
                <w:lang w:val="en-US" w:eastAsia="zh-CN"/>
              </w:rPr>
              <w:t>带有</w:t>
            </w:r>
            <w:r>
              <w:rPr>
                <w:rFonts w:hint="eastAsia" w:ascii="仿宋" w:hAnsi="仿宋" w:eastAsia="仿宋" w:cs="仿宋"/>
                <w:b/>
                <w:bCs/>
                <w:sz w:val="24"/>
                <w:szCs w:val="24"/>
              </w:rPr>
              <w:t>“CMA”标识</w:t>
            </w:r>
            <w:r>
              <w:rPr>
                <w:rFonts w:hint="eastAsia" w:ascii="仿宋" w:hAnsi="仿宋" w:eastAsia="仿宋" w:cs="仿宋"/>
                <w:b/>
                <w:bCs/>
                <w:sz w:val="24"/>
                <w:szCs w:val="24"/>
                <w:lang w:val="en-US" w:eastAsia="zh-CN"/>
              </w:rPr>
              <w:t>的第三方检测报告原色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0BE59A5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lang w:val="en-US" w:eastAsia="zh-CN"/>
              </w:rPr>
              <w:t>▲学生公寓靠背椅。依据</w:t>
            </w:r>
            <w:r>
              <w:rPr>
                <w:rFonts w:hint="eastAsia" w:ascii="仿宋" w:hAnsi="仿宋" w:eastAsia="仿宋" w:cs="仿宋"/>
                <w:sz w:val="24"/>
                <w:szCs w:val="24"/>
                <w:highlight w:val="none"/>
                <w:lang w:val="en-US" w:eastAsia="zh-CN"/>
              </w:rPr>
              <w:t>QB/T 3832-1999</w:t>
            </w:r>
            <w:r>
              <w:rPr>
                <w:rFonts w:hint="eastAsia" w:ascii="仿宋" w:hAnsi="仿宋" w:eastAsia="仿宋" w:cs="仿宋"/>
                <w:sz w:val="24"/>
                <w:szCs w:val="24"/>
                <w:lang w:val="en-US" w:eastAsia="zh-CN"/>
              </w:rPr>
              <w:t>检测标准</w:t>
            </w:r>
            <w:r>
              <w:rPr>
                <w:rFonts w:hint="eastAsia" w:ascii="仿宋" w:hAnsi="仿宋" w:eastAsia="仿宋" w:cs="仿宋"/>
                <w:sz w:val="24"/>
                <w:szCs w:val="24"/>
                <w:highlight w:val="none"/>
                <w:lang w:val="en-US" w:eastAsia="zh-CN"/>
              </w:rPr>
              <w:t>：镀（涂）层本身耐腐蚀等级≥9级，镀（涂）层对基体的保护等级≥9级。</w:t>
            </w:r>
          </w:p>
          <w:p w14:paraId="7FEC1BF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both"/>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响应</w:t>
            </w:r>
            <w:r>
              <w:rPr>
                <w:rFonts w:hint="eastAsia" w:ascii="仿宋" w:hAnsi="仿宋" w:eastAsia="仿宋" w:cs="仿宋"/>
                <w:b/>
                <w:bCs/>
                <w:sz w:val="24"/>
                <w:szCs w:val="24"/>
                <w:lang w:eastAsia="zh-CN"/>
              </w:rPr>
              <w:t>文件中须提供</w:t>
            </w:r>
            <w:r>
              <w:rPr>
                <w:rFonts w:hint="eastAsia" w:ascii="仿宋" w:hAnsi="仿宋" w:eastAsia="仿宋" w:cs="仿宋"/>
                <w:b/>
                <w:bCs/>
                <w:sz w:val="24"/>
                <w:szCs w:val="24"/>
                <w:lang w:val="en-US" w:eastAsia="zh-CN"/>
              </w:rPr>
              <w:t>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3C5ECC1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1.规格为：≥430*395*420（椅背高度820mm）。</w:t>
            </w:r>
          </w:p>
          <w:p w14:paraId="53F8A79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2.学生公寓椅要求：公寓椅采用塑钢结构，椅脚采用≥43mm*23mmmm扁圆管厚度≥1.2mm；靠背托架采用≥20*40mm圆管弯曲成型，厚度≥1.2mm。</w:t>
            </w:r>
          </w:p>
          <w:p w14:paraId="7F54894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座面及靠背均采用PP工程塑料一次性无接头注塑封边一次成型（3D打印无效），座面尺寸：≥430mm*395mm,椅面设有多个宽为≥5mm，长度不同的透气长条形方格，产品中部靠前微凸，符合人体生物学设计，坐姿舒适；靠背尺寸：≥420mm*350mm，</w:t>
            </w:r>
          </w:p>
          <w:p w14:paraId="5FAAFF2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4</w:t>
            </w:r>
            <w:r>
              <w:rPr>
                <w:rFonts w:hint="eastAsia" w:ascii="仿宋" w:hAnsi="仿宋" w:eastAsia="仿宋" w:cs="仿宋"/>
                <w:sz w:val="24"/>
                <w:szCs w:val="24"/>
                <w:lang w:eastAsia="zh-CN"/>
              </w:rPr>
              <w:t>.</w:t>
            </w:r>
            <w:r>
              <w:rPr>
                <w:rFonts w:hint="eastAsia" w:ascii="仿宋" w:hAnsi="仿宋" w:eastAsia="仿宋" w:cs="仿宋"/>
                <w:sz w:val="24"/>
                <w:szCs w:val="24"/>
              </w:rPr>
              <w:t>其他功能：靠背与椅坐连接处向呈后凸弧状，靠背板稍前倾；椅子具有逍遥功能，坐感舒适，靠背受力可前倾、后倾逍遥范围约10~15°,能缓解久坐引起的腰背疲劳</w:t>
            </w:r>
            <w:r>
              <w:rPr>
                <w:rFonts w:hint="eastAsia" w:ascii="仿宋" w:hAnsi="仿宋" w:eastAsia="仿宋" w:cs="仿宋"/>
                <w:sz w:val="24"/>
                <w:szCs w:val="24"/>
                <w:highlight w:val="none"/>
              </w:rPr>
              <w:t>。</w:t>
            </w:r>
          </w:p>
          <w:p w14:paraId="024B750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trike/>
                <w:dstrike w:val="0"/>
                <w:color w:val="auto"/>
                <w:sz w:val="24"/>
                <w:szCs w:val="24"/>
                <w:highlight w:val="none"/>
                <w:lang w:val="en-US" w:eastAsia="zh-CN"/>
              </w:rPr>
            </w:pPr>
            <w:r>
              <w:rPr>
                <w:rFonts w:hint="eastAsia" w:ascii="仿宋" w:hAnsi="仿宋" w:eastAsia="仿宋" w:cs="仿宋"/>
                <w:color w:val="auto"/>
                <w:sz w:val="24"/>
                <w:szCs w:val="24"/>
                <w:lang w:val="en-US" w:eastAsia="zh-CN"/>
              </w:rPr>
              <w:t>▲PP工程塑料。依据GB 18584-2024检测标准：</w:t>
            </w:r>
            <w:r>
              <w:rPr>
                <w:rFonts w:hint="eastAsia" w:ascii="仿宋" w:hAnsi="仿宋" w:eastAsia="仿宋" w:cs="仿宋"/>
                <w:color w:val="auto"/>
                <w:sz w:val="24"/>
                <w:szCs w:val="24"/>
                <w:highlight w:val="none"/>
                <w:lang w:val="en-US" w:eastAsia="zh-CN"/>
              </w:rPr>
              <w:t>邻苯二甲酸脂DBP、BBP、DEHP三种总和≤0.1%（或未检出）；有害物质限量多环芳烃：苯并[a]芘限值≤1.0 mg/kg（或未检出）,</w:t>
            </w:r>
            <w:r>
              <w:rPr>
                <w:rFonts w:hint="eastAsia" w:ascii="仿宋" w:hAnsi="仿宋" w:eastAsia="仿宋" w:cs="仿宋"/>
                <w:strike w:val="0"/>
                <w:dstrike w:val="0"/>
                <w:color w:val="auto"/>
                <w:sz w:val="24"/>
                <w:szCs w:val="24"/>
                <w:highlight w:val="none"/>
                <w:lang w:val="en-US" w:eastAsia="zh-CN"/>
              </w:rPr>
              <w:t>18</w:t>
            </w:r>
            <w:r>
              <w:rPr>
                <w:rFonts w:hint="eastAsia" w:ascii="仿宋" w:hAnsi="仿宋" w:eastAsia="仿宋" w:cs="仿宋"/>
                <w:color w:val="auto"/>
                <w:sz w:val="24"/>
                <w:szCs w:val="24"/>
                <w:highlight w:val="none"/>
                <w:lang w:val="en-US" w:eastAsia="zh-CN"/>
              </w:rPr>
              <w:t>种多环芳烃（PAH)总量限值≤10 mg/kg（或未检出）。</w:t>
            </w:r>
          </w:p>
          <w:p w14:paraId="1E31C6F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color w:val="auto"/>
                <w:sz w:val="24"/>
                <w:szCs w:val="24"/>
                <w:lang w:val="en-US" w:eastAsia="zh-CN"/>
              </w:rPr>
            </w:pPr>
            <w:r>
              <w:rPr>
                <w:rFonts w:hint="eastAsia" w:ascii="仿宋" w:hAnsi="仿宋" w:eastAsia="仿宋" w:cs="仿宋"/>
                <w:b/>
                <w:bCs/>
                <w:sz w:val="24"/>
                <w:szCs w:val="24"/>
                <w:lang w:val="en-US" w:eastAsia="zh-CN"/>
              </w:rPr>
              <w:t>响应</w:t>
            </w:r>
            <w:r>
              <w:rPr>
                <w:rFonts w:hint="eastAsia" w:ascii="仿宋" w:hAnsi="仿宋" w:eastAsia="仿宋" w:cs="仿宋"/>
                <w:b/>
                <w:bCs/>
                <w:sz w:val="24"/>
                <w:szCs w:val="24"/>
                <w:lang w:eastAsia="zh-CN"/>
              </w:rPr>
              <w:t>文件中须提供</w:t>
            </w:r>
            <w:r>
              <w:rPr>
                <w:rFonts w:hint="eastAsia" w:ascii="仿宋" w:hAnsi="仿宋" w:eastAsia="仿宋" w:cs="仿宋"/>
                <w:b/>
                <w:bCs/>
                <w:sz w:val="24"/>
                <w:szCs w:val="24"/>
                <w:lang w:val="en-US" w:eastAsia="zh-CN"/>
              </w:rPr>
              <w:t>带有</w:t>
            </w:r>
            <w:r>
              <w:rPr>
                <w:rFonts w:hint="eastAsia" w:ascii="仿宋" w:hAnsi="仿宋" w:eastAsia="仿宋" w:cs="仿宋"/>
                <w:b/>
                <w:bCs/>
                <w:sz w:val="24"/>
                <w:szCs w:val="24"/>
              </w:rPr>
              <w:t>“CMA”标识</w:t>
            </w:r>
            <w:r>
              <w:rPr>
                <w:rFonts w:hint="eastAsia" w:ascii="仿宋" w:hAnsi="仿宋" w:eastAsia="仿宋" w:cs="仿宋"/>
                <w:b/>
                <w:bCs/>
                <w:sz w:val="24"/>
                <w:szCs w:val="24"/>
                <w:lang w:val="en-US" w:eastAsia="zh-CN"/>
              </w:rPr>
              <w:t>的第三方检测报告原色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7D49C305">
            <w:pPr>
              <w:keepNext w:val="0"/>
              <w:keepLines w:val="0"/>
              <w:pageBreakBefore w:val="0"/>
              <w:numPr>
                <w:ilvl w:val="0"/>
                <w:numId w:val="0"/>
              </w:numPr>
              <w:kinsoku/>
              <w:wordWrap/>
              <w:overflowPunct/>
              <w:topLinePunct w:val="0"/>
              <w:autoSpaceDE/>
              <w:autoSpaceDN/>
              <w:bidi w:val="0"/>
              <w:adjustRightInd/>
              <w:snapToGrid/>
              <w:spacing w:before="1" w:line="360" w:lineRule="auto"/>
              <w:ind w:firstLine="233" w:firstLineChars="100"/>
              <w:textAlignment w:val="auto"/>
              <w:rPr>
                <w:rFonts w:hint="eastAsia" w:ascii="仿宋" w:hAnsi="仿宋" w:eastAsia="仿宋" w:cs="仿宋"/>
                <w:b/>
                <w:bCs/>
                <w:spacing w:val="-4"/>
                <w:sz w:val="24"/>
                <w:szCs w:val="24"/>
              </w:rPr>
            </w:pPr>
            <w:r>
              <w:rPr>
                <w:rFonts w:hint="eastAsia" w:ascii="仿宋" w:hAnsi="仿宋" w:eastAsia="仿宋" w:cs="仿宋"/>
                <w:b/>
                <w:bCs/>
                <w:spacing w:val="-4"/>
                <w:sz w:val="24"/>
                <w:szCs w:val="24"/>
                <w:lang w:eastAsia="zh-CN"/>
              </w:rPr>
              <w:t>（</w:t>
            </w:r>
            <w:r>
              <w:rPr>
                <w:rFonts w:hint="eastAsia" w:ascii="仿宋" w:hAnsi="仿宋" w:eastAsia="仿宋" w:cs="仿宋"/>
                <w:b/>
                <w:bCs/>
                <w:spacing w:val="-4"/>
                <w:sz w:val="24"/>
                <w:szCs w:val="24"/>
                <w:lang w:val="en-US" w:eastAsia="zh-CN"/>
              </w:rPr>
              <w:t>四）宿舍六人</w:t>
            </w:r>
            <w:r>
              <w:rPr>
                <w:rFonts w:hint="eastAsia" w:ascii="仿宋" w:hAnsi="仿宋" w:eastAsia="仿宋" w:cs="仿宋"/>
                <w:b/>
                <w:bCs/>
                <w:spacing w:val="-4"/>
                <w:sz w:val="24"/>
                <w:szCs w:val="24"/>
              </w:rPr>
              <w:t>柜</w:t>
            </w:r>
            <w:r>
              <w:rPr>
                <w:rFonts w:hint="eastAsia" w:ascii="仿宋" w:hAnsi="仿宋" w:eastAsia="仿宋" w:cs="仿宋"/>
                <w:sz w:val="24"/>
                <w:szCs w:val="24"/>
                <w:lang w:val="en-US" w:eastAsia="zh-CN"/>
              </w:rPr>
              <w:t>（此参数为“采购清单及数量”中两个“3人位储物柜”合并）</w:t>
            </w:r>
          </w:p>
          <w:p w14:paraId="3D296E4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trike/>
                <w:dstrike w:val="0"/>
                <w:sz w:val="24"/>
                <w:szCs w:val="24"/>
                <w:highlight w:val="red"/>
              </w:rPr>
            </w:pPr>
            <w:r>
              <w:rPr>
                <w:rFonts w:hint="eastAsia" w:ascii="仿宋" w:hAnsi="仿宋" w:eastAsia="仿宋" w:cs="仿宋"/>
                <w:sz w:val="24"/>
                <w:szCs w:val="24"/>
                <w:lang w:val="en-US" w:eastAsia="zh-CN"/>
              </w:rPr>
              <w:t xml:space="preserve">▲学生公寓板式组合柜。依据GB 18580-2025，GB/T </w:t>
            </w:r>
            <w:r>
              <w:rPr>
                <w:rFonts w:hint="eastAsia" w:ascii="仿宋" w:hAnsi="仿宋" w:eastAsia="仿宋" w:cs="仿宋"/>
                <w:sz w:val="24"/>
                <w:szCs w:val="24"/>
                <w:highlight w:val="none"/>
                <w:lang w:val="en-US" w:eastAsia="zh-CN"/>
              </w:rPr>
              <w:t>39600-2021，GB 18584-2024，</w:t>
            </w:r>
            <w:r>
              <w:rPr>
                <w:rFonts w:hint="eastAsia" w:ascii="仿宋" w:hAnsi="仿宋" w:eastAsia="仿宋" w:cs="仿宋"/>
                <w:strike w:val="0"/>
                <w:dstrike w:val="0"/>
                <w:sz w:val="24"/>
                <w:szCs w:val="24"/>
                <w:highlight w:val="none"/>
                <w:lang w:val="en-US" w:eastAsia="zh-CN"/>
              </w:rPr>
              <w:t>QB/T 4371-2012检</w:t>
            </w:r>
            <w:r>
              <w:rPr>
                <w:rFonts w:hint="eastAsia" w:ascii="仿宋" w:hAnsi="仿宋" w:eastAsia="仿宋" w:cs="仿宋"/>
                <w:sz w:val="24"/>
                <w:szCs w:val="24"/>
                <w:highlight w:val="none"/>
                <w:lang w:val="en-US" w:eastAsia="zh-CN"/>
              </w:rPr>
              <w:t>测标准：</w:t>
            </w:r>
            <w:r>
              <w:rPr>
                <w:rFonts w:hint="eastAsia" w:ascii="仿宋" w:hAnsi="仿宋" w:eastAsia="仿宋" w:cs="仿宋"/>
                <w:sz w:val="24"/>
                <w:szCs w:val="24"/>
                <w:highlight w:val="none"/>
              </w:rPr>
              <w:t>甲醛释放量：达到E0级标准，甲醛释放量≤0.050mg/m³；挥发性有机物：苯、甲苯、二甲苯均未检出，总挥发性有机化合物（TVOC）未检出；</w:t>
            </w:r>
            <w:r>
              <w:rPr>
                <w:rFonts w:hint="eastAsia" w:ascii="仿宋" w:hAnsi="仿宋" w:eastAsia="仿宋" w:cs="仿宋"/>
                <w:strike w:val="0"/>
                <w:dstrike w:val="0"/>
                <w:sz w:val="24"/>
                <w:szCs w:val="24"/>
                <w:highlight w:val="none"/>
              </w:rPr>
              <w:t>耐霉菌性：对8种及以上常见菌类抑菌率均≥99%</w:t>
            </w:r>
            <w:r>
              <w:rPr>
                <w:rFonts w:hint="eastAsia" w:ascii="仿宋" w:hAnsi="仿宋" w:eastAsia="仿宋" w:cs="仿宋"/>
                <w:strike w:val="0"/>
                <w:dstrike w:val="0"/>
                <w:sz w:val="24"/>
                <w:szCs w:val="24"/>
                <w:highlight w:val="none"/>
                <w:lang w:eastAsia="zh-CN"/>
              </w:rPr>
              <w:t>。</w:t>
            </w:r>
          </w:p>
          <w:p w14:paraId="284520B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color w:val="auto"/>
                <w:sz w:val="24"/>
                <w:szCs w:val="24"/>
                <w:lang w:val="en-US" w:eastAsia="zh-CN"/>
              </w:rPr>
            </w:pPr>
            <w:r>
              <w:rPr>
                <w:rFonts w:hint="eastAsia" w:ascii="仿宋" w:hAnsi="仿宋" w:eastAsia="仿宋" w:cs="仿宋"/>
                <w:b/>
                <w:bCs/>
                <w:sz w:val="24"/>
                <w:szCs w:val="24"/>
                <w:lang w:val="en-US" w:eastAsia="zh-CN"/>
              </w:rPr>
              <w:t>响应</w:t>
            </w:r>
            <w:r>
              <w:rPr>
                <w:rFonts w:hint="eastAsia" w:ascii="仿宋" w:hAnsi="仿宋" w:eastAsia="仿宋" w:cs="仿宋"/>
                <w:b/>
                <w:bCs/>
                <w:sz w:val="24"/>
                <w:szCs w:val="24"/>
                <w:lang w:eastAsia="zh-CN"/>
              </w:rPr>
              <w:t>文件中须提供</w:t>
            </w:r>
            <w:r>
              <w:rPr>
                <w:rFonts w:hint="eastAsia" w:ascii="仿宋" w:hAnsi="仿宋" w:eastAsia="仿宋" w:cs="仿宋"/>
                <w:b/>
                <w:bCs/>
                <w:sz w:val="24"/>
                <w:szCs w:val="24"/>
                <w:lang w:val="en-US" w:eastAsia="zh-CN"/>
              </w:rPr>
              <w:t>带有</w:t>
            </w:r>
            <w:r>
              <w:rPr>
                <w:rFonts w:hint="eastAsia" w:ascii="仿宋" w:hAnsi="仿宋" w:eastAsia="仿宋" w:cs="仿宋"/>
                <w:b/>
                <w:bCs/>
                <w:sz w:val="24"/>
                <w:szCs w:val="24"/>
              </w:rPr>
              <w:t>“CMA”标识</w:t>
            </w:r>
            <w:r>
              <w:rPr>
                <w:rFonts w:hint="eastAsia" w:ascii="仿宋" w:hAnsi="仿宋" w:eastAsia="仿宋" w:cs="仿宋"/>
                <w:b/>
                <w:bCs/>
                <w:sz w:val="24"/>
                <w:szCs w:val="24"/>
                <w:lang w:val="en-US" w:eastAsia="zh-CN"/>
              </w:rPr>
              <w:t>的第三方检测报告原色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631CEAF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1.六人柜整体规格：宽1200mm，高</w:t>
            </w:r>
            <w:r>
              <w:rPr>
                <w:rFonts w:hint="eastAsia" w:ascii="仿宋" w:hAnsi="仿宋" w:eastAsia="仿宋" w:cs="仿宋"/>
                <w:sz w:val="24"/>
                <w:szCs w:val="24"/>
                <w:lang w:val="en-US" w:eastAsia="zh-CN"/>
              </w:rPr>
              <w:t>2100</w:t>
            </w:r>
            <w:r>
              <w:rPr>
                <w:rFonts w:hint="eastAsia" w:ascii="仿宋" w:hAnsi="仿宋" w:eastAsia="仿宋" w:cs="仿宋"/>
                <w:sz w:val="24"/>
                <w:szCs w:val="24"/>
              </w:rPr>
              <w:t>mm，深600mm，上下两层，基材为≥17mm厚度的E</w:t>
            </w:r>
            <w:r>
              <w:rPr>
                <w:rFonts w:hint="eastAsia" w:ascii="仿宋" w:hAnsi="仿宋" w:eastAsia="仿宋" w:cs="仿宋"/>
                <w:sz w:val="24"/>
                <w:szCs w:val="24"/>
                <w:lang w:val="en-US" w:eastAsia="zh-CN"/>
              </w:rPr>
              <w:t>0</w:t>
            </w:r>
            <w:r>
              <w:rPr>
                <w:rFonts w:hint="eastAsia" w:ascii="仿宋" w:hAnsi="仿宋" w:eastAsia="仿宋" w:cs="仿宋"/>
                <w:sz w:val="24"/>
                <w:szCs w:val="24"/>
              </w:rPr>
              <w:t>级三聚氰胺饰面实木生态板。背板为≥4.5mm同色</w:t>
            </w:r>
            <w:r>
              <w:rPr>
                <w:rFonts w:hint="eastAsia" w:ascii="仿宋" w:hAnsi="仿宋" w:eastAsia="仿宋" w:cs="仿宋"/>
                <w:sz w:val="24"/>
                <w:szCs w:val="24"/>
                <w:lang w:eastAsia="zh-CN"/>
              </w:rPr>
              <w:t>E0</w:t>
            </w:r>
            <w:r>
              <w:rPr>
                <w:rFonts w:hint="eastAsia" w:ascii="仿宋" w:hAnsi="仿宋" w:eastAsia="仿宋" w:cs="仿宋"/>
                <w:sz w:val="24"/>
                <w:szCs w:val="24"/>
              </w:rPr>
              <w:t>级双饰面环保多层板</w:t>
            </w:r>
            <w:r>
              <w:rPr>
                <w:rFonts w:hint="eastAsia" w:ascii="仿宋" w:hAnsi="仿宋" w:eastAsia="仿宋" w:cs="仿宋"/>
                <w:sz w:val="24"/>
                <w:szCs w:val="24"/>
                <w:lang w:eastAsia="zh-CN"/>
              </w:rPr>
              <w:t>，</w:t>
            </w:r>
            <w:r>
              <w:rPr>
                <w:rFonts w:hint="eastAsia" w:ascii="仿宋" w:hAnsi="仿宋" w:eastAsia="仿宋" w:cs="仿宋"/>
                <w:sz w:val="24"/>
                <w:szCs w:val="24"/>
              </w:rPr>
              <w:t>应符合环保要求。</w:t>
            </w:r>
            <w:r>
              <w:rPr>
                <w:rFonts w:hint="eastAsia" w:ascii="仿宋" w:hAnsi="仿宋" w:eastAsia="仿宋" w:cs="仿宋"/>
                <w:sz w:val="24"/>
                <w:szCs w:val="24"/>
                <w:lang w:val="en-US" w:eastAsia="zh-CN"/>
              </w:rPr>
              <w:t>柜体下部需包含50mm高度架空踢脚线。</w:t>
            </w:r>
          </w:p>
          <w:p w14:paraId="57018FB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2.板材经烘干、杀菌、杀虫处理，保证材料不会变形生虫，不带有毒气体，达到国家标准；</w:t>
            </w:r>
          </w:p>
          <w:p w14:paraId="638510F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3.封边：采用防潮pvc封边条,与柜板面同色,1.2mm厚，热熔胶封边而成(板露边处),做到平整、不炝边、受热受冻不会脱胶开裂；</w:t>
            </w:r>
          </w:p>
          <w:p w14:paraId="72A9151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4.配件部分：柜体采用二合一扣件或三合一扣件链接，衣柜开门采用与柜门同长的整根长排合页</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柜门处增加磁吸闭门器；</w:t>
            </w:r>
            <w:r>
              <w:rPr>
                <w:rFonts w:hint="eastAsia" w:ascii="仿宋" w:hAnsi="仿宋" w:eastAsia="仿宋" w:cs="仿宋"/>
                <w:sz w:val="24"/>
                <w:szCs w:val="24"/>
              </w:rPr>
              <w:t>所有门与抽屉需采用拉手</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挂锁件</w:t>
            </w:r>
            <w:r>
              <w:rPr>
                <w:rFonts w:hint="eastAsia" w:ascii="仿宋" w:hAnsi="仿宋" w:eastAsia="仿宋" w:cs="仿宋"/>
                <w:sz w:val="24"/>
                <w:szCs w:val="24"/>
              </w:rPr>
              <w:t>。</w:t>
            </w:r>
          </w:p>
          <w:p w14:paraId="494914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233" w:firstLineChars="100"/>
              <w:jc w:val="left"/>
              <w:textAlignment w:val="auto"/>
              <w:rPr>
                <w:rFonts w:hint="default" w:ascii="仿宋" w:hAnsi="仿宋" w:eastAsia="仿宋" w:cs="仿宋"/>
                <w:sz w:val="24"/>
                <w:szCs w:val="24"/>
                <w:lang w:val="en-US"/>
              </w:rPr>
            </w:pPr>
            <w:r>
              <w:rPr>
                <w:rFonts w:hint="eastAsia" w:ascii="仿宋" w:hAnsi="仿宋" w:eastAsia="仿宋" w:cs="仿宋"/>
                <w:b/>
                <w:bCs/>
                <w:spacing w:val="-4"/>
                <w:sz w:val="24"/>
                <w:szCs w:val="24"/>
              </w:rPr>
              <w:t>两连三位公寓床</w:t>
            </w:r>
            <w:r>
              <w:rPr>
                <w:rFonts w:hint="eastAsia" w:ascii="仿宋" w:hAnsi="仿宋" w:eastAsia="仿宋" w:cs="仿宋"/>
                <w:b/>
                <w:bCs/>
                <w:sz w:val="24"/>
                <w:szCs w:val="24"/>
                <w:lang w:val="en-US" w:eastAsia="zh-CN"/>
              </w:rPr>
              <w:t>参考样式如下图所示：</w:t>
            </w:r>
          </w:p>
          <w:p w14:paraId="7C674607">
            <w:pPr>
              <w:spacing w:before="120" w:after="120" w:line="360" w:lineRule="auto"/>
              <w:ind w:left="0" w:leftChars="0"/>
              <w:jc w:val="center"/>
              <w:rPr>
                <w:rFonts w:hint="eastAsia" w:ascii="宋体" w:hAnsi="宋体" w:eastAsia="宋体" w:cs="宋体"/>
                <w:color w:val="000000"/>
                <w:kern w:val="0"/>
                <w:sz w:val="24"/>
                <w:szCs w:val="24"/>
              </w:rPr>
            </w:pPr>
            <w:r>
              <w:rPr>
                <w:rFonts w:hint="eastAsia" w:ascii="仿宋" w:hAnsi="仿宋" w:eastAsia="仿宋" w:cs="仿宋"/>
                <w:b/>
                <w:bCs/>
                <w:sz w:val="24"/>
                <w:szCs w:val="24"/>
                <w:lang w:val="en-US" w:eastAsia="zh-CN"/>
              </w:rPr>
              <w:drawing>
                <wp:inline distT="0" distB="0" distL="114300" distR="114300">
                  <wp:extent cx="3564255" cy="1880235"/>
                  <wp:effectExtent l="0" t="0" r="17145" b="5715"/>
                  <wp:docPr id="2" name="图片 2"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2"/>
                          <pic:cNvPicPr>
                            <a:picLocks noChangeAspect="1"/>
                          </pic:cNvPicPr>
                        </pic:nvPicPr>
                        <pic:blipFill>
                          <a:blip r:embed="rId5"/>
                          <a:stretch>
                            <a:fillRect/>
                          </a:stretch>
                        </pic:blipFill>
                        <pic:spPr>
                          <a:xfrm>
                            <a:off x="0" y="0"/>
                            <a:ext cx="3564255" cy="1880235"/>
                          </a:xfrm>
                          <a:prstGeom prst="rect">
                            <a:avLst/>
                          </a:prstGeom>
                        </pic:spPr>
                      </pic:pic>
                    </a:graphicData>
                  </a:graphic>
                </wp:inline>
              </w:drawing>
            </w:r>
          </w:p>
        </w:tc>
        <w:tc>
          <w:tcPr>
            <w:tcW w:w="367" w:type="pct"/>
            <w:noWrap/>
            <w:vAlign w:val="center"/>
          </w:tcPr>
          <w:p w14:paraId="47749045">
            <w:pPr>
              <w:pageBreakBefore w:val="0"/>
              <w:widowControl/>
              <w:wordWrap/>
              <w:overflowPunct/>
              <w:topLinePunct w:val="0"/>
              <w:autoSpaceDE w:val="0"/>
              <w:autoSpaceDN w:val="0"/>
              <w:bidi w:val="0"/>
              <w:adjustRightInd w:val="0"/>
              <w:snapToGrid w:val="0"/>
              <w:spacing w:line="240" w:lineRule="auto"/>
              <w:jc w:val="center"/>
              <w:rPr>
                <w:rFonts w:hint="eastAsia" w:ascii="宋体" w:hAnsi="宋体" w:eastAsia="宋体" w:cs="宋体"/>
                <w:color w:val="000000"/>
                <w:kern w:val="0"/>
                <w:sz w:val="24"/>
                <w:szCs w:val="24"/>
                <w:lang w:eastAsia="zh-CN"/>
              </w:rPr>
            </w:pPr>
            <w:r>
              <w:rPr>
                <w:rFonts w:hint="eastAsia" w:ascii="仿宋" w:hAnsi="仿宋" w:eastAsia="仿宋" w:cs="仿宋"/>
                <w:sz w:val="24"/>
                <w:szCs w:val="24"/>
                <w:lang w:val="en-US" w:eastAsia="zh-CN"/>
              </w:rPr>
              <w:t>套</w:t>
            </w:r>
          </w:p>
        </w:tc>
        <w:tc>
          <w:tcPr>
            <w:tcW w:w="375" w:type="pct"/>
            <w:noWrap/>
            <w:vAlign w:val="center"/>
          </w:tcPr>
          <w:p w14:paraId="6DF766D3">
            <w:pPr>
              <w:pageBreakBefore w:val="0"/>
              <w:widowControl/>
              <w:wordWrap/>
              <w:overflowPunct/>
              <w:topLinePunct w:val="0"/>
              <w:autoSpaceDE w:val="0"/>
              <w:autoSpaceDN w:val="0"/>
              <w:bidi w:val="0"/>
              <w:adjustRightInd w:val="0"/>
              <w:snapToGrid w:val="0"/>
              <w:spacing w:line="240" w:lineRule="auto"/>
              <w:jc w:val="center"/>
              <w:rPr>
                <w:rFonts w:hint="default" w:ascii="宋体" w:hAnsi="宋体" w:eastAsia="宋体" w:cs="宋体"/>
                <w:color w:val="000000"/>
                <w:kern w:val="0"/>
                <w:sz w:val="24"/>
                <w:szCs w:val="24"/>
                <w:lang w:val="en-US" w:eastAsia="zh-CN"/>
              </w:rPr>
            </w:pPr>
            <w:r>
              <w:rPr>
                <w:rFonts w:hint="eastAsia" w:ascii="仿宋" w:hAnsi="仿宋" w:eastAsia="仿宋" w:cs="仿宋"/>
                <w:sz w:val="24"/>
                <w:szCs w:val="24"/>
              </w:rPr>
              <w:t>118</w:t>
            </w:r>
            <w:r>
              <w:rPr>
                <w:rFonts w:hint="eastAsia" w:ascii="仿宋" w:hAnsi="仿宋" w:eastAsia="仿宋" w:cs="仿宋"/>
                <w:sz w:val="24"/>
                <w:szCs w:val="24"/>
                <w:lang w:val="en-US" w:eastAsia="zh-CN"/>
              </w:rPr>
              <w:t>（</w:t>
            </w:r>
            <w:r>
              <w:rPr>
                <w:rFonts w:hint="eastAsia" w:ascii="仿宋" w:hAnsi="仿宋" w:eastAsia="仿宋" w:cs="仿宋"/>
                <w:i w:val="0"/>
                <w:iCs w:val="0"/>
                <w:color w:val="auto"/>
                <w:sz w:val="24"/>
                <w:szCs w:val="24"/>
                <w:lang w:val="en-US" w:eastAsia="zh-CN"/>
              </w:rPr>
              <w:t>京山南路校区</w:t>
            </w:r>
            <w:r>
              <w:rPr>
                <w:rFonts w:hint="eastAsia" w:ascii="仿宋" w:hAnsi="仿宋" w:eastAsia="仿宋" w:cs="仿宋"/>
                <w:sz w:val="24"/>
                <w:szCs w:val="24"/>
                <w:lang w:val="en-US" w:eastAsia="zh-CN"/>
              </w:rPr>
              <w:t>）</w:t>
            </w:r>
          </w:p>
        </w:tc>
      </w:tr>
      <w:tr w14:paraId="78166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384" w:type="pct"/>
            <w:noWrap w:val="0"/>
            <w:vAlign w:val="center"/>
          </w:tcPr>
          <w:p w14:paraId="342F6BA8">
            <w:pPr>
              <w:keepNext w:val="0"/>
              <w:keepLines w:val="0"/>
              <w:pageBreakBefore w:val="0"/>
              <w:widowControl w:val="0"/>
              <w:kinsoku/>
              <w:wordWrap/>
              <w:overflowPunct/>
              <w:topLinePunct w:val="0"/>
              <w:autoSpaceDE/>
              <w:autoSpaceDN/>
              <w:bidi w:val="0"/>
              <w:adjustRightInd/>
              <w:snapToGrid/>
              <w:spacing w:before="79" w:beforeLines="25" w:after="79" w:afterLines="25" w:line="520" w:lineRule="exact"/>
              <w:jc w:val="center"/>
              <w:textAlignment w:val="auto"/>
              <w:rPr>
                <w:rFonts w:hint="eastAsia" w:ascii="宋体" w:hAnsi="宋体" w:eastAsia="宋体" w:cs="宋体"/>
                <w:color w:val="000000"/>
                <w:kern w:val="0"/>
                <w:sz w:val="24"/>
                <w:szCs w:val="24"/>
                <w:lang w:val="en-US" w:eastAsia="zh-CN"/>
              </w:rPr>
            </w:pPr>
            <w:r>
              <w:rPr>
                <w:rFonts w:hint="eastAsia" w:ascii="仿宋" w:hAnsi="仿宋" w:eastAsia="仿宋" w:cs="仿宋"/>
                <w:i w:val="0"/>
                <w:iCs w:val="0"/>
                <w:color w:val="auto"/>
                <w:sz w:val="24"/>
                <w:szCs w:val="24"/>
                <w:vertAlign w:val="baseline"/>
                <w:lang w:val="en-US" w:eastAsia="zh-CN"/>
              </w:rPr>
              <w:t>2</w:t>
            </w:r>
          </w:p>
        </w:tc>
        <w:tc>
          <w:tcPr>
            <w:tcW w:w="571" w:type="pct"/>
            <w:noWrap w:val="0"/>
            <w:vAlign w:val="center"/>
          </w:tcPr>
          <w:p w14:paraId="76834140">
            <w:pPr>
              <w:keepNext w:val="0"/>
              <w:keepLines w:val="0"/>
              <w:pageBreakBefore w:val="0"/>
              <w:widowControl w:val="0"/>
              <w:kinsoku/>
              <w:wordWrap/>
              <w:overflowPunct/>
              <w:topLinePunct w:val="0"/>
              <w:autoSpaceDE/>
              <w:autoSpaceDN/>
              <w:bidi w:val="0"/>
              <w:adjustRightInd/>
              <w:snapToGrid/>
              <w:spacing w:before="79" w:beforeLines="25" w:after="79" w:afterLines="25" w:line="520" w:lineRule="exact"/>
              <w:jc w:val="center"/>
              <w:textAlignment w:val="auto"/>
              <w:rPr>
                <w:rFonts w:hint="eastAsia" w:ascii="仿宋" w:hAnsi="仿宋" w:eastAsia="仿宋" w:cs="仿宋"/>
                <w:sz w:val="24"/>
                <w:szCs w:val="24"/>
              </w:rPr>
            </w:pPr>
            <w:r>
              <w:rPr>
                <w:rFonts w:hint="eastAsia" w:ascii="仿宋" w:hAnsi="仿宋" w:eastAsia="仿宋" w:cs="仿宋"/>
                <w:sz w:val="24"/>
                <w:szCs w:val="24"/>
                <w:highlight w:val="none"/>
              </w:rPr>
              <w:t>宿舍两连位桌椅</w:t>
            </w:r>
            <w:r>
              <w:rPr>
                <w:rFonts w:hint="eastAsia" w:ascii="仿宋" w:hAnsi="仿宋" w:eastAsia="仿宋" w:cs="仿宋"/>
                <w:sz w:val="24"/>
                <w:szCs w:val="24"/>
                <w:highlight w:val="none"/>
                <w:lang w:val="en-US" w:eastAsia="zh-CN"/>
              </w:rPr>
              <w:t>书架（2人位）</w:t>
            </w:r>
          </w:p>
        </w:tc>
        <w:tc>
          <w:tcPr>
            <w:tcW w:w="3301" w:type="pct"/>
            <w:noWrap/>
            <w:vAlign w:val="center"/>
          </w:tcPr>
          <w:p w14:paraId="29B328EC">
            <w:pPr>
              <w:pStyle w:val="7"/>
              <w:keepNext w:val="0"/>
              <w:keepLines w:val="0"/>
              <w:pageBreakBefore w:val="0"/>
              <w:kinsoku/>
              <w:wordWrap/>
              <w:overflowPunct/>
              <w:topLinePunct w:val="0"/>
              <w:autoSpaceDE/>
              <w:autoSpaceDN/>
              <w:bidi w:val="0"/>
              <w:adjustRightInd/>
              <w:snapToGrid/>
              <w:spacing w:line="520" w:lineRule="exact"/>
              <w:ind w:left="0" w:leftChars="0" w:firstLine="482" w:firstLineChars="200"/>
              <w:jc w:val="both"/>
              <w:textAlignment w:val="auto"/>
              <w:rPr>
                <w:rFonts w:hint="eastAsia" w:ascii="仿宋" w:hAnsi="仿宋" w:eastAsia="仿宋" w:cs="仿宋"/>
                <w:strike/>
                <w:dstrike w:val="0"/>
                <w:sz w:val="24"/>
                <w:szCs w:val="24"/>
                <w:highlight w:val="red"/>
              </w:rPr>
            </w:pPr>
            <w:r>
              <w:rPr>
                <w:rFonts w:hint="eastAsia" w:ascii="仿宋" w:hAnsi="仿宋" w:eastAsia="仿宋" w:cs="仿宋"/>
                <w:b/>
                <w:bCs/>
                <w:sz w:val="24"/>
                <w:szCs w:val="24"/>
                <w:lang w:val="en-US" w:eastAsia="zh-CN"/>
              </w:rPr>
              <w:t>二、</w:t>
            </w:r>
            <w:r>
              <w:rPr>
                <w:rFonts w:hint="eastAsia" w:ascii="仿宋" w:hAnsi="仿宋" w:eastAsia="仿宋" w:cs="仿宋"/>
                <w:b/>
                <w:bCs/>
                <w:sz w:val="24"/>
                <w:szCs w:val="24"/>
              </w:rPr>
              <w:t>宿舍两连位桌椅</w:t>
            </w:r>
            <w:r>
              <w:rPr>
                <w:rFonts w:hint="eastAsia" w:ascii="仿宋" w:hAnsi="仿宋" w:eastAsia="仿宋" w:cs="仿宋"/>
                <w:b/>
                <w:bCs/>
                <w:sz w:val="24"/>
                <w:szCs w:val="24"/>
                <w:lang w:val="en-US" w:eastAsia="zh-CN"/>
              </w:rPr>
              <w:t>书架</w:t>
            </w:r>
            <w:r>
              <w:rPr>
                <w:rFonts w:hint="eastAsia" w:ascii="仿宋" w:hAnsi="仿宋" w:eastAsia="仿宋" w:cs="仿宋"/>
                <w:b/>
                <w:bCs/>
                <w:spacing w:val="-4"/>
                <w:sz w:val="24"/>
                <w:szCs w:val="24"/>
                <w:lang w:eastAsia="zh-CN"/>
              </w:rPr>
              <w:t>（</w:t>
            </w:r>
            <w:r>
              <w:rPr>
                <w:rFonts w:hint="eastAsia" w:ascii="仿宋" w:hAnsi="仿宋" w:eastAsia="仿宋" w:cs="仿宋"/>
                <w:sz w:val="24"/>
                <w:szCs w:val="24"/>
                <w:lang w:val="en-US" w:eastAsia="zh-CN"/>
              </w:rPr>
              <w:t>2人位桌及书架1套、2把公寓椅）</w:t>
            </w:r>
          </w:p>
          <w:p w14:paraId="5894B0EC">
            <w:pPr>
              <w:keepNext w:val="0"/>
              <w:keepLines w:val="0"/>
              <w:pageBreakBefore w:val="0"/>
              <w:widowControl w:val="0"/>
              <w:numPr>
                <w:ilvl w:val="0"/>
                <w:numId w:val="0"/>
              </w:numPr>
              <w:kinsoku/>
              <w:wordWrap/>
              <w:overflowPunct/>
              <w:topLinePunct w:val="0"/>
              <w:autoSpaceDE/>
              <w:autoSpaceDN/>
              <w:bidi w:val="0"/>
              <w:adjustRightInd/>
              <w:snapToGrid/>
              <w:spacing w:line="520" w:lineRule="atLeast"/>
              <w:ind w:firstLine="480" w:firstLineChars="200"/>
              <w:jc w:val="both"/>
              <w:textAlignment w:val="auto"/>
              <w:rPr>
                <w:rFonts w:hint="eastAsia" w:ascii="仿宋" w:hAnsi="仿宋" w:eastAsia="仿宋" w:cs="仿宋"/>
                <w:strike w:val="0"/>
                <w:dstrike w:val="0"/>
                <w:sz w:val="24"/>
                <w:szCs w:val="24"/>
                <w:highlight w:val="none"/>
                <w:lang w:eastAsia="zh-CN"/>
              </w:rPr>
            </w:pPr>
            <w:r>
              <w:rPr>
                <w:rFonts w:hint="eastAsia" w:ascii="仿宋" w:hAnsi="仿宋" w:eastAsia="仿宋" w:cs="仿宋"/>
                <w:sz w:val="24"/>
                <w:szCs w:val="24"/>
                <w:lang w:val="en-US" w:eastAsia="zh-CN"/>
              </w:rPr>
              <w:t>▲学生公寓板式组合柜。依据GB 18580-2025，GB/T 39600-2021，GB 18584-2024</w:t>
            </w:r>
            <w:r>
              <w:rPr>
                <w:rFonts w:hint="eastAsia" w:ascii="仿宋" w:hAnsi="仿宋" w:eastAsia="仿宋" w:cs="仿宋"/>
                <w:sz w:val="24"/>
                <w:szCs w:val="24"/>
                <w:highlight w:val="none"/>
                <w:lang w:val="en-US" w:eastAsia="zh-CN"/>
              </w:rPr>
              <w:t>，</w:t>
            </w:r>
            <w:r>
              <w:rPr>
                <w:rFonts w:hint="eastAsia" w:ascii="仿宋" w:hAnsi="仿宋" w:eastAsia="仿宋" w:cs="仿宋"/>
                <w:strike w:val="0"/>
                <w:dstrike w:val="0"/>
                <w:sz w:val="24"/>
                <w:szCs w:val="24"/>
                <w:highlight w:val="none"/>
                <w:lang w:val="en-US" w:eastAsia="zh-CN"/>
              </w:rPr>
              <w:t>QB/T 4371-2012检</w:t>
            </w:r>
            <w:r>
              <w:rPr>
                <w:rFonts w:hint="eastAsia" w:ascii="仿宋" w:hAnsi="仿宋" w:eastAsia="仿宋" w:cs="仿宋"/>
                <w:sz w:val="24"/>
                <w:szCs w:val="24"/>
                <w:lang w:val="en-US" w:eastAsia="zh-CN"/>
              </w:rPr>
              <w:t>测标准：</w:t>
            </w:r>
            <w:r>
              <w:rPr>
                <w:rFonts w:hint="eastAsia" w:ascii="仿宋" w:hAnsi="仿宋" w:eastAsia="仿宋" w:cs="仿宋"/>
                <w:sz w:val="24"/>
                <w:szCs w:val="24"/>
                <w:highlight w:val="none"/>
              </w:rPr>
              <w:t>甲醛释放量：达到E0级标准，甲醛释放量≤0.050mg/m³；挥发性有机物：苯、甲苯、二甲苯均未检出，总挥发性有机化合物（TVOC）未检出；</w:t>
            </w:r>
            <w:r>
              <w:rPr>
                <w:rFonts w:hint="eastAsia" w:ascii="仿宋" w:hAnsi="仿宋" w:eastAsia="仿宋" w:cs="仿宋"/>
                <w:strike w:val="0"/>
                <w:dstrike w:val="0"/>
                <w:sz w:val="24"/>
                <w:szCs w:val="24"/>
                <w:highlight w:val="none"/>
              </w:rPr>
              <w:t>耐霉菌性：对8种及以上常见菌类抑菌率均≥99%</w:t>
            </w:r>
            <w:r>
              <w:rPr>
                <w:rFonts w:hint="eastAsia" w:ascii="仿宋" w:hAnsi="仿宋" w:eastAsia="仿宋" w:cs="仿宋"/>
                <w:strike w:val="0"/>
                <w:dstrike w:val="0"/>
                <w:sz w:val="24"/>
                <w:szCs w:val="24"/>
                <w:highlight w:val="none"/>
                <w:lang w:eastAsia="zh-CN"/>
              </w:rPr>
              <w:t>。</w:t>
            </w:r>
          </w:p>
          <w:p w14:paraId="431E2D7A">
            <w:pPr>
              <w:keepNext w:val="0"/>
              <w:keepLines w:val="0"/>
              <w:pageBreakBefore w:val="0"/>
              <w:widowControl w:val="0"/>
              <w:numPr>
                <w:ilvl w:val="0"/>
                <w:numId w:val="0"/>
              </w:numPr>
              <w:kinsoku/>
              <w:wordWrap/>
              <w:overflowPunct/>
              <w:topLinePunct w:val="0"/>
              <w:autoSpaceDE/>
              <w:autoSpaceDN/>
              <w:bidi w:val="0"/>
              <w:adjustRightInd/>
              <w:snapToGrid/>
              <w:spacing w:line="520" w:lineRule="atLeast"/>
              <w:ind w:firstLine="482" w:firstLineChars="200"/>
              <w:jc w:val="left"/>
              <w:textAlignment w:val="auto"/>
              <w:rPr>
                <w:rFonts w:hint="eastAsia" w:ascii="仿宋" w:hAnsi="仿宋" w:eastAsia="仿宋" w:cs="仿宋"/>
                <w:color w:val="auto"/>
                <w:sz w:val="24"/>
                <w:szCs w:val="24"/>
                <w:lang w:val="en-US" w:eastAsia="zh-CN"/>
              </w:rPr>
            </w:pPr>
            <w:r>
              <w:rPr>
                <w:rFonts w:hint="eastAsia" w:ascii="仿宋" w:hAnsi="仿宋" w:eastAsia="仿宋" w:cs="仿宋"/>
                <w:b/>
                <w:bCs/>
                <w:sz w:val="24"/>
                <w:szCs w:val="24"/>
                <w:highlight w:val="none"/>
                <w:lang w:val="en-US" w:eastAsia="zh-CN"/>
              </w:rPr>
              <w:t>响应</w:t>
            </w:r>
            <w:r>
              <w:rPr>
                <w:rFonts w:hint="eastAsia" w:ascii="仿宋" w:hAnsi="仿宋" w:eastAsia="仿宋" w:cs="仿宋"/>
                <w:b/>
                <w:bCs/>
                <w:sz w:val="24"/>
                <w:szCs w:val="24"/>
                <w:highlight w:val="none"/>
                <w:lang w:eastAsia="zh-CN"/>
              </w:rPr>
              <w:t>文件</w:t>
            </w:r>
            <w:r>
              <w:rPr>
                <w:rFonts w:hint="eastAsia" w:ascii="仿宋" w:hAnsi="仿宋" w:eastAsia="仿宋" w:cs="仿宋"/>
                <w:b/>
                <w:bCs/>
                <w:sz w:val="24"/>
                <w:szCs w:val="24"/>
                <w:lang w:eastAsia="zh-CN"/>
              </w:rPr>
              <w:t>中须提供</w:t>
            </w:r>
            <w:r>
              <w:rPr>
                <w:rFonts w:hint="eastAsia" w:ascii="仿宋" w:hAnsi="仿宋" w:eastAsia="仿宋" w:cs="仿宋"/>
                <w:b/>
                <w:bCs/>
                <w:sz w:val="24"/>
                <w:szCs w:val="24"/>
                <w:lang w:val="en-US" w:eastAsia="zh-CN"/>
              </w:rPr>
              <w:t>带有</w:t>
            </w:r>
            <w:r>
              <w:rPr>
                <w:rFonts w:hint="eastAsia" w:ascii="仿宋" w:hAnsi="仿宋" w:eastAsia="仿宋" w:cs="仿宋"/>
                <w:b/>
                <w:bCs/>
                <w:sz w:val="24"/>
                <w:szCs w:val="24"/>
              </w:rPr>
              <w:t>“CMA”标识</w:t>
            </w:r>
            <w:r>
              <w:rPr>
                <w:rFonts w:hint="eastAsia" w:ascii="仿宋" w:hAnsi="仿宋" w:eastAsia="仿宋" w:cs="仿宋"/>
                <w:b/>
                <w:bCs/>
                <w:sz w:val="24"/>
                <w:szCs w:val="24"/>
                <w:lang w:val="en-US" w:eastAsia="zh-CN"/>
              </w:rPr>
              <w:t>的第三方检测报告原色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4230FBDD">
            <w:pPr>
              <w:keepNext w:val="0"/>
              <w:keepLines w:val="0"/>
              <w:pageBreakBefore w:val="0"/>
              <w:widowControl w:val="0"/>
              <w:numPr>
                <w:ilvl w:val="0"/>
                <w:numId w:val="0"/>
              </w:numPr>
              <w:kinsoku/>
              <w:wordWrap/>
              <w:overflowPunct/>
              <w:topLinePunct w:val="0"/>
              <w:autoSpaceDE/>
              <w:autoSpaceDN/>
              <w:bidi w:val="0"/>
              <w:adjustRightInd/>
              <w:snapToGrid/>
              <w:spacing w:line="520" w:lineRule="atLeas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1.书桌及书架规格：规格</w:t>
            </w:r>
            <w:r>
              <w:rPr>
                <w:rFonts w:hint="eastAsia" w:ascii="仿宋" w:hAnsi="仿宋" w:eastAsia="仿宋" w:cs="仿宋"/>
                <w:sz w:val="24"/>
                <w:szCs w:val="24"/>
                <w:highlight w:val="none"/>
              </w:rPr>
              <w:t>：长</w:t>
            </w:r>
            <w:r>
              <w:rPr>
                <w:rFonts w:hint="eastAsia" w:ascii="仿宋" w:hAnsi="仿宋" w:eastAsia="仿宋" w:cs="仿宋"/>
                <w:color w:val="auto"/>
                <w:sz w:val="24"/>
                <w:szCs w:val="24"/>
                <w:highlight w:val="none"/>
                <w:lang w:val="en-US" w:eastAsia="zh-CN"/>
              </w:rPr>
              <w:t>1200</w:t>
            </w:r>
            <w:r>
              <w:rPr>
                <w:rFonts w:hint="eastAsia" w:ascii="仿宋" w:hAnsi="仿宋" w:eastAsia="仿宋" w:cs="仿宋"/>
                <w:color w:val="auto"/>
                <w:sz w:val="24"/>
                <w:szCs w:val="24"/>
                <w:highlight w:val="none"/>
              </w:rPr>
              <w:t>mm，</w:t>
            </w:r>
            <w:r>
              <w:rPr>
                <w:rFonts w:hint="eastAsia" w:ascii="仿宋" w:hAnsi="仿宋" w:eastAsia="仿宋" w:cs="仿宋"/>
                <w:sz w:val="24"/>
                <w:szCs w:val="24"/>
                <w:highlight w:val="none"/>
              </w:rPr>
              <w:t>高</w:t>
            </w:r>
            <w:r>
              <w:rPr>
                <w:rFonts w:hint="eastAsia" w:ascii="仿宋" w:hAnsi="仿宋" w:eastAsia="仿宋" w:cs="仿宋"/>
                <w:sz w:val="24"/>
                <w:szCs w:val="24"/>
              </w:rPr>
              <w:t>1850mm，深600mm，每套配公寓椅2把</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规格要求同“</w:t>
            </w:r>
            <w:r>
              <w:rPr>
                <w:rFonts w:hint="eastAsia" w:ascii="仿宋" w:hAnsi="仿宋" w:eastAsia="仿宋" w:cs="仿宋"/>
                <w:sz w:val="24"/>
                <w:szCs w:val="24"/>
              </w:rPr>
              <w:t>两连三位公寓床</w:t>
            </w:r>
            <w:r>
              <w:rPr>
                <w:rFonts w:hint="eastAsia" w:ascii="仿宋" w:hAnsi="仿宋" w:eastAsia="仿宋" w:cs="仿宋"/>
                <w:sz w:val="24"/>
                <w:szCs w:val="24"/>
                <w:lang w:val="en-US" w:eastAsia="zh-CN"/>
              </w:rPr>
              <w:t>中”公寓椅</w:t>
            </w:r>
            <w:r>
              <w:rPr>
                <w:rFonts w:hint="eastAsia" w:ascii="仿宋" w:hAnsi="仿宋" w:eastAsia="仿宋" w:cs="仿宋"/>
                <w:sz w:val="24"/>
                <w:szCs w:val="24"/>
                <w:lang w:eastAsia="zh-CN"/>
              </w:rPr>
              <w:t>）</w:t>
            </w:r>
            <w:r>
              <w:rPr>
                <w:rFonts w:hint="eastAsia" w:ascii="仿宋" w:hAnsi="仿宋" w:eastAsia="仿宋" w:cs="仿宋"/>
                <w:sz w:val="24"/>
                <w:szCs w:val="24"/>
              </w:rPr>
              <w:t>。</w:t>
            </w:r>
          </w:p>
          <w:p w14:paraId="41EB34FA">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2.基材为≥17mm厚度的三聚氰胺饰面E</w:t>
            </w:r>
            <w:r>
              <w:rPr>
                <w:rFonts w:hint="eastAsia" w:ascii="仿宋" w:hAnsi="仿宋" w:eastAsia="仿宋" w:cs="仿宋"/>
                <w:sz w:val="24"/>
                <w:szCs w:val="24"/>
                <w:lang w:val="en-US" w:eastAsia="zh-CN"/>
              </w:rPr>
              <w:t>0</w:t>
            </w:r>
            <w:r>
              <w:rPr>
                <w:rFonts w:hint="eastAsia" w:ascii="仿宋" w:hAnsi="仿宋" w:eastAsia="仿宋" w:cs="仿宋"/>
                <w:sz w:val="24"/>
                <w:szCs w:val="24"/>
              </w:rPr>
              <w:t>级实木生态板，桌面板采用三聚氰胺饰面E</w:t>
            </w:r>
            <w:r>
              <w:rPr>
                <w:rFonts w:hint="eastAsia" w:ascii="仿宋" w:hAnsi="仿宋" w:eastAsia="仿宋" w:cs="仿宋"/>
                <w:sz w:val="24"/>
                <w:szCs w:val="24"/>
                <w:lang w:val="en-US" w:eastAsia="zh-CN"/>
              </w:rPr>
              <w:t>0</w:t>
            </w:r>
            <w:r>
              <w:rPr>
                <w:rFonts w:hint="eastAsia" w:ascii="仿宋" w:hAnsi="仿宋" w:eastAsia="仿宋" w:cs="仿宋"/>
                <w:sz w:val="24"/>
                <w:szCs w:val="24"/>
              </w:rPr>
              <w:t>级实木生态板25mm厚制作。背板为≥4.5mm同色</w:t>
            </w:r>
            <w:r>
              <w:rPr>
                <w:rFonts w:hint="eastAsia" w:ascii="仿宋" w:hAnsi="仿宋" w:eastAsia="仿宋" w:cs="仿宋"/>
                <w:sz w:val="24"/>
                <w:szCs w:val="24"/>
                <w:lang w:eastAsia="zh-CN"/>
              </w:rPr>
              <w:t>E0</w:t>
            </w:r>
            <w:r>
              <w:rPr>
                <w:rFonts w:hint="eastAsia" w:ascii="仿宋" w:hAnsi="仿宋" w:eastAsia="仿宋" w:cs="仿宋"/>
                <w:sz w:val="24"/>
                <w:szCs w:val="24"/>
              </w:rPr>
              <w:t>级双饰面环保多层板，应符合环保要求。每张书桌带</w:t>
            </w:r>
            <w:r>
              <w:rPr>
                <w:rFonts w:hint="eastAsia" w:ascii="仿宋" w:hAnsi="仿宋" w:eastAsia="仿宋" w:cs="仿宋"/>
                <w:sz w:val="24"/>
                <w:szCs w:val="24"/>
                <w:lang w:val="en-US" w:eastAsia="zh-CN"/>
              </w:rPr>
              <w:t>2</w:t>
            </w:r>
            <w:r>
              <w:rPr>
                <w:rFonts w:hint="eastAsia" w:ascii="仿宋" w:hAnsi="仿宋" w:eastAsia="仿宋" w:cs="仿宋"/>
                <w:sz w:val="24"/>
                <w:szCs w:val="24"/>
              </w:rPr>
              <w:t>个抽屉。</w:t>
            </w:r>
          </w:p>
          <w:p w14:paraId="657FA277">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3</w:t>
            </w:r>
            <w:r>
              <w:rPr>
                <w:rFonts w:hint="eastAsia" w:ascii="仿宋" w:hAnsi="仿宋" w:eastAsia="仿宋" w:cs="仿宋"/>
                <w:sz w:val="24"/>
                <w:szCs w:val="24"/>
              </w:rPr>
              <w:t>.板材经烘干、杀菌、杀虫处理，保证材料不会变形生虫，不带有毒气体，达到国家标准；</w:t>
            </w:r>
          </w:p>
          <w:p w14:paraId="60091F96">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4</w:t>
            </w:r>
            <w:r>
              <w:rPr>
                <w:rFonts w:hint="eastAsia" w:ascii="仿宋" w:hAnsi="仿宋" w:eastAsia="仿宋" w:cs="仿宋"/>
                <w:sz w:val="24"/>
                <w:szCs w:val="24"/>
              </w:rPr>
              <w:t>.封边：采用防潮pvc封边条,与柜板面同色,1.2mm厚，热熔胶封边而成(板露边处),做到平整、不炝边、受热受冻不会脱胶开裂；</w:t>
            </w:r>
          </w:p>
          <w:p w14:paraId="0786A17E">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5</w:t>
            </w:r>
            <w:r>
              <w:rPr>
                <w:rFonts w:hint="eastAsia" w:ascii="仿宋" w:hAnsi="仿宋" w:eastAsia="仿宋" w:cs="仿宋"/>
                <w:sz w:val="24"/>
                <w:szCs w:val="24"/>
              </w:rPr>
              <w:t>.配件部分：柜体采用二合一扣件或三合一扣件链接；桌面下储物柜柜门采用铰链；抽屉采用三节导轨，所有门与抽屉需采用拉手。</w:t>
            </w:r>
          </w:p>
          <w:p w14:paraId="2287888A">
            <w:pPr>
              <w:keepNext w:val="0"/>
              <w:keepLines w:val="0"/>
              <w:pageBreakBefore w:val="0"/>
              <w:kinsoku/>
              <w:wordWrap/>
              <w:overflowPunct/>
              <w:topLinePunct w:val="0"/>
              <w:autoSpaceDE/>
              <w:autoSpaceDN/>
              <w:bidi w:val="0"/>
              <w:adjustRightInd/>
              <w:snapToGrid/>
              <w:spacing w:line="520" w:lineRule="exact"/>
              <w:ind w:firstLine="233" w:firstLineChars="100"/>
              <w:textAlignment w:val="auto"/>
              <w:rPr>
                <w:rFonts w:hint="eastAsia" w:ascii="仿宋" w:hAnsi="仿宋" w:eastAsia="仿宋" w:cs="仿宋"/>
                <w:b/>
                <w:bCs/>
                <w:spacing w:val="-4"/>
                <w:sz w:val="24"/>
                <w:szCs w:val="24"/>
                <w:lang w:eastAsia="zh-CN"/>
              </w:rPr>
            </w:pPr>
            <w:r>
              <w:rPr>
                <w:rFonts w:hint="eastAsia" w:ascii="仿宋" w:hAnsi="仿宋" w:eastAsia="仿宋" w:cs="仿宋"/>
                <w:b/>
                <w:bCs/>
                <w:spacing w:val="-4"/>
                <w:sz w:val="24"/>
                <w:szCs w:val="24"/>
                <w:lang w:val="en-US" w:eastAsia="zh-CN"/>
              </w:rPr>
              <w:t>公寓</w:t>
            </w:r>
            <w:r>
              <w:rPr>
                <w:rFonts w:hint="eastAsia" w:ascii="仿宋" w:hAnsi="仿宋" w:eastAsia="仿宋" w:cs="仿宋"/>
                <w:b/>
                <w:bCs/>
                <w:spacing w:val="-4"/>
                <w:sz w:val="24"/>
                <w:szCs w:val="24"/>
              </w:rPr>
              <w:t>椅</w:t>
            </w:r>
            <w:r>
              <w:rPr>
                <w:rFonts w:hint="eastAsia" w:ascii="仿宋" w:hAnsi="仿宋" w:eastAsia="仿宋" w:cs="仿宋"/>
                <w:b/>
                <w:bCs/>
                <w:spacing w:val="-4"/>
                <w:sz w:val="24"/>
                <w:szCs w:val="24"/>
                <w:lang w:val="en-US" w:eastAsia="zh-CN"/>
              </w:rPr>
              <w:t>规格要求与“</w:t>
            </w:r>
            <w:r>
              <w:rPr>
                <w:rFonts w:hint="eastAsia" w:ascii="仿宋" w:hAnsi="仿宋" w:eastAsia="仿宋" w:cs="仿宋"/>
                <w:b/>
                <w:bCs/>
                <w:spacing w:val="-4"/>
                <w:sz w:val="24"/>
                <w:szCs w:val="24"/>
              </w:rPr>
              <w:t>两连三位公寓床</w:t>
            </w:r>
            <w:r>
              <w:rPr>
                <w:rFonts w:hint="eastAsia" w:ascii="仿宋" w:hAnsi="仿宋" w:eastAsia="仿宋" w:cs="仿宋"/>
                <w:b/>
                <w:bCs/>
                <w:spacing w:val="-4"/>
                <w:sz w:val="24"/>
                <w:szCs w:val="24"/>
                <w:lang w:val="en-US" w:eastAsia="zh-CN"/>
              </w:rPr>
              <w:t>”配置公寓椅一致</w:t>
            </w:r>
            <w:r>
              <w:rPr>
                <w:rFonts w:hint="eastAsia" w:ascii="仿宋" w:hAnsi="仿宋" w:eastAsia="仿宋" w:cs="仿宋"/>
                <w:b/>
                <w:bCs/>
                <w:spacing w:val="-4"/>
                <w:sz w:val="24"/>
                <w:szCs w:val="24"/>
                <w:lang w:eastAsia="zh-CN"/>
              </w:rPr>
              <w:t>。</w:t>
            </w:r>
          </w:p>
          <w:p w14:paraId="0DFBA575">
            <w:pPr>
              <w:keepNext w:val="0"/>
              <w:keepLines w:val="0"/>
              <w:pageBreakBefore w:val="0"/>
              <w:kinsoku/>
              <w:wordWrap/>
              <w:overflowPunct/>
              <w:topLinePunct w:val="0"/>
              <w:autoSpaceDE/>
              <w:autoSpaceDN/>
              <w:bidi w:val="0"/>
              <w:adjustRightInd/>
              <w:snapToGrid/>
              <w:spacing w:line="520" w:lineRule="exact"/>
              <w:ind w:firstLine="241" w:firstLineChars="100"/>
              <w:textAlignment w:val="auto"/>
              <w:rPr>
                <w:rFonts w:hint="default" w:ascii="仿宋" w:hAnsi="仿宋" w:eastAsia="仿宋" w:cs="仿宋"/>
                <w:b/>
                <w:bCs/>
                <w:spacing w:val="-4"/>
                <w:sz w:val="24"/>
                <w:szCs w:val="24"/>
                <w:lang w:val="en-US" w:eastAsia="zh-CN"/>
              </w:rPr>
            </w:pPr>
            <w:r>
              <w:rPr>
                <w:rFonts w:hint="eastAsia" w:ascii="仿宋" w:hAnsi="仿宋" w:eastAsia="仿宋" w:cs="仿宋"/>
                <w:b/>
                <w:bCs/>
                <w:sz w:val="24"/>
                <w:szCs w:val="24"/>
              </w:rPr>
              <w:t>宿舍两连位桌椅</w:t>
            </w:r>
            <w:r>
              <w:rPr>
                <w:rFonts w:hint="eastAsia" w:ascii="仿宋" w:hAnsi="仿宋" w:eastAsia="仿宋" w:cs="仿宋"/>
                <w:b/>
                <w:bCs/>
                <w:sz w:val="24"/>
                <w:szCs w:val="24"/>
                <w:lang w:val="en-US" w:eastAsia="zh-CN"/>
              </w:rPr>
              <w:t>书架参考样式如下图所示：</w:t>
            </w:r>
          </w:p>
          <w:p w14:paraId="3B4A79BF">
            <w:pPr>
              <w:keepNext w:val="0"/>
              <w:keepLines w:val="0"/>
              <w:pageBreakBefore w:val="0"/>
              <w:widowControl w:val="0"/>
              <w:kinsoku/>
              <w:wordWrap/>
              <w:overflowPunct/>
              <w:topLinePunct w:val="0"/>
              <w:autoSpaceDE/>
              <w:autoSpaceDN/>
              <w:bidi w:val="0"/>
              <w:adjustRightInd/>
              <w:snapToGrid/>
              <w:spacing w:before="79" w:beforeLines="25" w:after="79" w:afterLines="25" w:line="240" w:lineRule="auto"/>
              <w:jc w:val="both"/>
              <w:textAlignment w:val="auto"/>
              <w:rPr>
                <w:rFonts w:hint="eastAsia" w:ascii="仿宋" w:hAnsi="仿宋" w:eastAsia="仿宋" w:cs="仿宋"/>
                <w:b/>
                <w:bCs/>
                <w:sz w:val="24"/>
                <w:szCs w:val="24"/>
                <w:lang w:val="en-US" w:eastAsia="zh-CN"/>
              </w:rPr>
            </w:pPr>
            <w:r>
              <w:rPr>
                <w:rFonts w:hint="eastAsia" w:ascii="仿宋" w:hAnsi="仿宋" w:eastAsia="仿宋" w:cs="仿宋"/>
                <w:sz w:val="24"/>
                <w:szCs w:val="24"/>
                <w:lang w:val="en-US" w:eastAsia="zh-CN"/>
              </w:rPr>
              <w:drawing>
                <wp:inline distT="0" distB="0" distL="114300" distR="114300">
                  <wp:extent cx="4357370" cy="3264535"/>
                  <wp:effectExtent l="0" t="0" r="5080" b="12065"/>
                  <wp:docPr id="7" name="图片 7"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图片1"/>
                          <pic:cNvPicPr>
                            <a:picLocks noChangeAspect="1"/>
                          </pic:cNvPicPr>
                        </pic:nvPicPr>
                        <pic:blipFill>
                          <a:blip r:embed="rId6"/>
                          <a:stretch>
                            <a:fillRect/>
                          </a:stretch>
                        </pic:blipFill>
                        <pic:spPr>
                          <a:xfrm>
                            <a:off x="0" y="0"/>
                            <a:ext cx="4357370" cy="3264535"/>
                          </a:xfrm>
                          <a:prstGeom prst="rect">
                            <a:avLst/>
                          </a:prstGeom>
                        </pic:spPr>
                      </pic:pic>
                    </a:graphicData>
                  </a:graphic>
                </wp:inline>
              </w:drawing>
            </w:r>
          </w:p>
        </w:tc>
        <w:tc>
          <w:tcPr>
            <w:tcW w:w="367" w:type="pct"/>
            <w:noWrap/>
            <w:vAlign w:val="center"/>
          </w:tcPr>
          <w:p w14:paraId="52D4A979">
            <w:pPr>
              <w:pageBreakBefore w:val="0"/>
              <w:widowControl/>
              <w:wordWrap/>
              <w:overflowPunct/>
              <w:topLinePunct w:val="0"/>
              <w:autoSpaceDE w:val="0"/>
              <w:autoSpaceDN w:val="0"/>
              <w:bidi w:val="0"/>
              <w:adjustRightInd w:val="0"/>
              <w:snapToGrid w:val="0"/>
              <w:spacing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highlight w:val="none"/>
                <w:lang w:val="en-US" w:eastAsia="zh-CN"/>
              </w:rPr>
              <w:t>套</w:t>
            </w:r>
          </w:p>
        </w:tc>
        <w:tc>
          <w:tcPr>
            <w:tcW w:w="375" w:type="pct"/>
            <w:noWrap/>
            <w:vAlign w:val="center"/>
          </w:tcPr>
          <w:p w14:paraId="50F1F9E8">
            <w:pPr>
              <w:pageBreakBefore w:val="0"/>
              <w:widowControl/>
              <w:wordWrap/>
              <w:overflowPunct/>
              <w:topLinePunct w:val="0"/>
              <w:autoSpaceDE w:val="0"/>
              <w:autoSpaceDN w:val="0"/>
              <w:bidi w:val="0"/>
              <w:adjustRightInd w:val="0"/>
              <w:snapToGrid w:val="0"/>
              <w:spacing w:line="240" w:lineRule="auto"/>
              <w:jc w:val="center"/>
              <w:rPr>
                <w:rFonts w:hint="default" w:ascii="宋体" w:hAnsi="宋体" w:eastAsia="宋体" w:cs="宋体"/>
                <w:color w:val="000000"/>
                <w:kern w:val="0"/>
                <w:sz w:val="24"/>
                <w:szCs w:val="24"/>
                <w:lang w:val="en-US" w:eastAsia="zh-CN"/>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22</w:t>
            </w:r>
            <w:r>
              <w:rPr>
                <w:rFonts w:hint="eastAsia" w:ascii="仿宋" w:hAnsi="仿宋" w:eastAsia="仿宋" w:cs="仿宋"/>
                <w:sz w:val="24"/>
                <w:szCs w:val="24"/>
                <w:lang w:val="en-US" w:eastAsia="zh-CN"/>
              </w:rPr>
              <w:t>（</w:t>
            </w:r>
            <w:r>
              <w:rPr>
                <w:rFonts w:hint="eastAsia" w:ascii="仿宋" w:hAnsi="仿宋" w:eastAsia="仿宋" w:cs="仿宋"/>
                <w:i w:val="0"/>
                <w:iCs w:val="0"/>
                <w:color w:val="auto"/>
                <w:sz w:val="24"/>
                <w:szCs w:val="24"/>
                <w:lang w:val="en-US" w:eastAsia="zh-CN"/>
              </w:rPr>
              <w:t>京山南路校区</w:t>
            </w:r>
            <w:r>
              <w:rPr>
                <w:rFonts w:hint="eastAsia" w:ascii="仿宋" w:hAnsi="仿宋" w:eastAsia="仿宋" w:cs="仿宋"/>
                <w:sz w:val="24"/>
                <w:szCs w:val="24"/>
                <w:lang w:val="en-US" w:eastAsia="zh-CN"/>
              </w:rPr>
              <w:t>）</w:t>
            </w:r>
          </w:p>
        </w:tc>
      </w:tr>
      <w:tr w14:paraId="7877C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384" w:type="pct"/>
            <w:noWrap w:val="0"/>
            <w:vAlign w:val="center"/>
          </w:tcPr>
          <w:p w14:paraId="3BFBCA70">
            <w:pPr>
              <w:keepNext w:val="0"/>
              <w:keepLines w:val="0"/>
              <w:pageBreakBefore w:val="0"/>
              <w:widowControl w:val="0"/>
              <w:kinsoku/>
              <w:wordWrap/>
              <w:overflowPunct/>
              <w:topLinePunct w:val="0"/>
              <w:autoSpaceDE/>
              <w:autoSpaceDN/>
              <w:bidi w:val="0"/>
              <w:adjustRightInd/>
              <w:snapToGrid/>
              <w:spacing w:before="79" w:beforeLines="25" w:after="79" w:afterLines="25" w:line="520" w:lineRule="exact"/>
              <w:jc w:val="center"/>
              <w:textAlignment w:val="auto"/>
              <w:rPr>
                <w:rFonts w:hint="eastAsia" w:ascii="仿宋" w:hAnsi="仿宋" w:eastAsia="仿宋" w:cs="仿宋"/>
                <w:i w:val="0"/>
                <w:iCs w:val="0"/>
                <w:color w:val="auto"/>
                <w:sz w:val="24"/>
                <w:szCs w:val="24"/>
                <w:vertAlign w:val="baseline"/>
                <w:lang w:val="en-US" w:eastAsia="zh-CN"/>
              </w:rPr>
            </w:pPr>
            <w:r>
              <w:rPr>
                <w:rFonts w:hint="eastAsia" w:ascii="仿宋" w:hAnsi="仿宋" w:eastAsia="仿宋" w:cs="仿宋"/>
                <w:i w:val="0"/>
                <w:iCs w:val="0"/>
                <w:color w:val="auto"/>
                <w:sz w:val="24"/>
                <w:szCs w:val="24"/>
                <w:vertAlign w:val="baseline"/>
                <w:lang w:val="en-US" w:eastAsia="zh-CN"/>
              </w:rPr>
              <w:t>3</w:t>
            </w:r>
          </w:p>
        </w:tc>
        <w:tc>
          <w:tcPr>
            <w:tcW w:w="571" w:type="pct"/>
            <w:noWrap w:val="0"/>
            <w:vAlign w:val="center"/>
          </w:tcPr>
          <w:p w14:paraId="42FEEC5C">
            <w:pPr>
              <w:keepNext w:val="0"/>
              <w:keepLines w:val="0"/>
              <w:pageBreakBefore w:val="0"/>
              <w:widowControl w:val="0"/>
              <w:kinsoku/>
              <w:wordWrap/>
              <w:overflowPunct/>
              <w:topLinePunct w:val="0"/>
              <w:autoSpaceDE/>
              <w:autoSpaceDN/>
              <w:bidi w:val="0"/>
              <w:adjustRightInd/>
              <w:snapToGrid/>
              <w:spacing w:before="79" w:beforeLines="25" w:after="79" w:afterLines="25" w:line="520" w:lineRule="exact"/>
              <w:jc w:val="center"/>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宿舍两人用储物柜</w:t>
            </w:r>
          </w:p>
        </w:tc>
        <w:tc>
          <w:tcPr>
            <w:tcW w:w="3301" w:type="pct"/>
            <w:noWrap/>
            <w:vAlign w:val="center"/>
          </w:tcPr>
          <w:p w14:paraId="20F54719">
            <w:pPr>
              <w:pStyle w:val="7"/>
              <w:keepNext w:val="0"/>
              <w:keepLines w:val="0"/>
              <w:pageBreakBefore w:val="0"/>
              <w:kinsoku/>
              <w:wordWrap/>
              <w:overflowPunct/>
              <w:topLinePunct w:val="0"/>
              <w:autoSpaceDE/>
              <w:autoSpaceDN/>
              <w:bidi w:val="0"/>
              <w:adjustRightInd/>
              <w:snapToGrid/>
              <w:spacing w:line="520" w:lineRule="exact"/>
              <w:ind w:left="0" w:leftChars="0" w:firstLine="241" w:firstLineChars="100"/>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三、宿舍两人用储物柜</w:t>
            </w:r>
          </w:p>
          <w:p w14:paraId="7E7789BE">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▲学生公寓板式组合柜。依据GB 18580-2025，GB/T 39600-2021，GB 18584-2024</w:t>
            </w:r>
            <w:r>
              <w:rPr>
                <w:rFonts w:hint="eastAsia" w:ascii="仿宋" w:hAnsi="仿宋" w:eastAsia="仿宋" w:cs="仿宋"/>
                <w:sz w:val="24"/>
                <w:szCs w:val="24"/>
                <w:highlight w:val="none"/>
                <w:lang w:val="en-US" w:eastAsia="zh-CN"/>
              </w:rPr>
              <w:t>，</w:t>
            </w:r>
            <w:r>
              <w:rPr>
                <w:rFonts w:hint="eastAsia" w:ascii="仿宋" w:hAnsi="仿宋" w:eastAsia="仿宋" w:cs="仿宋"/>
                <w:strike w:val="0"/>
                <w:dstrike w:val="0"/>
                <w:sz w:val="24"/>
                <w:szCs w:val="24"/>
                <w:highlight w:val="none"/>
                <w:lang w:val="en-US" w:eastAsia="zh-CN"/>
              </w:rPr>
              <w:t>QB/T 4371-2012检</w:t>
            </w:r>
            <w:r>
              <w:rPr>
                <w:rFonts w:hint="eastAsia" w:ascii="仿宋" w:hAnsi="仿宋" w:eastAsia="仿宋" w:cs="仿宋"/>
                <w:sz w:val="24"/>
                <w:szCs w:val="24"/>
                <w:lang w:val="en-US" w:eastAsia="zh-CN"/>
              </w:rPr>
              <w:t>测标准：</w:t>
            </w:r>
            <w:r>
              <w:rPr>
                <w:rFonts w:hint="eastAsia" w:ascii="仿宋" w:hAnsi="仿宋" w:eastAsia="仿宋" w:cs="仿宋"/>
                <w:sz w:val="24"/>
                <w:szCs w:val="24"/>
                <w:highlight w:val="none"/>
              </w:rPr>
              <w:t>甲醛释放量：达到E0级标准，甲醛释放量≤0.050mg/m³；挥发性有机物：苯、甲苯、二甲苯均未检出，总挥发性有机化合物（TVOC）未检出；</w:t>
            </w:r>
            <w:r>
              <w:rPr>
                <w:rFonts w:hint="eastAsia" w:ascii="仿宋" w:hAnsi="仿宋" w:eastAsia="仿宋" w:cs="仿宋"/>
                <w:strike w:val="0"/>
                <w:dstrike w:val="0"/>
                <w:sz w:val="24"/>
                <w:szCs w:val="24"/>
                <w:highlight w:val="none"/>
              </w:rPr>
              <w:t>耐霉菌性：对8种及以上常见菌类抑菌率均≥99%</w:t>
            </w:r>
            <w:r>
              <w:rPr>
                <w:rFonts w:hint="eastAsia" w:ascii="仿宋" w:hAnsi="仿宋" w:eastAsia="仿宋" w:cs="仿宋"/>
                <w:strike w:val="0"/>
                <w:dstrike w:val="0"/>
                <w:sz w:val="24"/>
                <w:szCs w:val="24"/>
                <w:highlight w:val="none"/>
                <w:lang w:eastAsia="zh-CN"/>
              </w:rPr>
              <w:t>。</w:t>
            </w:r>
          </w:p>
          <w:p w14:paraId="2607271C">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2"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b/>
                <w:bCs/>
                <w:sz w:val="24"/>
                <w:szCs w:val="24"/>
                <w:lang w:val="en-US" w:eastAsia="zh-CN"/>
              </w:rPr>
              <w:t>响应</w:t>
            </w:r>
            <w:r>
              <w:rPr>
                <w:rFonts w:hint="eastAsia" w:ascii="仿宋" w:hAnsi="仿宋" w:eastAsia="仿宋" w:cs="仿宋"/>
                <w:b/>
                <w:bCs/>
                <w:sz w:val="24"/>
                <w:szCs w:val="24"/>
                <w:lang w:eastAsia="zh-CN"/>
              </w:rPr>
              <w:t>文件中须提供</w:t>
            </w:r>
            <w:r>
              <w:rPr>
                <w:rFonts w:hint="eastAsia" w:ascii="仿宋" w:hAnsi="仿宋" w:eastAsia="仿宋" w:cs="仿宋"/>
                <w:b/>
                <w:bCs/>
                <w:sz w:val="24"/>
                <w:szCs w:val="24"/>
                <w:lang w:val="en-US" w:eastAsia="zh-CN"/>
              </w:rPr>
              <w:t>带有</w:t>
            </w:r>
            <w:r>
              <w:rPr>
                <w:rFonts w:hint="eastAsia" w:ascii="仿宋" w:hAnsi="仿宋" w:eastAsia="仿宋" w:cs="仿宋"/>
                <w:b/>
                <w:bCs/>
                <w:sz w:val="24"/>
                <w:szCs w:val="24"/>
              </w:rPr>
              <w:t>“CMA”标识</w:t>
            </w:r>
            <w:r>
              <w:rPr>
                <w:rFonts w:hint="eastAsia" w:ascii="仿宋" w:hAnsi="仿宋" w:eastAsia="仿宋" w:cs="仿宋"/>
                <w:b/>
                <w:bCs/>
                <w:sz w:val="24"/>
                <w:szCs w:val="24"/>
                <w:lang w:val="en-US" w:eastAsia="zh-CN"/>
              </w:rPr>
              <w:t>的第三方检测报告原色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6A6A7304">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rPr>
              <w:t>1.两人柜整体规格：宽400mm，高</w:t>
            </w:r>
            <w:r>
              <w:rPr>
                <w:rFonts w:hint="eastAsia" w:ascii="仿宋" w:hAnsi="仿宋" w:eastAsia="仿宋" w:cs="仿宋"/>
                <w:sz w:val="24"/>
                <w:szCs w:val="24"/>
                <w:lang w:val="en-US" w:eastAsia="zh-CN"/>
              </w:rPr>
              <w:t>2100</w:t>
            </w:r>
            <w:r>
              <w:rPr>
                <w:rFonts w:hint="eastAsia" w:ascii="仿宋" w:hAnsi="仿宋" w:eastAsia="仿宋" w:cs="仿宋"/>
                <w:sz w:val="24"/>
                <w:szCs w:val="24"/>
              </w:rPr>
              <w:t>mm，深600mm，上下两层，基材为≥17mm厚度的三聚氰胺饰面</w:t>
            </w:r>
            <w:r>
              <w:rPr>
                <w:rFonts w:hint="eastAsia" w:ascii="仿宋" w:hAnsi="仿宋" w:eastAsia="仿宋" w:cs="仿宋"/>
                <w:sz w:val="24"/>
                <w:szCs w:val="24"/>
                <w:lang w:val="en-US" w:eastAsia="zh-CN"/>
              </w:rPr>
              <w:t>E0级</w:t>
            </w:r>
            <w:r>
              <w:rPr>
                <w:rFonts w:hint="eastAsia" w:ascii="仿宋" w:hAnsi="仿宋" w:eastAsia="仿宋" w:cs="仿宋"/>
                <w:sz w:val="24"/>
                <w:szCs w:val="24"/>
              </w:rPr>
              <w:t>实木生态板。背板为≥4.5mm同色</w:t>
            </w:r>
            <w:r>
              <w:rPr>
                <w:rFonts w:hint="eastAsia" w:ascii="仿宋" w:hAnsi="仿宋" w:eastAsia="仿宋" w:cs="仿宋"/>
                <w:sz w:val="24"/>
                <w:szCs w:val="24"/>
                <w:lang w:eastAsia="zh-CN"/>
              </w:rPr>
              <w:t>E0</w:t>
            </w:r>
            <w:r>
              <w:rPr>
                <w:rFonts w:hint="eastAsia" w:ascii="仿宋" w:hAnsi="仿宋" w:eastAsia="仿宋" w:cs="仿宋"/>
                <w:sz w:val="24"/>
                <w:szCs w:val="24"/>
              </w:rPr>
              <w:t>级双饰面环保多层板。应符合环保要求。</w:t>
            </w:r>
            <w:r>
              <w:rPr>
                <w:rFonts w:hint="eastAsia" w:ascii="仿宋" w:hAnsi="仿宋" w:eastAsia="仿宋" w:cs="仿宋"/>
                <w:sz w:val="24"/>
                <w:szCs w:val="24"/>
                <w:lang w:val="en-US" w:eastAsia="zh-CN"/>
              </w:rPr>
              <w:t>柜体下部需包含50mm高度架空踢脚线。</w:t>
            </w:r>
          </w:p>
          <w:p w14:paraId="6A7B7D63">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2.板材经烘干、杀菌、杀虫处理，保证材料不会变形生虫，不带有毒气体，达到国家标准；</w:t>
            </w:r>
          </w:p>
          <w:p w14:paraId="4366F03E">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3.封边：采用防潮pvc封边条,与柜板面同色,1.2mm厚，热熔胶封边而成(板露边处),做到平整、不炝边、受热受冻不会脱胶开裂；</w:t>
            </w:r>
          </w:p>
          <w:p w14:paraId="683A28DA">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4.配件部分：柜体采用二合一扣件或三合一扣件链接，衣柜开门采用与柜门同长的整根长排合页</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柜门处增加磁吸闭门器；</w:t>
            </w:r>
            <w:r>
              <w:rPr>
                <w:rFonts w:hint="eastAsia" w:ascii="仿宋" w:hAnsi="仿宋" w:eastAsia="仿宋" w:cs="仿宋"/>
                <w:sz w:val="24"/>
                <w:szCs w:val="24"/>
              </w:rPr>
              <w:t>所有门与抽屉需采用拉手</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挂锁件</w:t>
            </w:r>
            <w:r>
              <w:rPr>
                <w:rFonts w:hint="eastAsia" w:ascii="仿宋" w:hAnsi="仿宋" w:eastAsia="仿宋" w:cs="仿宋"/>
                <w:sz w:val="24"/>
                <w:szCs w:val="24"/>
              </w:rPr>
              <w:t>。</w:t>
            </w:r>
          </w:p>
          <w:p w14:paraId="0025E448">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2" w:firstLineChars="200"/>
              <w:jc w:val="both"/>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宿舍两人用储物柜参考样式如下图所示：</w:t>
            </w:r>
          </w:p>
          <w:p w14:paraId="2A5FD5D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sz w:val="24"/>
                <w:szCs w:val="24"/>
                <w:lang w:val="en-US" w:eastAsia="zh-CN"/>
              </w:rPr>
            </w:pPr>
            <w:r>
              <w:rPr>
                <w:rFonts w:hint="eastAsia" w:ascii="仿宋" w:hAnsi="仿宋" w:eastAsia="仿宋" w:cs="仿宋"/>
                <w:b/>
                <w:bCs/>
                <w:sz w:val="24"/>
                <w:szCs w:val="24"/>
                <w:lang w:val="en-US" w:eastAsia="zh-CN"/>
              </w:rPr>
              <w:drawing>
                <wp:inline distT="0" distB="0" distL="114300" distR="114300">
                  <wp:extent cx="4357370" cy="3264535"/>
                  <wp:effectExtent l="0" t="0" r="5080" b="12065"/>
                  <wp:docPr id="9" name="图片 9"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图片1"/>
                          <pic:cNvPicPr>
                            <a:picLocks noChangeAspect="1"/>
                          </pic:cNvPicPr>
                        </pic:nvPicPr>
                        <pic:blipFill>
                          <a:blip r:embed="rId6"/>
                          <a:stretch>
                            <a:fillRect/>
                          </a:stretch>
                        </pic:blipFill>
                        <pic:spPr>
                          <a:xfrm>
                            <a:off x="0" y="0"/>
                            <a:ext cx="4357370" cy="3264535"/>
                          </a:xfrm>
                          <a:prstGeom prst="rect">
                            <a:avLst/>
                          </a:prstGeom>
                        </pic:spPr>
                      </pic:pic>
                    </a:graphicData>
                  </a:graphic>
                </wp:inline>
              </w:drawing>
            </w:r>
          </w:p>
        </w:tc>
        <w:tc>
          <w:tcPr>
            <w:tcW w:w="367" w:type="pct"/>
            <w:noWrap/>
            <w:vAlign w:val="center"/>
          </w:tcPr>
          <w:p w14:paraId="7766DA6D">
            <w:pPr>
              <w:pageBreakBefore w:val="0"/>
              <w:widowControl/>
              <w:wordWrap/>
              <w:overflowPunct/>
              <w:topLinePunct w:val="0"/>
              <w:autoSpaceDE w:val="0"/>
              <w:autoSpaceDN w:val="0"/>
              <w:bidi w:val="0"/>
              <w:adjustRightInd w:val="0"/>
              <w:snapToGrid w:val="0"/>
              <w:spacing w:line="240" w:lineRule="auto"/>
              <w:jc w:val="center"/>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套</w:t>
            </w:r>
          </w:p>
        </w:tc>
        <w:tc>
          <w:tcPr>
            <w:tcW w:w="375" w:type="pct"/>
            <w:noWrap/>
            <w:vAlign w:val="center"/>
          </w:tcPr>
          <w:p w14:paraId="5BB393C8">
            <w:pPr>
              <w:pageBreakBefore w:val="0"/>
              <w:widowControl/>
              <w:wordWrap/>
              <w:overflowPunct/>
              <w:topLinePunct w:val="0"/>
              <w:autoSpaceDE w:val="0"/>
              <w:autoSpaceDN w:val="0"/>
              <w:bidi w:val="0"/>
              <w:adjustRightInd w:val="0"/>
              <w:snapToGrid w:val="0"/>
              <w:spacing w:line="240" w:lineRule="auto"/>
              <w:jc w:val="center"/>
              <w:rPr>
                <w:rFonts w:hint="default" w:ascii="宋体" w:hAnsi="宋体" w:eastAsia="宋体" w:cs="宋体"/>
                <w:color w:val="000000"/>
                <w:kern w:val="0"/>
                <w:sz w:val="24"/>
                <w:szCs w:val="24"/>
                <w:lang w:val="en-US" w:eastAsia="zh-CN"/>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22</w:t>
            </w:r>
            <w:r>
              <w:rPr>
                <w:rFonts w:hint="eastAsia" w:ascii="仿宋" w:hAnsi="仿宋" w:eastAsia="仿宋" w:cs="仿宋"/>
                <w:sz w:val="24"/>
                <w:szCs w:val="24"/>
                <w:lang w:val="en-US" w:eastAsia="zh-CN"/>
              </w:rPr>
              <w:t>（</w:t>
            </w:r>
            <w:r>
              <w:rPr>
                <w:rFonts w:hint="eastAsia" w:ascii="仿宋" w:hAnsi="仿宋" w:eastAsia="仿宋" w:cs="仿宋"/>
                <w:i w:val="0"/>
                <w:iCs w:val="0"/>
                <w:color w:val="auto"/>
                <w:sz w:val="24"/>
                <w:szCs w:val="24"/>
                <w:lang w:val="en-US" w:eastAsia="zh-CN"/>
              </w:rPr>
              <w:t>京山南路校区</w:t>
            </w:r>
            <w:r>
              <w:rPr>
                <w:rFonts w:hint="eastAsia" w:ascii="仿宋" w:hAnsi="仿宋" w:eastAsia="仿宋" w:cs="仿宋"/>
                <w:sz w:val="24"/>
                <w:szCs w:val="24"/>
                <w:lang w:val="en-US" w:eastAsia="zh-CN"/>
              </w:rPr>
              <w:t>）</w:t>
            </w:r>
          </w:p>
        </w:tc>
      </w:tr>
      <w:tr w14:paraId="74E6B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384" w:type="pct"/>
            <w:noWrap w:val="0"/>
            <w:vAlign w:val="center"/>
          </w:tcPr>
          <w:p w14:paraId="2647ADE3">
            <w:pPr>
              <w:keepNext w:val="0"/>
              <w:keepLines w:val="0"/>
              <w:pageBreakBefore w:val="0"/>
              <w:widowControl w:val="0"/>
              <w:kinsoku/>
              <w:wordWrap/>
              <w:overflowPunct/>
              <w:topLinePunct w:val="0"/>
              <w:autoSpaceDE/>
              <w:autoSpaceDN/>
              <w:bidi w:val="0"/>
              <w:adjustRightInd/>
              <w:snapToGrid/>
              <w:spacing w:before="79" w:beforeLines="25" w:after="79" w:afterLines="25" w:line="520" w:lineRule="exact"/>
              <w:jc w:val="center"/>
              <w:textAlignment w:val="auto"/>
              <w:rPr>
                <w:rFonts w:hint="eastAsia" w:ascii="仿宋" w:hAnsi="仿宋" w:eastAsia="仿宋" w:cs="仿宋"/>
                <w:i w:val="0"/>
                <w:iCs w:val="0"/>
                <w:color w:val="auto"/>
                <w:sz w:val="24"/>
                <w:szCs w:val="24"/>
                <w:vertAlign w:val="baseline"/>
                <w:lang w:val="en-US" w:eastAsia="zh-CN"/>
              </w:rPr>
            </w:pPr>
            <w:r>
              <w:rPr>
                <w:rFonts w:hint="eastAsia" w:ascii="仿宋" w:hAnsi="仿宋" w:eastAsia="仿宋" w:cs="仿宋"/>
                <w:i w:val="0"/>
                <w:iCs w:val="0"/>
                <w:color w:val="auto"/>
                <w:sz w:val="24"/>
                <w:szCs w:val="24"/>
                <w:vertAlign w:val="baseline"/>
                <w:lang w:val="en-US" w:eastAsia="zh-CN"/>
              </w:rPr>
              <w:t>4</w:t>
            </w:r>
          </w:p>
        </w:tc>
        <w:tc>
          <w:tcPr>
            <w:tcW w:w="571" w:type="pct"/>
            <w:noWrap w:val="0"/>
            <w:vAlign w:val="center"/>
          </w:tcPr>
          <w:p w14:paraId="19DF9EAF">
            <w:pPr>
              <w:keepNext w:val="0"/>
              <w:keepLines w:val="0"/>
              <w:pageBreakBefore w:val="0"/>
              <w:widowControl w:val="0"/>
              <w:kinsoku/>
              <w:wordWrap/>
              <w:overflowPunct/>
              <w:topLinePunct w:val="0"/>
              <w:autoSpaceDE/>
              <w:autoSpaceDN/>
              <w:bidi w:val="0"/>
              <w:adjustRightInd/>
              <w:snapToGrid/>
              <w:spacing w:before="79" w:beforeLines="25" w:after="79" w:afterLines="25" w:line="520" w:lineRule="exact"/>
              <w:jc w:val="center"/>
              <w:textAlignment w:val="auto"/>
              <w:rPr>
                <w:rFonts w:hint="eastAsia" w:ascii="仿宋" w:hAnsi="仿宋" w:eastAsia="仿宋" w:cs="仿宋"/>
                <w:sz w:val="24"/>
                <w:szCs w:val="24"/>
                <w:highlight w:val="none"/>
              </w:rPr>
            </w:pPr>
            <w:r>
              <w:rPr>
                <w:rFonts w:hint="eastAsia" w:ascii="仿宋" w:hAnsi="仿宋" w:eastAsia="仿宋" w:cs="仿宋"/>
                <w:sz w:val="24"/>
                <w:szCs w:val="24"/>
                <w:lang w:val="en-US" w:eastAsia="zh-CN"/>
              </w:rPr>
              <w:t>三连位</w:t>
            </w:r>
            <w:r>
              <w:rPr>
                <w:rFonts w:hint="eastAsia" w:ascii="仿宋" w:hAnsi="仿宋" w:eastAsia="仿宋" w:cs="仿宋"/>
                <w:sz w:val="24"/>
                <w:szCs w:val="24"/>
              </w:rPr>
              <w:t>上床下桌</w:t>
            </w:r>
            <w:r>
              <w:rPr>
                <w:rFonts w:hint="eastAsia" w:ascii="仿宋" w:hAnsi="仿宋" w:eastAsia="仿宋" w:cs="仿宋"/>
                <w:sz w:val="24"/>
                <w:szCs w:val="24"/>
                <w:lang w:val="en-US" w:eastAsia="zh-CN"/>
              </w:rPr>
              <w:t>公寓床</w:t>
            </w:r>
          </w:p>
        </w:tc>
        <w:tc>
          <w:tcPr>
            <w:tcW w:w="3301" w:type="pct"/>
            <w:noWrap/>
            <w:vAlign w:val="center"/>
          </w:tcPr>
          <w:p w14:paraId="27FB9A35">
            <w:pPr>
              <w:keepNext w:val="0"/>
              <w:keepLines w:val="0"/>
              <w:pageBreakBefore w:val="0"/>
              <w:kinsoku/>
              <w:wordWrap/>
              <w:overflowPunct/>
              <w:topLinePunct w:val="0"/>
              <w:autoSpaceDE/>
              <w:autoSpaceDN/>
              <w:bidi w:val="0"/>
              <w:adjustRightInd/>
              <w:snapToGrid/>
              <w:spacing w:before="2" w:line="520" w:lineRule="exact"/>
              <w:ind w:right="28" w:firstLine="241" w:firstLineChars="100"/>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四、三连体</w:t>
            </w:r>
            <w:r>
              <w:rPr>
                <w:rFonts w:hint="eastAsia" w:ascii="仿宋" w:hAnsi="仿宋" w:eastAsia="仿宋" w:cs="仿宋"/>
                <w:b/>
                <w:bCs/>
                <w:sz w:val="24"/>
                <w:szCs w:val="24"/>
              </w:rPr>
              <w:t>上床下桌</w:t>
            </w:r>
            <w:r>
              <w:rPr>
                <w:rFonts w:hint="eastAsia" w:ascii="仿宋" w:hAnsi="仿宋" w:eastAsia="仿宋" w:cs="仿宋"/>
                <w:b/>
                <w:bCs/>
                <w:sz w:val="24"/>
                <w:szCs w:val="24"/>
                <w:lang w:val="en-US" w:eastAsia="zh-CN"/>
              </w:rPr>
              <w:t>床（含三个床位、三套组合家具、三把公寓椅）</w:t>
            </w:r>
          </w:p>
          <w:p w14:paraId="65EB3E94">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rPr>
              <w:t>规格：</w:t>
            </w:r>
            <w:r>
              <w:rPr>
                <w:rFonts w:hint="eastAsia" w:ascii="仿宋" w:hAnsi="仿宋" w:eastAsia="仿宋" w:cs="仿宋"/>
                <w:sz w:val="24"/>
                <w:szCs w:val="24"/>
                <w:lang w:val="en-US" w:eastAsia="zh-CN"/>
              </w:rPr>
              <w:t>6</w:t>
            </w:r>
            <w:r>
              <w:rPr>
                <w:rFonts w:hint="eastAsia" w:ascii="仿宋" w:hAnsi="仿宋" w:eastAsia="仿宋" w:cs="仿宋"/>
                <w:sz w:val="24"/>
                <w:szCs w:val="24"/>
              </w:rPr>
              <w:t>000mm*900mm*2080mm/2880mm</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实际尺寸按安装位置空间调整制作，确保大小合适</w:t>
            </w:r>
            <w:r>
              <w:rPr>
                <w:rFonts w:hint="eastAsia" w:ascii="仿宋" w:hAnsi="仿宋" w:eastAsia="仿宋" w:cs="仿宋"/>
                <w:sz w:val="24"/>
                <w:szCs w:val="24"/>
                <w:lang w:eastAsia="zh-CN"/>
              </w:rPr>
              <w:t>）</w:t>
            </w:r>
          </w:p>
          <w:p w14:paraId="5AAA3C66">
            <w:pPr>
              <w:keepNext w:val="0"/>
              <w:keepLines w:val="0"/>
              <w:pageBreakBefore w:val="0"/>
              <w:kinsoku/>
              <w:wordWrap/>
              <w:overflowPunct/>
              <w:topLinePunct w:val="0"/>
              <w:autoSpaceDE/>
              <w:autoSpaceDN/>
              <w:bidi w:val="0"/>
              <w:adjustRightInd/>
              <w:snapToGrid/>
              <w:spacing w:before="0" w:line="520" w:lineRule="exact"/>
              <w:ind w:firstLine="458" w:firstLineChars="200"/>
              <w:jc w:val="both"/>
              <w:textAlignment w:val="auto"/>
              <w:rPr>
                <w:rFonts w:hint="eastAsia" w:ascii="仿宋" w:hAnsi="仿宋" w:eastAsia="仿宋" w:cs="仿宋"/>
                <w:strike/>
                <w:dstrike w:val="0"/>
                <w:sz w:val="24"/>
                <w:szCs w:val="24"/>
                <w:highlight w:val="red"/>
                <w:lang w:val="en-US" w:eastAsia="zh-CN"/>
              </w:rPr>
            </w:pPr>
            <w:r>
              <w:rPr>
                <w:rFonts w:hint="eastAsia" w:ascii="仿宋" w:hAnsi="仿宋" w:eastAsia="仿宋" w:cs="仿宋"/>
                <w:b/>
                <w:bCs/>
                <w:spacing w:val="-6"/>
                <w:sz w:val="24"/>
                <w:szCs w:val="24"/>
              </w:rPr>
              <w:t>（一）床架</w:t>
            </w:r>
          </w:p>
          <w:p w14:paraId="4A5C602E">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trike/>
                <w:dstrike w:val="0"/>
                <w:sz w:val="24"/>
                <w:szCs w:val="24"/>
                <w:highlight w:val="none"/>
                <w:lang w:val="en-US" w:eastAsia="zh-CN"/>
              </w:rPr>
            </w:pPr>
            <w:r>
              <w:rPr>
                <w:rFonts w:hint="eastAsia" w:ascii="仿宋" w:hAnsi="仿宋" w:eastAsia="仿宋" w:cs="仿宋"/>
                <w:sz w:val="24"/>
                <w:szCs w:val="24"/>
                <w:lang w:val="en-US" w:eastAsia="zh-CN"/>
              </w:rPr>
              <w:t>▲学生防腐蚀公寓钢制床架：依据QB/T 3826-1999</w:t>
            </w:r>
            <w:r>
              <w:rPr>
                <w:rFonts w:hint="eastAsia" w:ascii="仿宋" w:hAnsi="仿宋" w:eastAsia="仿宋" w:cs="仿宋"/>
                <w:sz w:val="24"/>
                <w:szCs w:val="24"/>
                <w:highlight w:val="none"/>
                <w:lang w:val="en-US" w:eastAsia="zh-CN"/>
              </w:rPr>
              <w:t>，GB 18584-2024</w:t>
            </w:r>
            <w:r>
              <w:rPr>
                <w:rFonts w:hint="eastAsia" w:ascii="仿宋" w:hAnsi="仿宋" w:eastAsia="仿宋" w:cs="仿宋"/>
                <w:sz w:val="24"/>
                <w:szCs w:val="24"/>
                <w:lang w:val="en-US" w:eastAsia="zh-CN"/>
              </w:rPr>
              <w:t>检测标准</w:t>
            </w:r>
            <w:r>
              <w:rPr>
                <w:rFonts w:hint="eastAsia" w:ascii="仿宋" w:hAnsi="仿宋" w:eastAsia="仿宋" w:cs="仿宋"/>
                <w:sz w:val="24"/>
                <w:szCs w:val="24"/>
                <w:highlight w:val="none"/>
                <w:lang w:val="en-US" w:eastAsia="zh-CN"/>
              </w:rPr>
              <w:t>。中性盐雾试验连续喷雾≥200h；家具涂层可迁移元素：镉、铅、铬、汞、锑、钡、硒、砷，均未检出，苯未检出，甲苯未检出，二甲苯未检出，总挥发性有机化合物（TVOC）未检出。</w:t>
            </w:r>
          </w:p>
          <w:p w14:paraId="74D7BC74">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2" w:firstLineChars="200"/>
              <w:jc w:val="left"/>
              <w:textAlignment w:val="auto"/>
              <w:rPr>
                <w:rFonts w:hint="eastAsia" w:ascii="仿宋" w:hAnsi="仿宋" w:eastAsia="仿宋" w:cs="仿宋"/>
                <w:b/>
                <w:bCs/>
                <w:sz w:val="24"/>
                <w:szCs w:val="24"/>
                <w:lang w:eastAsia="zh-CN"/>
              </w:rPr>
            </w:pPr>
            <w:r>
              <w:rPr>
                <w:rFonts w:hint="eastAsia" w:ascii="仿宋" w:hAnsi="仿宋" w:eastAsia="仿宋" w:cs="仿宋"/>
                <w:b/>
                <w:bCs/>
                <w:sz w:val="24"/>
                <w:szCs w:val="24"/>
                <w:lang w:val="en-US" w:eastAsia="zh-CN"/>
              </w:rPr>
              <w:t>响应</w:t>
            </w:r>
            <w:r>
              <w:rPr>
                <w:rFonts w:hint="eastAsia" w:ascii="仿宋" w:hAnsi="仿宋" w:eastAsia="仿宋" w:cs="仿宋"/>
                <w:b/>
                <w:bCs/>
                <w:sz w:val="24"/>
                <w:szCs w:val="24"/>
                <w:lang w:eastAsia="zh-CN"/>
              </w:rPr>
              <w:t>文件中须提供</w:t>
            </w:r>
            <w:r>
              <w:rPr>
                <w:rFonts w:hint="eastAsia" w:ascii="仿宋" w:hAnsi="仿宋" w:eastAsia="仿宋" w:cs="仿宋"/>
                <w:b/>
                <w:bCs/>
                <w:strike w:val="0"/>
                <w:dstrike w:val="0"/>
                <w:sz w:val="24"/>
                <w:szCs w:val="24"/>
                <w:highlight w:val="none"/>
                <w:lang w:val="en-US" w:eastAsia="zh-CN"/>
              </w:rPr>
              <w:t>带有</w:t>
            </w:r>
            <w:r>
              <w:rPr>
                <w:rFonts w:hint="eastAsia" w:ascii="仿宋" w:hAnsi="仿宋" w:eastAsia="仿宋" w:cs="仿宋"/>
                <w:b/>
                <w:bCs/>
                <w:strike w:val="0"/>
                <w:dstrike w:val="0"/>
                <w:sz w:val="24"/>
                <w:szCs w:val="24"/>
                <w:highlight w:val="none"/>
              </w:rPr>
              <w:t>“CMA”标识</w:t>
            </w:r>
            <w:r>
              <w:rPr>
                <w:rFonts w:hint="eastAsia" w:ascii="仿宋" w:hAnsi="仿宋" w:eastAsia="仿宋" w:cs="仿宋"/>
                <w:b/>
                <w:bCs/>
                <w:strike w:val="0"/>
                <w:dstrike w:val="0"/>
                <w:sz w:val="24"/>
                <w:szCs w:val="24"/>
                <w:highlight w:val="none"/>
                <w:lang w:val="en-US" w:eastAsia="zh-CN"/>
              </w:rPr>
              <w:t>的</w:t>
            </w:r>
            <w:r>
              <w:rPr>
                <w:rFonts w:hint="eastAsia" w:ascii="仿宋" w:hAnsi="仿宋" w:eastAsia="仿宋" w:cs="仿宋"/>
                <w:b/>
                <w:bCs/>
                <w:sz w:val="24"/>
                <w:szCs w:val="24"/>
                <w:lang w:val="en-US" w:eastAsia="zh-CN"/>
              </w:rPr>
              <w:t>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6DA6C0EA">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left"/>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lang w:val="en-US" w:eastAsia="zh-CN"/>
              </w:rPr>
              <w:t>▲学生防腐蚀公寓钢制床架：依</w:t>
            </w:r>
            <w:r>
              <w:rPr>
                <w:rFonts w:hint="eastAsia" w:ascii="仿宋" w:hAnsi="仿宋" w:eastAsia="仿宋" w:cs="仿宋"/>
                <w:sz w:val="24"/>
                <w:szCs w:val="24"/>
                <w:highlight w:val="none"/>
                <w:lang w:val="en-US" w:eastAsia="zh-CN"/>
              </w:rPr>
              <w:t>据QB/T 3832-1999</w:t>
            </w:r>
            <w:r>
              <w:rPr>
                <w:rFonts w:hint="eastAsia" w:ascii="仿宋" w:hAnsi="仿宋" w:eastAsia="仿宋" w:cs="仿宋"/>
                <w:sz w:val="24"/>
                <w:szCs w:val="24"/>
                <w:lang w:val="en-US" w:eastAsia="zh-CN"/>
              </w:rPr>
              <w:t>检测标准</w:t>
            </w:r>
            <w:r>
              <w:rPr>
                <w:rFonts w:hint="eastAsia" w:ascii="仿宋" w:hAnsi="仿宋" w:eastAsia="仿宋" w:cs="仿宋"/>
                <w:sz w:val="24"/>
                <w:szCs w:val="24"/>
                <w:highlight w:val="none"/>
                <w:lang w:val="en-US" w:eastAsia="zh-CN"/>
              </w:rPr>
              <w:t>，镀（涂）层本身耐腐蚀等级≥9级，镀（涂）层对基体的保护等级≥9级。</w:t>
            </w:r>
          </w:p>
          <w:p w14:paraId="1549F556">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2" w:firstLineChars="200"/>
              <w:jc w:val="left"/>
              <w:textAlignment w:val="auto"/>
              <w:rPr>
                <w:rFonts w:hint="eastAsia" w:ascii="仿宋" w:hAnsi="仿宋" w:eastAsia="仿宋" w:cs="仿宋"/>
                <w:sz w:val="24"/>
                <w:szCs w:val="24"/>
                <w:highlight w:val="none"/>
                <w:lang w:val="en-US" w:eastAsia="zh-CN"/>
              </w:rPr>
            </w:pPr>
            <w:r>
              <w:rPr>
                <w:rFonts w:hint="eastAsia" w:ascii="仿宋" w:hAnsi="仿宋" w:eastAsia="仿宋" w:cs="仿宋"/>
                <w:b/>
                <w:bCs/>
                <w:sz w:val="24"/>
                <w:szCs w:val="24"/>
                <w:lang w:val="en-US" w:eastAsia="zh-CN"/>
              </w:rPr>
              <w:t>响应</w:t>
            </w:r>
            <w:r>
              <w:rPr>
                <w:rFonts w:hint="eastAsia" w:ascii="仿宋" w:hAnsi="仿宋" w:eastAsia="仿宋" w:cs="仿宋"/>
                <w:b/>
                <w:bCs/>
                <w:sz w:val="24"/>
                <w:szCs w:val="24"/>
                <w:lang w:eastAsia="zh-CN"/>
              </w:rPr>
              <w:t>文件中须提供</w:t>
            </w:r>
            <w:r>
              <w:rPr>
                <w:rFonts w:hint="eastAsia" w:ascii="仿宋" w:hAnsi="仿宋" w:eastAsia="仿宋" w:cs="仿宋"/>
                <w:b/>
                <w:bCs/>
                <w:sz w:val="24"/>
                <w:szCs w:val="24"/>
                <w:lang w:val="en-US" w:eastAsia="zh-CN"/>
              </w:rPr>
              <w:t>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5433EDAA">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rPr>
              <w:t>1.床边立柱：成型</w:t>
            </w:r>
            <w:r>
              <w:rPr>
                <w:rFonts w:hint="eastAsia" w:ascii="仿宋" w:hAnsi="仿宋" w:eastAsia="仿宋" w:cs="仿宋"/>
                <w:sz w:val="24"/>
                <w:szCs w:val="24"/>
                <w:highlight w:val="none"/>
              </w:rPr>
              <w:t>后立面尺寸为</w:t>
            </w:r>
            <w:r>
              <w:rPr>
                <w:rFonts w:hint="eastAsia" w:ascii="仿宋" w:hAnsi="仿宋" w:eastAsia="仿宋" w:cs="仿宋"/>
                <w:sz w:val="24"/>
                <w:szCs w:val="24"/>
                <w:highlight w:val="none"/>
                <w:lang w:val="en-US" w:eastAsia="zh-CN"/>
              </w:rPr>
              <w:t>≥</w:t>
            </w:r>
            <w:r>
              <w:rPr>
                <w:rFonts w:hint="eastAsia" w:ascii="仿宋" w:hAnsi="仿宋" w:eastAsia="仿宋" w:cs="仿宋"/>
                <w:strike w:val="0"/>
                <w:dstrike w:val="0"/>
                <w:sz w:val="24"/>
                <w:szCs w:val="24"/>
                <w:highlight w:val="none"/>
                <w:u w:val="none"/>
              </w:rPr>
              <w:t>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w:t>
            </w:r>
            <w:r>
              <w:rPr>
                <w:rFonts w:hint="eastAsia" w:ascii="仿宋" w:hAnsi="仿宋" w:eastAsia="仿宋" w:cs="仿宋"/>
                <w:sz w:val="24"/>
                <w:szCs w:val="24"/>
                <w:highlight w:val="none"/>
              </w:rPr>
              <w:t>。</w:t>
            </w:r>
            <w:r>
              <w:rPr>
                <w:rFonts w:hint="eastAsia" w:ascii="仿宋" w:hAnsi="仿宋" w:eastAsia="仿宋" w:cs="仿宋"/>
                <w:sz w:val="24"/>
                <w:szCs w:val="24"/>
                <w:highlight w:val="none"/>
                <w:lang w:eastAsia="zh-CN"/>
              </w:rPr>
              <w:t>整体呈“L”字形状闭合管</w:t>
            </w:r>
            <w:r>
              <w:rPr>
                <w:rFonts w:hint="eastAsia" w:ascii="仿宋" w:hAnsi="仿宋" w:eastAsia="仿宋" w:cs="仿宋"/>
                <w:sz w:val="24"/>
                <w:szCs w:val="24"/>
                <w:highlight w:val="none"/>
              </w:rPr>
              <w:t>，外侧直径</w:t>
            </w:r>
            <w:r>
              <w:rPr>
                <w:rFonts w:hint="eastAsia" w:ascii="仿宋" w:hAnsi="仿宋" w:eastAsia="仿宋" w:cs="仿宋"/>
                <w:sz w:val="24"/>
                <w:szCs w:val="24"/>
                <w:highlight w:val="none"/>
                <w:lang w:val="en-US" w:eastAsia="zh-CN"/>
              </w:rPr>
              <w:t>≥</w:t>
            </w:r>
            <w:r>
              <w:rPr>
                <w:rFonts w:hint="eastAsia" w:ascii="仿宋" w:hAnsi="仿宋" w:eastAsia="仿宋" w:cs="仿宋"/>
                <w:strike w:val="0"/>
                <w:dstrike w:val="0"/>
                <w:sz w:val="24"/>
                <w:szCs w:val="24"/>
                <w:highlight w:val="none"/>
                <w:u w:val="none"/>
              </w:rPr>
              <w:t>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w:t>
            </w:r>
            <w:r>
              <w:rPr>
                <w:rFonts w:hint="eastAsia" w:ascii="仿宋" w:hAnsi="仿宋" w:eastAsia="仿宋" w:cs="仿宋"/>
                <w:sz w:val="24"/>
                <w:szCs w:val="24"/>
                <w:highlight w:val="none"/>
              </w:rPr>
              <w:t>的完整半圆弧形。立柱整体具有≥</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条向内凹的加强筋，材料厚度为≥1.2mm。</w:t>
            </w:r>
          </w:p>
          <w:p w14:paraId="7793457C">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2.床后立柱：成型后尺寸为60mm*60mm的方管，壁厚≥1.2mm。</w:t>
            </w:r>
          </w:p>
          <w:p w14:paraId="2D398A77">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3.床长横梁：采用</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40mm×90mm的高频焊接封口P形闭合型材管，上方为阶梯式，方便放置床板，放置床铺板位置内凹规格为</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30*10mm），上方平面宽≥30mm；可以放置挂钩并在轨道内自由滑动（无需另外加装滑轨），方便学生悬挂布帘以及其他物品，每个床前厅带5个挂钩，材料厚度为≥1.2mm。</w:t>
            </w:r>
          </w:p>
          <w:p w14:paraId="4F8F0840">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val="en-US" w:eastAsia="zh-CN"/>
              </w:rPr>
              <w:t>4</w:t>
            </w:r>
            <w:r>
              <w:rPr>
                <w:rFonts w:hint="eastAsia" w:ascii="仿宋" w:hAnsi="仿宋" w:eastAsia="仿宋" w:cs="仿宋"/>
                <w:sz w:val="24"/>
                <w:szCs w:val="24"/>
                <w:highlight w:val="none"/>
              </w:rPr>
              <w:t>.中立柱：成型后立面尺寸为</w:t>
            </w:r>
            <w:r>
              <w:rPr>
                <w:rFonts w:hint="eastAsia" w:ascii="仿宋" w:hAnsi="仿宋" w:eastAsia="仿宋" w:cs="仿宋"/>
                <w:sz w:val="24"/>
                <w:szCs w:val="24"/>
                <w:highlight w:val="none"/>
                <w:lang w:val="en-US" w:eastAsia="zh-CN"/>
              </w:rPr>
              <w:t>≥</w:t>
            </w:r>
            <w:r>
              <w:rPr>
                <w:rFonts w:hint="eastAsia" w:ascii="仿宋" w:hAnsi="仿宋" w:eastAsia="仿宋" w:cs="仿宋"/>
                <w:strike w:val="0"/>
                <w:dstrike w:val="0"/>
                <w:sz w:val="24"/>
                <w:szCs w:val="24"/>
                <w:highlight w:val="none"/>
                <w:u w:val="none"/>
              </w:rPr>
              <w:t>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w:t>
            </w:r>
            <w:r>
              <w:rPr>
                <w:rFonts w:hint="eastAsia" w:ascii="仿宋" w:hAnsi="仿宋" w:eastAsia="仿宋" w:cs="仿宋"/>
                <w:sz w:val="24"/>
                <w:szCs w:val="24"/>
                <w:highlight w:val="none"/>
              </w:rPr>
              <w:t>。整体呈“凸”字形状，外侧为直径</w:t>
            </w:r>
            <w:r>
              <w:rPr>
                <w:rFonts w:hint="eastAsia" w:ascii="仿宋" w:hAnsi="仿宋" w:eastAsia="仿宋" w:cs="仿宋"/>
                <w:sz w:val="24"/>
                <w:szCs w:val="24"/>
                <w:highlight w:val="none"/>
                <w:lang w:val="en-US" w:eastAsia="zh-CN"/>
              </w:rPr>
              <w:t>≥</w:t>
            </w:r>
            <w:r>
              <w:rPr>
                <w:rFonts w:hint="eastAsia" w:ascii="仿宋" w:hAnsi="仿宋" w:eastAsia="仿宋" w:cs="仿宋"/>
                <w:strike w:val="0"/>
                <w:dstrike w:val="0"/>
                <w:sz w:val="24"/>
                <w:szCs w:val="24"/>
                <w:highlight w:val="none"/>
                <w:u w:val="none"/>
              </w:rPr>
              <w:t>7</w:t>
            </w:r>
            <w:r>
              <w:rPr>
                <w:rFonts w:hint="eastAsia" w:ascii="仿宋" w:hAnsi="仿宋" w:eastAsia="仿宋" w:cs="仿宋"/>
                <w:strike w:val="0"/>
                <w:dstrike w:val="0"/>
                <w:sz w:val="24"/>
                <w:szCs w:val="24"/>
                <w:highlight w:val="none"/>
                <w:u w:val="none"/>
                <w:lang w:val="en-US" w:eastAsia="zh-CN"/>
              </w:rPr>
              <w:t>8</w:t>
            </w:r>
            <w:r>
              <w:rPr>
                <w:rFonts w:hint="eastAsia" w:ascii="仿宋" w:hAnsi="仿宋" w:eastAsia="仿宋" w:cs="仿宋"/>
                <w:strike w:val="0"/>
                <w:dstrike w:val="0"/>
                <w:sz w:val="24"/>
                <w:szCs w:val="24"/>
                <w:highlight w:val="none"/>
                <w:u w:val="none"/>
              </w:rPr>
              <w:t>mm</w:t>
            </w:r>
            <w:r>
              <w:rPr>
                <w:rFonts w:hint="eastAsia" w:ascii="仿宋" w:hAnsi="仿宋" w:eastAsia="仿宋" w:cs="仿宋"/>
                <w:sz w:val="24"/>
                <w:szCs w:val="24"/>
                <w:highlight w:val="none"/>
              </w:rPr>
              <w:t>的完整半圆弧形</w:t>
            </w:r>
            <w:r>
              <w:rPr>
                <w:rFonts w:hint="eastAsia" w:ascii="仿宋" w:hAnsi="仿宋" w:eastAsia="仿宋" w:cs="仿宋"/>
                <w:sz w:val="24"/>
                <w:szCs w:val="24"/>
                <w:highlight w:val="none"/>
                <w:lang w:eastAsia="zh-CN"/>
              </w:rPr>
              <w:t>。</w:t>
            </w:r>
          </w:p>
          <w:p w14:paraId="2AC34691">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highlight w:val="none"/>
                <w:lang w:val="en-US" w:eastAsia="zh-CN"/>
              </w:rPr>
              <w:t>5</w:t>
            </w:r>
            <w:r>
              <w:rPr>
                <w:rFonts w:hint="eastAsia" w:ascii="仿宋" w:hAnsi="仿宋" w:eastAsia="仿宋" w:cs="仿宋"/>
                <w:sz w:val="24"/>
                <w:szCs w:val="24"/>
                <w:highlight w:val="none"/>
              </w:rPr>
              <w:t>.公寓床脚套采用ABS工程塑料制作</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与</w:t>
            </w:r>
            <w:r>
              <w:rPr>
                <w:rFonts w:hint="eastAsia" w:ascii="仿宋" w:hAnsi="仿宋" w:eastAsia="仿宋" w:cs="仿宋"/>
                <w:sz w:val="24"/>
                <w:szCs w:val="24"/>
              </w:rPr>
              <w:t>立柱完美贴合，</w:t>
            </w:r>
            <w:r>
              <w:rPr>
                <w:rFonts w:hint="eastAsia" w:ascii="仿宋" w:hAnsi="仿宋" w:eastAsia="仿宋" w:cs="仿宋"/>
                <w:sz w:val="24"/>
                <w:szCs w:val="24"/>
                <w:lang w:val="en-US" w:eastAsia="zh-CN"/>
              </w:rPr>
              <w:t>牢靠不脱落，</w:t>
            </w:r>
            <w:r>
              <w:rPr>
                <w:rFonts w:hint="eastAsia" w:ascii="仿宋" w:hAnsi="仿宋" w:eastAsia="仿宋" w:cs="仿宋"/>
                <w:sz w:val="24"/>
                <w:szCs w:val="24"/>
              </w:rPr>
              <w:t>外侧为完整半圆弧形，脚套厚度</w:t>
            </w:r>
            <w:r>
              <w:rPr>
                <w:rFonts w:hint="eastAsia" w:ascii="仿宋" w:hAnsi="仿宋" w:eastAsia="仿宋" w:cs="仿宋"/>
                <w:sz w:val="24"/>
                <w:szCs w:val="24"/>
                <w:lang w:val="en-US" w:eastAsia="zh-CN"/>
              </w:rPr>
              <w:t>≥</w:t>
            </w:r>
            <w:r>
              <w:rPr>
                <w:rFonts w:hint="eastAsia" w:ascii="仿宋" w:hAnsi="仿宋" w:eastAsia="仿宋" w:cs="仿宋"/>
                <w:sz w:val="24"/>
                <w:szCs w:val="24"/>
              </w:rPr>
              <w:t>2.</w:t>
            </w:r>
            <w:r>
              <w:rPr>
                <w:rFonts w:hint="eastAsia" w:ascii="仿宋" w:hAnsi="仿宋" w:eastAsia="仿宋" w:cs="仿宋"/>
                <w:sz w:val="24"/>
                <w:szCs w:val="24"/>
                <w:lang w:val="en-US" w:eastAsia="zh-CN"/>
              </w:rPr>
              <w:t>0</w:t>
            </w:r>
            <w:r>
              <w:rPr>
                <w:rFonts w:hint="eastAsia" w:ascii="仿宋" w:hAnsi="仿宋" w:eastAsia="仿宋" w:cs="仿宋"/>
                <w:sz w:val="24"/>
                <w:szCs w:val="24"/>
              </w:rPr>
              <w:t>mm，包裹高度</w:t>
            </w:r>
            <w:r>
              <w:rPr>
                <w:rFonts w:hint="eastAsia" w:ascii="仿宋" w:hAnsi="仿宋" w:eastAsia="仿宋" w:cs="仿宋"/>
                <w:sz w:val="24"/>
                <w:szCs w:val="24"/>
                <w:lang w:val="en-US" w:eastAsia="zh-CN"/>
              </w:rPr>
              <w:t>≥</w:t>
            </w:r>
            <w:r>
              <w:rPr>
                <w:rFonts w:hint="eastAsia" w:ascii="仿宋" w:hAnsi="仿宋" w:eastAsia="仿宋" w:cs="仿宋"/>
                <w:sz w:val="24"/>
                <w:szCs w:val="24"/>
              </w:rPr>
              <w:t>15mm。</w:t>
            </w:r>
            <w:r>
              <w:rPr>
                <w:rFonts w:hint="eastAsia" w:ascii="仿宋" w:hAnsi="仿宋" w:eastAsia="仿宋" w:cs="仿宋"/>
                <w:sz w:val="24"/>
                <w:szCs w:val="24"/>
                <w:lang w:val="en-US" w:eastAsia="zh-CN"/>
              </w:rPr>
              <w:t>不允许3D打印。</w:t>
            </w:r>
          </w:p>
          <w:p w14:paraId="08F643A7">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6.床下短横梁尺寸为</w:t>
            </w:r>
            <w:r>
              <w:rPr>
                <w:rFonts w:hint="eastAsia" w:ascii="仿宋" w:hAnsi="仿宋" w:eastAsia="仿宋" w:cs="仿宋"/>
                <w:sz w:val="24"/>
                <w:szCs w:val="24"/>
                <w:lang w:val="en-US" w:eastAsia="zh-CN"/>
              </w:rPr>
              <w:t>≥</w:t>
            </w:r>
            <w:r>
              <w:rPr>
                <w:rFonts w:hint="eastAsia" w:ascii="仿宋" w:hAnsi="仿宋" w:eastAsia="仿宋" w:cs="仿宋"/>
                <w:sz w:val="24"/>
                <w:szCs w:val="24"/>
              </w:rPr>
              <w:t>25mm×50mm冷轧方管，厚度≥1.2mm。后拉杆尺寸为20mm×40mm冷轧方管，厚度≥1.2mm。</w:t>
            </w:r>
          </w:p>
          <w:p w14:paraId="28CBED12">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7.前护栏：护栏整体采用钢木结构，外围采用≥25*25*1.2mm厚D型管折弯成型，下方焊接25*25*1.2mm厚方管制作，最下层镶嵌一块与柜体同色≥17mm厚度的三聚氰胺饰面实木生态板。</w:t>
            </w:r>
          </w:p>
          <w:p w14:paraId="59ED1E94">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8.侧护栏：护栏上层横档采用≥25mm*25mmD型管厚度≥1.2mm，下层横档采用25mm*25mm方管厚度≥1.2mm，竖管焊接25mm*25mm方管厚度≥1.2mm，最下层镶嵌一块与柜体同色≥17mm厚度的E</w:t>
            </w:r>
            <w:r>
              <w:rPr>
                <w:rFonts w:hint="eastAsia" w:ascii="仿宋" w:hAnsi="仿宋" w:eastAsia="仿宋" w:cs="仿宋"/>
                <w:sz w:val="24"/>
                <w:szCs w:val="24"/>
                <w:lang w:val="en-US" w:eastAsia="zh-CN"/>
              </w:rPr>
              <w:t>0</w:t>
            </w:r>
            <w:r>
              <w:rPr>
                <w:rFonts w:hint="eastAsia" w:ascii="仿宋" w:hAnsi="仿宋" w:eastAsia="仿宋" w:cs="仿宋"/>
                <w:sz w:val="24"/>
                <w:szCs w:val="24"/>
              </w:rPr>
              <w:t>级</w:t>
            </w:r>
            <w:r>
              <w:rPr>
                <w:rFonts w:hint="eastAsia" w:ascii="仿宋" w:hAnsi="仿宋" w:eastAsia="仿宋" w:cs="仿宋"/>
                <w:sz w:val="24"/>
                <w:szCs w:val="24"/>
                <w:lang w:eastAsia="zh-CN"/>
              </w:rPr>
              <w:t>三聚氰胺饰面实木生态板</w:t>
            </w:r>
            <w:r>
              <w:rPr>
                <w:rFonts w:hint="eastAsia" w:ascii="仿宋" w:hAnsi="仿宋" w:eastAsia="仿宋" w:cs="仿宋"/>
                <w:sz w:val="24"/>
                <w:szCs w:val="24"/>
              </w:rPr>
              <w:t>。</w:t>
            </w:r>
          </w:p>
          <w:p w14:paraId="4EF22BCC">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9.床板支撑：采用成型后尺寸≥30*20mm方管，厚度≥1.0mm，每个床位不低于5根，床板支撑与横梁之间加装静音塑料件，减少噪音。</w:t>
            </w:r>
          </w:p>
          <w:p w14:paraId="349E7676">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10.卡式连接件：采用下挂式连接（无螺栓），冷轧钢板一次性冲压成型，“L”型卡式连接，经数控冲床加工4个连接孔，通过与挂片无缝式下压连接，实现使用后越用越紧的状态。材质厚度为≥1.8mm。为</w:t>
            </w:r>
            <w:r>
              <w:rPr>
                <w:rFonts w:hint="eastAsia" w:ascii="仿宋" w:hAnsi="仿宋" w:eastAsia="仿宋" w:cs="仿宋"/>
                <w:sz w:val="24"/>
                <w:szCs w:val="24"/>
                <w:lang w:val="en-US" w:eastAsia="zh-CN"/>
              </w:rPr>
              <w:t>避免</w:t>
            </w:r>
            <w:r>
              <w:rPr>
                <w:rFonts w:hint="eastAsia" w:ascii="仿宋" w:hAnsi="仿宋" w:eastAsia="仿宋" w:cs="仿宋"/>
                <w:sz w:val="24"/>
                <w:szCs w:val="24"/>
              </w:rPr>
              <w:t>连接件划伤学生，床前横梁与前立柱必须为内挂连接，正视看不到连接件。</w:t>
            </w:r>
          </w:p>
          <w:p w14:paraId="402D2A75">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11.楼梯：立柱采用</w:t>
            </w:r>
            <w:r>
              <w:rPr>
                <w:rFonts w:hint="eastAsia" w:ascii="仿宋" w:hAnsi="仿宋" w:eastAsia="仿宋" w:cs="仿宋"/>
                <w:sz w:val="24"/>
                <w:szCs w:val="24"/>
                <w:lang w:val="en-US" w:eastAsia="zh-CN"/>
              </w:rPr>
              <w:t>≥</w:t>
            </w:r>
            <w:r>
              <w:rPr>
                <w:rFonts w:hint="eastAsia" w:ascii="仿宋" w:hAnsi="仿宋" w:eastAsia="仿宋" w:cs="仿宋"/>
                <w:sz w:val="24"/>
                <w:szCs w:val="24"/>
              </w:rPr>
              <w:t>25*50*1.2mm椭圆管，中间焊接5根≥20*40*1.2mm方管，方管上方安装防滑踏板，防滑踏板规格：420mm(±</w:t>
            </w:r>
            <w:r>
              <w:rPr>
                <w:rFonts w:hint="eastAsia" w:ascii="仿宋" w:hAnsi="仿宋" w:eastAsia="仿宋" w:cs="仿宋"/>
                <w:sz w:val="24"/>
                <w:szCs w:val="24"/>
                <w:lang w:val="en-US" w:eastAsia="zh-CN"/>
              </w:rPr>
              <w:t>10</w:t>
            </w:r>
            <w:r>
              <w:rPr>
                <w:rFonts w:hint="eastAsia" w:ascii="仿宋" w:hAnsi="仿宋" w:eastAsia="仿宋" w:cs="仿宋"/>
                <w:sz w:val="24"/>
                <w:szCs w:val="24"/>
              </w:rPr>
              <w:t>mm）*140mm (±</w:t>
            </w:r>
            <w:r>
              <w:rPr>
                <w:rFonts w:hint="eastAsia" w:ascii="仿宋" w:hAnsi="仿宋" w:eastAsia="仿宋" w:cs="仿宋"/>
                <w:sz w:val="24"/>
                <w:szCs w:val="24"/>
                <w:lang w:val="en-US" w:eastAsia="zh-CN"/>
              </w:rPr>
              <w:t>10</w:t>
            </w:r>
            <w:r>
              <w:rPr>
                <w:rFonts w:hint="eastAsia" w:ascii="仿宋" w:hAnsi="仿宋" w:eastAsia="仿宋" w:cs="仿宋"/>
                <w:sz w:val="24"/>
                <w:szCs w:val="24"/>
              </w:rPr>
              <w:t>mm）*35mm，；踏板前沿需为圆弧形防止撞伤，踏板表面需有防滑纹，并安装有5个夜光片，踏板表面带有不少于</w:t>
            </w:r>
            <w:r>
              <w:rPr>
                <w:rFonts w:hint="eastAsia" w:ascii="仿宋" w:hAnsi="仿宋" w:eastAsia="仿宋" w:cs="仿宋"/>
                <w:sz w:val="24"/>
                <w:szCs w:val="24"/>
                <w:lang w:val="en-US" w:eastAsia="zh-CN"/>
              </w:rPr>
              <w:t>6</w:t>
            </w:r>
            <w:r>
              <w:rPr>
                <w:rFonts w:hint="eastAsia" w:ascii="仿宋" w:hAnsi="仿宋" w:eastAsia="仿宋" w:cs="仿宋"/>
                <w:sz w:val="24"/>
                <w:szCs w:val="24"/>
              </w:rPr>
              <w:t>条凸起的加强筋，增加踏板的强度同时起到防滑作用。</w:t>
            </w:r>
          </w:p>
          <w:p w14:paraId="39B86CA2">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rPr>
              <w:t>12.蚊帐架:采用≥直径16mm*1.0mm厚圆管折弯制作。</w:t>
            </w:r>
            <w:r>
              <w:rPr>
                <w:rFonts w:hint="eastAsia" w:ascii="仿宋" w:hAnsi="仿宋" w:eastAsia="仿宋" w:cs="仿宋"/>
                <w:sz w:val="24"/>
                <w:szCs w:val="24"/>
                <w:lang w:val="en-US" w:eastAsia="zh-CN"/>
              </w:rPr>
              <w:t>采用旋钮式可调节固定基座。</w:t>
            </w:r>
          </w:p>
          <w:p w14:paraId="3EBE2829">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13.床板：采用15mm厚的全干杉木板制作拼接而成，床板须满铺不留缝隙，尺寸根据实际公寓床内空制作。经干燥防腐、防蛀处理，无闪边，双面刨光。横档用25×35mm实木木方三面刨光，数量不少于三根铁钉钉制而成，木材干燥、无大结疤、无穿心死结，无朽木。</w:t>
            </w:r>
          </w:p>
          <w:p w14:paraId="00376402">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14.公寓床钢架表面经除油，去锈，磷化静电喷粉高温固化而成，环氧树脂静电粉末喷塑，防锈，耐磨，防腐蚀，床架油漆涂面平整、光滑、无颗粒、气泡、渣点。</w:t>
            </w:r>
          </w:p>
          <w:p w14:paraId="3C209EFF">
            <w:pPr>
              <w:keepNext w:val="0"/>
              <w:keepLines w:val="0"/>
              <w:pageBreakBefore w:val="0"/>
              <w:kinsoku/>
              <w:wordWrap/>
              <w:overflowPunct/>
              <w:topLinePunct w:val="0"/>
              <w:autoSpaceDE/>
              <w:autoSpaceDN/>
              <w:bidi w:val="0"/>
              <w:adjustRightInd/>
              <w:snapToGrid/>
              <w:spacing w:before="28" w:line="520" w:lineRule="exact"/>
              <w:ind w:firstLine="229" w:firstLineChars="100"/>
              <w:textAlignment w:val="auto"/>
              <w:rPr>
                <w:rFonts w:hint="eastAsia" w:ascii="仿宋" w:hAnsi="仿宋" w:eastAsia="仿宋" w:cs="仿宋"/>
                <w:b/>
                <w:bCs/>
                <w:spacing w:val="-6"/>
                <w:sz w:val="24"/>
                <w:szCs w:val="24"/>
              </w:rPr>
            </w:pPr>
            <w:r>
              <w:rPr>
                <w:rFonts w:hint="eastAsia" w:ascii="仿宋" w:hAnsi="仿宋" w:eastAsia="仿宋" w:cs="仿宋"/>
                <w:b/>
                <w:bCs/>
                <w:spacing w:val="-6"/>
                <w:sz w:val="24"/>
                <w:szCs w:val="24"/>
              </w:rPr>
              <w:t>（二）组合柜</w:t>
            </w:r>
          </w:p>
          <w:p w14:paraId="296BC739">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highlight w:val="none"/>
                <w:lang w:val="en-US"/>
              </w:rPr>
            </w:pPr>
            <w:r>
              <w:rPr>
                <w:rFonts w:hint="eastAsia" w:ascii="仿宋" w:hAnsi="仿宋" w:eastAsia="仿宋" w:cs="仿宋"/>
                <w:sz w:val="24"/>
                <w:szCs w:val="24"/>
                <w:lang w:val="en-US" w:eastAsia="zh-CN"/>
              </w:rPr>
              <w:t>▲学生公寓板式组合柜。依据GB 18580-2025，GB/T 39600-2021，GB 18584-2024</w:t>
            </w:r>
            <w:r>
              <w:rPr>
                <w:rFonts w:hint="eastAsia" w:ascii="仿宋" w:hAnsi="仿宋" w:eastAsia="仿宋" w:cs="仿宋"/>
                <w:sz w:val="24"/>
                <w:szCs w:val="24"/>
                <w:highlight w:val="none"/>
                <w:lang w:val="en-US" w:eastAsia="zh-CN"/>
              </w:rPr>
              <w:t>，</w:t>
            </w:r>
            <w:r>
              <w:rPr>
                <w:rFonts w:hint="eastAsia" w:ascii="仿宋" w:hAnsi="仿宋" w:eastAsia="仿宋" w:cs="仿宋"/>
                <w:strike w:val="0"/>
                <w:dstrike w:val="0"/>
                <w:sz w:val="24"/>
                <w:szCs w:val="24"/>
                <w:highlight w:val="none"/>
                <w:lang w:val="en-US" w:eastAsia="zh-CN"/>
              </w:rPr>
              <w:t>QB/T 4371-2012检</w:t>
            </w:r>
            <w:r>
              <w:rPr>
                <w:rFonts w:hint="eastAsia" w:ascii="仿宋" w:hAnsi="仿宋" w:eastAsia="仿宋" w:cs="仿宋"/>
                <w:sz w:val="24"/>
                <w:szCs w:val="24"/>
                <w:lang w:val="en-US" w:eastAsia="zh-CN"/>
              </w:rPr>
              <w:t>测标准：</w:t>
            </w:r>
            <w:r>
              <w:rPr>
                <w:rFonts w:hint="eastAsia" w:ascii="仿宋" w:hAnsi="仿宋" w:eastAsia="仿宋" w:cs="仿宋"/>
                <w:sz w:val="24"/>
                <w:szCs w:val="24"/>
                <w:highlight w:val="none"/>
              </w:rPr>
              <w:t>甲醛释放量：达到E0级标准，甲醛释放量≤0.050mg/m³；挥发性有机物：苯、甲苯、二甲苯均未检出，总挥发性有机化合物（TVOC）未检出；</w:t>
            </w:r>
            <w:r>
              <w:rPr>
                <w:rFonts w:hint="eastAsia" w:ascii="仿宋" w:hAnsi="仿宋" w:eastAsia="仿宋" w:cs="仿宋"/>
                <w:strike w:val="0"/>
                <w:dstrike w:val="0"/>
                <w:sz w:val="24"/>
                <w:szCs w:val="24"/>
                <w:highlight w:val="none"/>
              </w:rPr>
              <w:t>耐霉菌性：对8种及以上常见菌类抑菌率均≥99%</w:t>
            </w:r>
            <w:r>
              <w:rPr>
                <w:rFonts w:hint="eastAsia" w:ascii="仿宋" w:hAnsi="仿宋" w:eastAsia="仿宋" w:cs="仿宋"/>
                <w:strike w:val="0"/>
                <w:dstrike w:val="0"/>
                <w:sz w:val="24"/>
                <w:szCs w:val="24"/>
                <w:highlight w:val="none"/>
                <w:lang w:eastAsia="zh-CN"/>
              </w:rPr>
              <w:t>。</w:t>
            </w:r>
          </w:p>
          <w:p w14:paraId="69DB1626">
            <w:pPr>
              <w:keepNext w:val="0"/>
              <w:keepLines w:val="0"/>
              <w:pageBreakBefore w:val="0"/>
              <w:widowControl w:val="0"/>
              <w:numPr>
                <w:ilvl w:val="0"/>
                <w:numId w:val="0"/>
              </w:numPr>
              <w:kinsoku/>
              <w:wordWrap/>
              <w:overflowPunct/>
              <w:topLinePunct w:val="0"/>
              <w:autoSpaceDE/>
              <w:autoSpaceDN/>
              <w:bidi w:val="0"/>
              <w:adjustRightInd/>
              <w:snapToGrid/>
              <w:spacing w:line="520" w:lineRule="atLeast"/>
              <w:ind w:firstLine="482"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b/>
                <w:bCs/>
                <w:sz w:val="24"/>
                <w:szCs w:val="24"/>
                <w:lang w:val="en-US" w:eastAsia="zh-CN"/>
              </w:rPr>
              <w:t>投</w:t>
            </w:r>
            <w:r>
              <w:rPr>
                <w:rFonts w:hint="eastAsia" w:ascii="仿宋" w:hAnsi="仿宋" w:eastAsia="仿宋" w:cs="仿宋"/>
                <w:b/>
                <w:bCs/>
                <w:sz w:val="24"/>
                <w:szCs w:val="24"/>
                <w:lang w:eastAsia="zh-CN"/>
              </w:rPr>
              <w:t>标文件中须提供</w:t>
            </w:r>
            <w:r>
              <w:rPr>
                <w:rFonts w:hint="eastAsia" w:ascii="仿宋" w:hAnsi="仿宋" w:eastAsia="仿宋" w:cs="仿宋"/>
                <w:b/>
                <w:bCs/>
                <w:sz w:val="24"/>
                <w:szCs w:val="24"/>
                <w:lang w:val="en-US" w:eastAsia="zh-CN"/>
              </w:rPr>
              <w:t>带有</w:t>
            </w:r>
            <w:r>
              <w:rPr>
                <w:rFonts w:hint="eastAsia" w:ascii="仿宋" w:hAnsi="仿宋" w:eastAsia="仿宋" w:cs="仿宋"/>
                <w:b/>
                <w:bCs/>
                <w:sz w:val="24"/>
                <w:szCs w:val="24"/>
              </w:rPr>
              <w:t>“CMA”标识</w:t>
            </w:r>
            <w:r>
              <w:rPr>
                <w:rFonts w:hint="eastAsia" w:ascii="仿宋" w:hAnsi="仿宋" w:eastAsia="仿宋" w:cs="仿宋"/>
                <w:b/>
                <w:bCs/>
                <w:sz w:val="24"/>
                <w:szCs w:val="24"/>
                <w:lang w:val="en-US" w:eastAsia="zh-CN"/>
              </w:rPr>
              <w:t>的第三方检测报告原色</w:t>
            </w:r>
            <w:r>
              <w:rPr>
                <w:rFonts w:hint="eastAsia" w:ascii="仿宋" w:hAnsi="仿宋" w:eastAsia="仿宋" w:cs="仿宋"/>
                <w:b/>
                <w:bCs/>
                <w:sz w:val="24"/>
                <w:szCs w:val="24"/>
              </w:rPr>
              <w:t>扫描件，</w:t>
            </w:r>
            <w:r>
              <w:rPr>
                <w:rFonts w:hint="eastAsia" w:ascii="仿宋" w:hAnsi="仿宋" w:eastAsia="仿宋" w:cs="仿宋"/>
                <w:b/>
                <w:bCs/>
                <w:sz w:val="24"/>
                <w:szCs w:val="24"/>
                <w:highlight w:val="none"/>
              </w:rPr>
              <w:t>签订合同时提供检测报告原件核对</w:t>
            </w:r>
            <w:r>
              <w:rPr>
                <w:rFonts w:hint="eastAsia" w:ascii="仿宋" w:hAnsi="仿宋" w:eastAsia="仿宋" w:cs="仿宋"/>
                <w:b/>
                <w:bCs/>
                <w:sz w:val="24"/>
                <w:szCs w:val="24"/>
                <w:lang w:eastAsia="zh-CN"/>
              </w:rPr>
              <w:t>。</w:t>
            </w:r>
          </w:p>
          <w:p w14:paraId="51339E37">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rPr>
              <w:t>1.组合柜整体规格：长度为1830mm高度为1680mm深度600mm（长度可根据床下内空空间制作），基材为≥17mm厚度的三聚氰胺饰面</w:t>
            </w:r>
            <w:r>
              <w:rPr>
                <w:rFonts w:hint="eastAsia" w:ascii="仿宋" w:hAnsi="仿宋" w:eastAsia="仿宋" w:cs="仿宋"/>
                <w:sz w:val="24"/>
                <w:szCs w:val="24"/>
                <w:lang w:val="en-US" w:eastAsia="zh-CN"/>
              </w:rPr>
              <w:t>E0级</w:t>
            </w:r>
            <w:r>
              <w:rPr>
                <w:rFonts w:hint="eastAsia" w:ascii="仿宋" w:hAnsi="仿宋" w:eastAsia="仿宋" w:cs="仿宋"/>
                <w:sz w:val="24"/>
                <w:szCs w:val="24"/>
              </w:rPr>
              <w:t>实木生态板，桌面板采用</w:t>
            </w:r>
            <w:r>
              <w:rPr>
                <w:rFonts w:hint="eastAsia" w:ascii="仿宋" w:hAnsi="仿宋" w:eastAsia="仿宋" w:cs="仿宋"/>
                <w:sz w:val="24"/>
                <w:szCs w:val="24"/>
                <w:lang w:val="en-US" w:eastAsia="zh-CN"/>
              </w:rPr>
              <w:t>E0级</w:t>
            </w:r>
            <w:r>
              <w:rPr>
                <w:rFonts w:hint="eastAsia" w:ascii="仿宋" w:hAnsi="仿宋" w:eastAsia="仿宋" w:cs="仿宋"/>
                <w:sz w:val="24"/>
                <w:szCs w:val="24"/>
              </w:rPr>
              <w:t>三聚氰胺饰面实木生态板25mm厚制作。背板为≥4.5mm同色</w:t>
            </w:r>
            <w:r>
              <w:rPr>
                <w:rFonts w:hint="eastAsia" w:ascii="仿宋" w:hAnsi="仿宋" w:eastAsia="仿宋" w:cs="仿宋"/>
                <w:sz w:val="24"/>
                <w:szCs w:val="24"/>
                <w:lang w:eastAsia="zh-CN"/>
              </w:rPr>
              <w:t>E0</w:t>
            </w:r>
            <w:r>
              <w:rPr>
                <w:rFonts w:hint="eastAsia" w:ascii="仿宋" w:hAnsi="仿宋" w:eastAsia="仿宋" w:cs="仿宋"/>
                <w:sz w:val="24"/>
                <w:szCs w:val="24"/>
              </w:rPr>
              <w:t>级双饰面环保多层板。应符合环保要求</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书架下部采用加强横梁板支撑。</w:t>
            </w:r>
          </w:p>
          <w:p w14:paraId="3BD0C2AB">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2.板材经烘干、杀菌、杀虫处理，保证材料不会变形生虫，不带有毒气体，达到国家标准；</w:t>
            </w:r>
          </w:p>
          <w:p w14:paraId="549989AB">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3.封边：采用国产防潮pvc封边条,与柜板面同色,1.2mm厚，热熔胶封边而成(板露边处),做到平整、不炝边、受热受冻不会脱胶开裂；</w:t>
            </w:r>
          </w:p>
          <w:p w14:paraId="629F15FD">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jc w:val="both"/>
              <w:textAlignment w:val="auto"/>
              <w:rPr>
                <w:rFonts w:hint="eastAsia" w:ascii="仿宋" w:hAnsi="仿宋" w:eastAsia="仿宋" w:cs="仿宋"/>
                <w:sz w:val="24"/>
                <w:szCs w:val="24"/>
              </w:rPr>
            </w:pPr>
            <w:r>
              <w:rPr>
                <w:rFonts w:hint="eastAsia" w:ascii="仿宋" w:hAnsi="仿宋" w:eastAsia="仿宋" w:cs="仿宋"/>
                <w:sz w:val="24"/>
                <w:szCs w:val="24"/>
              </w:rPr>
              <w:t>4.配件部分：柜体采用二合一扣件或三合一扣件链接，衣柜开门采用与柜门同长的整根长排合页</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柜门处增加磁吸闭门器；</w:t>
            </w:r>
            <w:r>
              <w:rPr>
                <w:rFonts w:hint="eastAsia" w:ascii="仿宋" w:hAnsi="仿宋" w:eastAsia="仿宋" w:cs="仿宋"/>
                <w:sz w:val="24"/>
                <w:szCs w:val="24"/>
              </w:rPr>
              <w:t>桌面下储物柜柜门采用铰链；抽屉采用三节导轨，所有门与抽屉需采用拉手</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挂锁件</w:t>
            </w:r>
            <w:r>
              <w:rPr>
                <w:rFonts w:hint="eastAsia" w:ascii="仿宋" w:hAnsi="仿宋" w:eastAsia="仿宋" w:cs="仿宋"/>
                <w:sz w:val="24"/>
                <w:szCs w:val="24"/>
              </w:rPr>
              <w:t>。</w:t>
            </w:r>
          </w:p>
          <w:p w14:paraId="7A437B14">
            <w:pPr>
              <w:keepNext w:val="0"/>
              <w:keepLines w:val="0"/>
              <w:pageBreakBefore w:val="0"/>
              <w:kinsoku/>
              <w:wordWrap/>
              <w:overflowPunct/>
              <w:topLinePunct w:val="0"/>
              <w:autoSpaceDE/>
              <w:autoSpaceDN/>
              <w:bidi w:val="0"/>
              <w:adjustRightInd/>
              <w:snapToGrid/>
              <w:spacing w:line="520" w:lineRule="exact"/>
              <w:ind w:firstLine="233" w:firstLineChars="100"/>
              <w:textAlignment w:val="auto"/>
              <w:rPr>
                <w:rFonts w:hint="eastAsia" w:ascii="仿宋" w:hAnsi="仿宋" w:eastAsia="仿宋" w:cs="仿宋"/>
                <w:b/>
                <w:bCs/>
                <w:spacing w:val="-4"/>
                <w:sz w:val="24"/>
                <w:szCs w:val="24"/>
                <w:lang w:val="en-US" w:eastAsia="zh-CN"/>
              </w:rPr>
            </w:pPr>
            <w:r>
              <w:rPr>
                <w:rFonts w:hint="eastAsia" w:ascii="仿宋" w:hAnsi="仿宋" w:eastAsia="仿宋" w:cs="仿宋"/>
                <w:b/>
                <w:bCs/>
                <w:spacing w:val="-4"/>
                <w:sz w:val="24"/>
                <w:szCs w:val="24"/>
              </w:rPr>
              <w:t>（三）</w:t>
            </w:r>
            <w:r>
              <w:rPr>
                <w:rFonts w:hint="eastAsia" w:ascii="仿宋" w:hAnsi="仿宋" w:eastAsia="仿宋" w:cs="仿宋"/>
                <w:b/>
                <w:bCs/>
                <w:spacing w:val="-4"/>
                <w:sz w:val="24"/>
                <w:szCs w:val="24"/>
                <w:lang w:val="en-US" w:eastAsia="zh-CN"/>
              </w:rPr>
              <w:t>公寓椅规格要求同“两连三位公寓床”配置公寓椅一致。</w:t>
            </w:r>
          </w:p>
          <w:p w14:paraId="5C1E2F6B">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33" w:firstLineChars="100"/>
              <w:jc w:val="left"/>
              <w:textAlignment w:val="auto"/>
              <w:rPr>
                <w:rFonts w:hint="default" w:ascii="仿宋" w:hAnsi="仿宋" w:eastAsia="仿宋" w:cs="仿宋"/>
                <w:b/>
                <w:bCs/>
                <w:spacing w:val="-4"/>
                <w:sz w:val="24"/>
                <w:szCs w:val="24"/>
                <w:lang w:val="en-US" w:eastAsia="zh-CN"/>
              </w:rPr>
            </w:pPr>
            <w:r>
              <w:rPr>
                <w:rFonts w:hint="eastAsia" w:ascii="仿宋" w:hAnsi="仿宋" w:eastAsia="仿宋" w:cs="仿宋"/>
                <w:b/>
                <w:bCs/>
                <w:spacing w:val="-4"/>
                <w:sz w:val="24"/>
                <w:szCs w:val="24"/>
                <w:lang w:val="en-US" w:eastAsia="zh-CN"/>
              </w:rPr>
              <w:t>公寓椅</w:t>
            </w:r>
            <w:r>
              <w:rPr>
                <w:rFonts w:hint="eastAsia" w:ascii="仿宋" w:hAnsi="仿宋" w:eastAsia="仿宋" w:cs="仿宋"/>
                <w:b/>
                <w:bCs/>
                <w:sz w:val="24"/>
                <w:szCs w:val="24"/>
                <w:lang w:val="en-US" w:eastAsia="zh-CN"/>
              </w:rPr>
              <w:t>参考样式如下图所示：</w:t>
            </w:r>
          </w:p>
          <w:p w14:paraId="660BC425">
            <w:pPr>
              <w:keepNext w:val="0"/>
              <w:keepLines w:val="0"/>
              <w:pageBreakBefore w:val="0"/>
              <w:widowControl w:val="0"/>
              <w:kinsoku/>
              <w:wordWrap/>
              <w:overflowPunct/>
              <w:topLinePunct w:val="0"/>
              <w:autoSpaceDE/>
              <w:autoSpaceDN/>
              <w:bidi w:val="0"/>
              <w:adjustRightInd/>
              <w:snapToGrid/>
              <w:spacing w:before="79" w:beforeLines="25" w:after="79" w:afterLines="25" w:line="240" w:lineRule="auto"/>
              <w:jc w:val="center"/>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drawing>
                <wp:inline distT="0" distB="0" distL="114300" distR="114300">
                  <wp:extent cx="4225925" cy="2536190"/>
                  <wp:effectExtent l="0" t="0" r="3175" b="16510"/>
                  <wp:docPr id="1" name="图片 1" descr="3f3dbf07b170517aa2d36afd6b592db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3f3dbf07b170517aa2d36afd6b592db3"/>
                          <pic:cNvPicPr>
                            <a:picLocks noChangeAspect="1"/>
                          </pic:cNvPicPr>
                        </pic:nvPicPr>
                        <pic:blipFill>
                          <a:blip r:embed="rId7"/>
                          <a:stretch>
                            <a:fillRect/>
                          </a:stretch>
                        </pic:blipFill>
                        <pic:spPr>
                          <a:xfrm>
                            <a:off x="0" y="0"/>
                            <a:ext cx="4225925" cy="2536190"/>
                          </a:xfrm>
                          <a:prstGeom prst="rect">
                            <a:avLst/>
                          </a:prstGeom>
                        </pic:spPr>
                      </pic:pic>
                    </a:graphicData>
                  </a:graphic>
                </wp:inline>
              </w:drawing>
            </w:r>
          </w:p>
        </w:tc>
        <w:tc>
          <w:tcPr>
            <w:tcW w:w="367" w:type="pct"/>
            <w:noWrap/>
            <w:vAlign w:val="center"/>
          </w:tcPr>
          <w:p w14:paraId="1FA076C4">
            <w:pPr>
              <w:pageBreakBefore w:val="0"/>
              <w:widowControl/>
              <w:wordWrap/>
              <w:overflowPunct/>
              <w:topLinePunct w:val="0"/>
              <w:autoSpaceDE w:val="0"/>
              <w:autoSpaceDN w:val="0"/>
              <w:bidi w:val="0"/>
              <w:adjustRightInd w:val="0"/>
              <w:snapToGrid w:val="0"/>
              <w:spacing w:line="240" w:lineRule="auto"/>
              <w:jc w:val="center"/>
              <w:rPr>
                <w:rFonts w:hint="eastAsia" w:ascii="仿宋" w:hAnsi="仿宋" w:eastAsia="仿宋" w:cs="仿宋"/>
                <w:sz w:val="24"/>
                <w:szCs w:val="24"/>
                <w:highlight w:val="none"/>
                <w:lang w:val="en-US" w:eastAsia="zh-CN"/>
              </w:rPr>
            </w:pPr>
            <w:r>
              <w:rPr>
                <w:rFonts w:hint="eastAsia" w:ascii="仿宋" w:hAnsi="仿宋" w:eastAsia="仿宋" w:cs="仿宋"/>
                <w:sz w:val="24"/>
                <w:szCs w:val="24"/>
                <w:lang w:val="en-US" w:eastAsia="zh-CN"/>
              </w:rPr>
              <w:t>套</w:t>
            </w:r>
          </w:p>
        </w:tc>
        <w:tc>
          <w:tcPr>
            <w:tcW w:w="375" w:type="pct"/>
            <w:noWrap/>
            <w:vAlign w:val="center"/>
          </w:tcPr>
          <w:p w14:paraId="344E5842">
            <w:pPr>
              <w:pageBreakBefore w:val="0"/>
              <w:widowControl/>
              <w:wordWrap/>
              <w:overflowPunct/>
              <w:topLinePunct w:val="0"/>
              <w:autoSpaceDE w:val="0"/>
              <w:autoSpaceDN w:val="0"/>
              <w:bidi w:val="0"/>
              <w:adjustRightInd w:val="0"/>
              <w:snapToGrid w:val="0"/>
              <w:spacing w:line="240" w:lineRule="auto"/>
              <w:jc w:val="center"/>
              <w:rPr>
                <w:rFonts w:hint="default" w:ascii="宋体" w:hAnsi="宋体" w:eastAsia="宋体" w:cs="宋体"/>
                <w:color w:val="000000"/>
                <w:kern w:val="0"/>
                <w:sz w:val="24"/>
                <w:szCs w:val="24"/>
                <w:lang w:val="en-US" w:eastAsia="zh-CN"/>
              </w:rPr>
            </w:pPr>
            <w:r>
              <w:rPr>
                <w:rFonts w:hint="eastAsia" w:ascii="仿宋" w:hAnsi="仿宋" w:eastAsia="仿宋" w:cs="仿宋"/>
                <w:sz w:val="24"/>
                <w:szCs w:val="24"/>
                <w:lang w:val="en-US" w:eastAsia="zh-CN"/>
              </w:rPr>
              <w:t>434（宜春校区）</w:t>
            </w:r>
          </w:p>
        </w:tc>
      </w:tr>
    </w:tbl>
    <w:p w14:paraId="78C88BE0">
      <w:pPr>
        <w:widowControl w:val="0"/>
        <w:numPr>
          <w:ilvl w:val="0"/>
          <w:numId w:val="0"/>
        </w:numPr>
        <w:spacing w:line="360" w:lineRule="auto"/>
        <w:jc w:val="both"/>
        <w:rPr>
          <w:rFonts w:hint="eastAsia" w:ascii="仿宋" w:hAnsi="仿宋" w:eastAsia="仿宋" w:cs="仿宋"/>
          <w:b/>
          <w:bCs/>
          <w:color w:val="000000"/>
          <w:sz w:val="24"/>
          <w:szCs w:val="24"/>
          <w:highlight w:val="none"/>
          <w:lang w:val="en-US" w:eastAsia="zh-CN"/>
        </w:rPr>
      </w:pPr>
      <w:r>
        <w:rPr>
          <w:rFonts w:hint="eastAsia" w:ascii="仿宋" w:hAnsi="仿宋" w:eastAsia="仿宋" w:cs="仿宋"/>
          <w:b/>
          <w:bCs/>
          <w:sz w:val="24"/>
          <w:szCs w:val="24"/>
          <w:highlight w:val="none"/>
          <w:lang w:val="en-US" w:eastAsia="zh-CN"/>
        </w:rPr>
        <w:t>备注：（1）以上参数涉及到尺寸的，无论是否列明偏差范围，供应商响应参数偏差范围均须符合现行国家或行业相关标准的要求,且材料厚度只允许正偏离。</w:t>
      </w:r>
    </w:p>
    <w:p w14:paraId="2D204476">
      <w:pPr>
        <w:widowControl w:val="0"/>
        <w:numPr>
          <w:ilvl w:val="0"/>
          <w:numId w:val="0"/>
        </w:numPr>
        <w:spacing w:line="360" w:lineRule="auto"/>
        <w:jc w:val="both"/>
        <w:rPr>
          <w:rFonts w:hint="eastAsia" w:ascii="仿宋" w:hAnsi="仿宋" w:eastAsia="仿宋" w:cs="仿宋"/>
          <w:b/>
          <w:bCs/>
          <w:sz w:val="24"/>
          <w:szCs w:val="24"/>
          <w:lang w:eastAsia="zh-CN"/>
        </w:rPr>
      </w:pPr>
      <w:r>
        <w:rPr>
          <w:rFonts w:hint="eastAsia" w:ascii="仿宋" w:hAnsi="仿宋" w:eastAsia="仿宋" w:cs="仿宋"/>
          <w:b/>
          <w:bCs/>
          <w:color w:val="000000"/>
          <w:sz w:val="24"/>
          <w:szCs w:val="24"/>
          <w:lang w:eastAsia="zh-CN"/>
        </w:rPr>
        <w:t>（</w:t>
      </w:r>
      <w:r>
        <w:rPr>
          <w:rFonts w:hint="eastAsia" w:ascii="仿宋" w:hAnsi="仿宋" w:eastAsia="仿宋" w:cs="仿宋"/>
          <w:b/>
          <w:bCs/>
          <w:color w:val="000000"/>
          <w:sz w:val="24"/>
          <w:szCs w:val="24"/>
          <w:lang w:val="en-US" w:eastAsia="zh-CN"/>
        </w:rPr>
        <w:t>2</w:t>
      </w:r>
      <w:r>
        <w:rPr>
          <w:rFonts w:hint="eastAsia" w:ascii="仿宋" w:hAnsi="仿宋" w:eastAsia="仿宋" w:cs="仿宋"/>
          <w:b/>
          <w:bCs/>
          <w:color w:val="000000"/>
          <w:sz w:val="24"/>
          <w:szCs w:val="24"/>
          <w:lang w:eastAsia="zh-CN"/>
        </w:rPr>
        <w:t>）</w:t>
      </w:r>
      <w:r>
        <w:rPr>
          <w:rFonts w:hint="eastAsia" w:ascii="仿宋" w:hAnsi="仿宋" w:eastAsia="仿宋" w:cs="仿宋"/>
          <w:b/>
          <w:bCs/>
          <w:sz w:val="24"/>
          <w:szCs w:val="24"/>
          <w:lang w:eastAsia="zh-CN"/>
        </w:rPr>
        <w:t>上述所有技术需求，供应商需完全响应，不满足的视为响应无效。</w:t>
      </w:r>
    </w:p>
    <w:p w14:paraId="225956AD">
      <w:pPr>
        <w:pageBreakBefore w:val="0"/>
        <w:widowControl w:val="0"/>
        <w:wordWrap/>
        <w:overflowPunct/>
        <w:topLinePunct w:val="0"/>
        <w:bidi w:val="0"/>
        <w:spacing w:before="78" w:line="360" w:lineRule="auto"/>
        <w:rPr>
          <w:rFonts w:hint="eastAsia"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w:t>
      </w:r>
      <w:r>
        <w:rPr>
          <w:rFonts w:hint="eastAsia" w:ascii="宋体" w:hAnsi="宋体" w:eastAsia="宋体" w:cs="宋体"/>
          <w:color w:val="auto"/>
          <w:spacing w:val="-6"/>
          <w:sz w:val="24"/>
          <w:szCs w:val="24"/>
          <w:highlight w:val="none"/>
          <w:lang w:val="en-US" w:eastAsia="zh-CN"/>
        </w:rPr>
        <w:t>二</w:t>
      </w:r>
      <w:r>
        <w:rPr>
          <w:rFonts w:ascii="宋体" w:hAnsi="宋体" w:eastAsia="宋体" w:cs="宋体"/>
          <w:color w:val="auto"/>
          <w:spacing w:val="-6"/>
          <w:sz w:val="24"/>
          <w:szCs w:val="24"/>
          <w:highlight w:val="none"/>
          <w:lang w:eastAsia="zh-CN"/>
        </w:rPr>
        <w:t>）</w:t>
      </w:r>
      <w:r>
        <w:rPr>
          <w:rFonts w:ascii="宋体" w:hAnsi="宋体" w:eastAsia="宋体" w:cs="宋体"/>
          <w:color w:val="auto"/>
          <w:spacing w:val="32"/>
          <w:sz w:val="24"/>
          <w:szCs w:val="24"/>
          <w:highlight w:val="none"/>
          <w:lang w:eastAsia="zh-CN"/>
        </w:rPr>
        <w:t xml:space="preserve"> </w:t>
      </w:r>
      <w:r>
        <w:rPr>
          <w:rFonts w:hint="eastAsia" w:ascii="宋体" w:hAnsi="宋体" w:cs="宋体"/>
          <w:color w:val="auto"/>
          <w:spacing w:val="0"/>
          <w:position w:val="0"/>
          <w:sz w:val="24"/>
          <w:szCs w:val="24"/>
          <w:highlight w:val="none"/>
        </w:rPr>
        <w:t>商务</w:t>
      </w:r>
      <w:r>
        <w:rPr>
          <w:rFonts w:hint="eastAsia" w:ascii="宋体" w:hAnsi="宋体" w:eastAsia="宋体" w:cs="宋体"/>
          <w:color w:val="auto"/>
          <w:spacing w:val="0"/>
          <w:position w:val="0"/>
          <w:sz w:val="24"/>
          <w:szCs w:val="24"/>
          <w:highlight w:val="none"/>
          <w:lang w:val="en-US" w:eastAsia="zh-CN"/>
        </w:rPr>
        <w:t>条件</w:t>
      </w:r>
    </w:p>
    <w:p w14:paraId="7D43041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付款方式：合同项下所有货物在采购人指定时间内安装调试完毕、试用合格（试用期30天）并经最终验收后通过对公汇款方式一次性支付合同总价。报价包含：货物、运输、装卸、安装、调试、辅材、税费、售后、培训等全部费用。</w:t>
      </w:r>
    </w:p>
    <w:p w14:paraId="6C2FC66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安装调试：成交供应商须到校现场勘测，根据各宿舍实际测量尺寸制作生产合同货物，确保各宿舍配套家具能按照采购人要求放置。否则，由此造成的损失由成交供应商自行承担。成交供应商负责上门安装、摆放到位、垃圾清场及场内清洁，费用包含在响应报价内。</w:t>
      </w:r>
      <w:r>
        <w:rPr>
          <w:rFonts w:hint="eastAsia" w:ascii="宋体" w:hAnsi="宋体" w:eastAsia="宋体" w:cs="宋体"/>
          <w:color w:val="auto"/>
          <w:sz w:val="24"/>
          <w:szCs w:val="24"/>
          <w:highlight w:val="none"/>
          <w:lang w:val="en-US" w:eastAsia="zh-CN"/>
        </w:rPr>
        <w:t>如因学生男女比例与预计不同导致部分公寓床需二次搬运的，费用由成交供货商自行承担。</w:t>
      </w:r>
    </w:p>
    <w:p w14:paraId="537DF73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3.资料交付：合格证、检测报告、说明书、保修卡、出厂清单等一式四份。</w:t>
      </w:r>
    </w:p>
    <w:p w14:paraId="391EB72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4.售后服务：</w:t>
      </w:r>
    </w:p>
    <w:p w14:paraId="2D16F57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（1）质保期内2小时响应，24小时到场解决。</w:t>
      </w:r>
    </w:p>
    <w:p w14:paraId="6EFF622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（2）质保期内，非人为损坏免费更换与维修。</w:t>
      </w:r>
    </w:p>
    <w:p w14:paraId="7727A0C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（3）整体质保≥3年，框架结构质保≥5年，质保期内免费维修。</w:t>
      </w:r>
    </w:p>
    <w:p w14:paraId="112B816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5.验收：</w:t>
      </w:r>
    </w:p>
    <w:p w14:paraId="4A3CA11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（1）成交供应商应当在接到成交通知书三十日内与采购人签订政府采购合同，合同签订后一周内提供符合参数要求的成品一组，作为验收标准。</w:t>
      </w:r>
    </w:p>
    <w:p w14:paraId="6E7A5DC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（2）成交供应商在原材料进货时必须索取该批产品的出厂检验单（含基材、装饰板、皮革、海绵等）、购买发票，签订采购合同。以上材料将作为产品验收的重要证明。</w:t>
      </w:r>
    </w:p>
    <w:p w14:paraId="7F8BA4A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（3）本项目验收</w:t>
      </w:r>
      <w:r>
        <w:rPr>
          <w:rFonts w:hint="eastAsia" w:ascii="宋体" w:hAnsi="宋体" w:eastAsia="宋体" w:cs="宋体"/>
          <w:color w:val="auto"/>
          <w:sz w:val="24"/>
          <w:szCs w:val="24"/>
          <w:highlight w:val="none"/>
          <w:lang w:val="en-US" w:eastAsia="zh-CN"/>
        </w:rPr>
        <w:t>时如有必要，采购人将邀请行业专家共同参与项目验收。同时，采购人将视情况随</w:t>
      </w:r>
      <w:r>
        <w:rPr>
          <w:rFonts w:hint="eastAsia" w:ascii="宋体" w:hAnsi="宋体" w:eastAsia="宋体" w:cs="宋体"/>
          <w:color w:val="auto"/>
          <w:sz w:val="24"/>
          <w:szCs w:val="24"/>
          <w:lang w:val="en-US" w:eastAsia="zh-CN"/>
        </w:rPr>
        <w:t>机抽取合同货物，共抽取2-4件送至第三方检测机构。成交供应商应全力配合并免费补齐因检测损毁的货物，由此产生的所有费用由成交通知书承担。若检测不合格，采购人将拒收货物并没收履约保证金，情节严重的还将终止合同。若合同终止，成交供应商应在接到采购人通知后方可撤回已安装的货物。（验收所产生费用由中标人支付）</w:t>
      </w:r>
    </w:p>
    <w:p w14:paraId="1A921EB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（4）签订合同时，成交供应商须出示文件中要求出具的证明文件，如不能提供，则视为虚假应标，并按政府采购相关规定报有关管理部门处理。</w:t>
      </w:r>
    </w:p>
    <w:p w14:paraId="59AB6C9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6.交付时间：2026年8月10日前货到采购人指定地点并安装调试完毕交付使用。</w:t>
      </w:r>
    </w:p>
    <w:p w14:paraId="1637D05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7.履约保证金：合同总价5%，经采购人确认成交供应商完成合同约定的事项且无违约问题后，全额无息退还。</w:t>
      </w:r>
    </w:p>
    <w:p w14:paraId="308C8D4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8.其他要求</w:t>
      </w:r>
    </w:p>
    <w:p w14:paraId="0AC8FE0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r>
        <w:rPr>
          <w:rFonts w:hint="default" w:ascii="宋体" w:hAnsi="宋体" w:eastAsia="宋体" w:cs="宋体"/>
          <w:color w:val="auto"/>
          <w:sz w:val="24"/>
          <w:szCs w:val="24"/>
          <w:lang w:val="en-US" w:eastAsia="zh-CN"/>
        </w:rPr>
        <w:t>供货要求</w:t>
      </w:r>
    </w:p>
    <w:p w14:paraId="715409C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w:t>
      </w:r>
      <w:r>
        <w:rPr>
          <w:rFonts w:hint="default" w:ascii="宋体" w:hAnsi="宋体" w:eastAsia="宋体" w:cs="宋体"/>
          <w:color w:val="auto"/>
          <w:sz w:val="24"/>
          <w:szCs w:val="24"/>
          <w:lang w:val="en-US" w:eastAsia="zh-CN"/>
        </w:rPr>
        <w:t>成交供应商提供的产品必须符合国家产品的质量标准，交货时须附该商品的质保卡、合格证、检验报告、产品使用说明书等。</w:t>
      </w:r>
    </w:p>
    <w:p w14:paraId="7DDBB8C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w:t>
      </w:r>
      <w:r>
        <w:rPr>
          <w:rFonts w:hint="default" w:ascii="宋体" w:hAnsi="宋体" w:eastAsia="宋体" w:cs="宋体"/>
          <w:color w:val="auto"/>
          <w:sz w:val="24"/>
          <w:szCs w:val="24"/>
          <w:lang w:val="en-US" w:eastAsia="zh-CN"/>
        </w:rPr>
        <w:t>所有货物的知识产权问题，由各投标供应商自行负责。</w:t>
      </w:r>
    </w:p>
    <w:p w14:paraId="07ABEFC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w:t>
      </w:r>
      <w:r>
        <w:rPr>
          <w:rFonts w:hint="default" w:ascii="宋体" w:hAnsi="宋体" w:eastAsia="宋体" w:cs="宋体"/>
          <w:color w:val="auto"/>
          <w:sz w:val="24"/>
          <w:szCs w:val="24"/>
          <w:lang w:val="en-US" w:eastAsia="zh-CN"/>
        </w:rPr>
        <w:t>投标供应商须供全新、原装，并符合质量标准的货物。</w:t>
      </w:r>
    </w:p>
    <w:p w14:paraId="56C733A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w:t>
      </w:r>
      <w:r>
        <w:rPr>
          <w:rFonts w:hint="default" w:ascii="宋体" w:hAnsi="宋体" w:eastAsia="宋体" w:cs="宋体"/>
          <w:color w:val="auto"/>
          <w:sz w:val="24"/>
          <w:szCs w:val="24"/>
          <w:lang w:val="en-US" w:eastAsia="zh-CN"/>
        </w:rPr>
        <w:t>所供产品的规格、数量符合</w:t>
      </w:r>
      <w:r>
        <w:rPr>
          <w:rFonts w:hint="eastAsia" w:ascii="宋体" w:hAnsi="宋体" w:eastAsia="宋体" w:cs="宋体"/>
          <w:color w:val="auto"/>
          <w:sz w:val="24"/>
          <w:szCs w:val="24"/>
          <w:lang w:val="en-US" w:eastAsia="zh-CN"/>
        </w:rPr>
        <w:t>谈判</w:t>
      </w:r>
      <w:r>
        <w:rPr>
          <w:rFonts w:hint="default" w:ascii="宋体" w:hAnsi="宋体" w:eastAsia="宋体" w:cs="宋体"/>
          <w:color w:val="auto"/>
          <w:sz w:val="24"/>
          <w:szCs w:val="24"/>
          <w:lang w:val="en-US" w:eastAsia="zh-CN"/>
        </w:rPr>
        <w:t>文件供应商投标承诺及采购合同约定的要求。所供产品的材质、颜色符合</w:t>
      </w:r>
      <w:r>
        <w:rPr>
          <w:rFonts w:hint="eastAsia" w:ascii="宋体" w:hAnsi="宋体" w:eastAsia="宋体" w:cs="宋体"/>
          <w:color w:val="auto"/>
          <w:sz w:val="24"/>
          <w:szCs w:val="24"/>
          <w:lang w:val="en-US" w:eastAsia="zh-CN"/>
        </w:rPr>
        <w:t>谈判</w:t>
      </w:r>
      <w:r>
        <w:rPr>
          <w:rFonts w:hint="default" w:ascii="宋体" w:hAnsi="宋体" w:eastAsia="宋体" w:cs="宋体"/>
          <w:color w:val="auto"/>
          <w:sz w:val="24"/>
          <w:szCs w:val="24"/>
          <w:lang w:val="en-US" w:eastAsia="zh-CN"/>
        </w:rPr>
        <w:t>文件供应商投标承诺及采购合同约定的要求。所供产品的外观完好，无严重碰撞、表皮脱落、五金件生锈等明显瑕疵。所供产品结构牢固，无安全隐患。</w:t>
      </w:r>
    </w:p>
    <w:p w14:paraId="04F6774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r>
        <w:rPr>
          <w:rFonts w:hint="default" w:ascii="宋体" w:hAnsi="宋体" w:eastAsia="宋体" w:cs="宋体"/>
          <w:color w:val="auto"/>
          <w:sz w:val="24"/>
          <w:szCs w:val="24"/>
          <w:lang w:val="en-US" w:eastAsia="zh-CN"/>
        </w:rPr>
        <w:t>安装调试</w:t>
      </w:r>
    </w:p>
    <w:p w14:paraId="1244B21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w:t>
      </w:r>
      <w:r>
        <w:rPr>
          <w:rFonts w:hint="default" w:ascii="宋体" w:hAnsi="宋体" w:eastAsia="宋体" w:cs="宋体"/>
          <w:color w:val="auto"/>
          <w:sz w:val="24"/>
          <w:szCs w:val="24"/>
          <w:lang w:val="en-US" w:eastAsia="zh-CN"/>
        </w:rPr>
        <w:t>货物的拆箱、安装调试等工作由成交供应商负责，货物到达目的地后的10天内成交供应商必须派人到现场负责安装和调试，但必须在采购人或用户指定人员的参与下进行。成交供应商实施前必须先经采购人或用户同意方可进行。</w:t>
      </w:r>
    </w:p>
    <w:p w14:paraId="0284AE1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w:t>
      </w:r>
      <w:r>
        <w:rPr>
          <w:rFonts w:hint="default" w:ascii="宋体" w:hAnsi="宋体" w:eastAsia="宋体" w:cs="宋体"/>
          <w:color w:val="auto"/>
          <w:sz w:val="24"/>
          <w:szCs w:val="24"/>
          <w:lang w:val="en-US" w:eastAsia="zh-CN"/>
        </w:rPr>
        <w:t>所有货物、材料均须由成交供应商送货到现场并负责安装调试，必须出示产品合格证和原厂随货清单。成交供应商应派熟练的工程师现场进行安装，若发生任一项指标不符合采购文件技术要求，成交供应商应在3天内免费更换其不合格产品，使之达到采购文件要求，所有费用由成交供应商负担。</w:t>
      </w:r>
    </w:p>
    <w:p w14:paraId="0376172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w:t>
      </w:r>
      <w:r>
        <w:rPr>
          <w:rFonts w:hint="default" w:ascii="宋体" w:hAnsi="宋体" w:eastAsia="宋体" w:cs="宋体"/>
          <w:color w:val="auto"/>
          <w:sz w:val="24"/>
          <w:szCs w:val="24"/>
          <w:lang w:val="en-US" w:eastAsia="zh-CN"/>
        </w:rPr>
        <w:t>验收标准</w:t>
      </w:r>
    </w:p>
    <w:p w14:paraId="4E00651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w:t>
      </w:r>
      <w:r>
        <w:rPr>
          <w:rFonts w:hint="default" w:ascii="宋体" w:hAnsi="宋体" w:eastAsia="宋体" w:cs="宋体"/>
          <w:color w:val="auto"/>
          <w:sz w:val="24"/>
          <w:szCs w:val="24"/>
          <w:lang w:val="en-US" w:eastAsia="zh-CN"/>
        </w:rPr>
        <w:t>数量、型号、规格与采购清单完全一致。</w:t>
      </w:r>
    </w:p>
    <w:p w14:paraId="0E6E29C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w:t>
      </w:r>
      <w:r>
        <w:rPr>
          <w:rFonts w:hint="default" w:ascii="宋体" w:hAnsi="宋体" w:eastAsia="宋体" w:cs="宋体"/>
          <w:color w:val="auto"/>
          <w:sz w:val="24"/>
          <w:szCs w:val="24"/>
          <w:lang w:val="en-US" w:eastAsia="zh-CN"/>
        </w:rPr>
        <w:t>材质、尺寸、工艺、环保、安全全部达标。</w:t>
      </w:r>
    </w:p>
    <w:p w14:paraId="39BD932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w:t>
      </w:r>
      <w:r>
        <w:rPr>
          <w:rFonts w:hint="default" w:ascii="宋体" w:hAnsi="宋体" w:eastAsia="宋体" w:cs="宋体"/>
          <w:color w:val="auto"/>
          <w:sz w:val="24"/>
          <w:szCs w:val="24"/>
          <w:lang w:val="en-US" w:eastAsia="zh-CN"/>
        </w:rPr>
        <w:t>提供第三方检测报告（甲醛、阻燃、力学、环保等）。</w:t>
      </w:r>
    </w:p>
    <w:p w14:paraId="48641C5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w:t>
      </w:r>
      <w:r>
        <w:rPr>
          <w:rFonts w:hint="default" w:ascii="宋体" w:hAnsi="宋体" w:eastAsia="宋体" w:cs="宋体"/>
          <w:color w:val="auto"/>
          <w:sz w:val="24"/>
          <w:szCs w:val="24"/>
          <w:lang w:val="en-US" w:eastAsia="zh-CN"/>
        </w:rPr>
        <w:t>焊接、喷涂、封边、五金、稳定性无瑕疵。</w:t>
      </w:r>
    </w:p>
    <w:p w14:paraId="4FF2F5F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⑤</w:t>
      </w:r>
      <w:r>
        <w:rPr>
          <w:rFonts w:hint="default" w:ascii="宋体" w:hAnsi="宋体" w:eastAsia="宋体" w:cs="宋体"/>
          <w:color w:val="auto"/>
          <w:sz w:val="24"/>
          <w:szCs w:val="24"/>
          <w:lang w:val="en-US" w:eastAsia="zh-CN"/>
        </w:rPr>
        <w:t>安装牢固、无异响、无异味、使用安全。</w:t>
      </w:r>
    </w:p>
    <w:p w14:paraId="70B20AB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r>
        <w:rPr>
          <w:rFonts w:hint="default" w:ascii="宋体" w:hAnsi="宋体" w:eastAsia="宋体" w:cs="宋体"/>
          <w:color w:val="auto"/>
          <w:sz w:val="24"/>
          <w:szCs w:val="24"/>
          <w:lang w:val="en-US" w:eastAsia="zh-CN"/>
        </w:rPr>
        <w:t>其他要求</w:t>
      </w:r>
    </w:p>
    <w:p w14:paraId="1E17A31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w:t>
      </w:r>
      <w:r>
        <w:rPr>
          <w:rFonts w:hint="default" w:ascii="宋体" w:hAnsi="宋体" w:eastAsia="宋体" w:cs="宋体"/>
          <w:color w:val="auto"/>
          <w:sz w:val="24"/>
          <w:szCs w:val="24"/>
          <w:lang w:val="en-US" w:eastAsia="zh-CN"/>
        </w:rPr>
        <w:t>样品要求：关键产品提供实物样品，作为验收依据。</w:t>
      </w:r>
    </w:p>
    <w:p w14:paraId="7FFE2F1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w:t>
      </w:r>
      <w:r>
        <w:rPr>
          <w:rFonts w:hint="default" w:ascii="宋体" w:hAnsi="宋体" w:eastAsia="宋体" w:cs="宋体"/>
          <w:color w:val="auto"/>
          <w:sz w:val="24"/>
          <w:szCs w:val="24"/>
          <w:lang w:val="en-US" w:eastAsia="zh-CN"/>
        </w:rPr>
        <w:t>环保要求：所有材料无异味、无毒、阻燃，符合国家校园环保标准，安装后提供甲醛不超标的检验证明。</w:t>
      </w:r>
    </w:p>
    <w:p w14:paraId="1078FF2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w:t>
      </w:r>
      <w:r>
        <w:rPr>
          <w:rFonts w:hint="default" w:ascii="宋体" w:hAnsi="宋体" w:eastAsia="宋体" w:cs="宋体"/>
          <w:color w:val="auto"/>
          <w:sz w:val="24"/>
          <w:szCs w:val="24"/>
          <w:lang w:val="en-US" w:eastAsia="zh-CN"/>
        </w:rPr>
        <w:t>知识产权：供应商保证产品不侵权，否则承担全部责任。</w:t>
      </w:r>
    </w:p>
    <w:p w14:paraId="7D8C7D7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r>
        <w:rPr>
          <w:rFonts w:hint="default" w:ascii="宋体" w:hAnsi="宋体" w:eastAsia="宋体" w:cs="宋体"/>
          <w:color w:val="auto"/>
          <w:sz w:val="24"/>
          <w:szCs w:val="24"/>
          <w:lang w:val="en-US" w:eastAsia="zh-CN"/>
        </w:rPr>
        <w:t>违约责任：</w:t>
      </w:r>
    </w:p>
    <w:p w14:paraId="6734A80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①成交供应商</w:t>
      </w:r>
      <w:r>
        <w:rPr>
          <w:rFonts w:hint="default" w:ascii="宋体" w:hAnsi="宋体" w:eastAsia="宋体" w:cs="宋体"/>
          <w:color w:val="auto"/>
          <w:sz w:val="24"/>
          <w:szCs w:val="24"/>
          <w:lang w:val="en-US" w:eastAsia="zh-CN"/>
        </w:rPr>
        <w:t>未能按照本合同约定交货的，则每逾期一天，按照合同总价的5‰向</w:t>
      </w:r>
      <w:r>
        <w:rPr>
          <w:rFonts w:hint="eastAsia" w:ascii="宋体" w:hAnsi="宋体" w:eastAsia="宋体" w:cs="宋体"/>
          <w:color w:val="auto"/>
          <w:sz w:val="24"/>
          <w:szCs w:val="24"/>
          <w:lang w:val="en-US" w:eastAsia="zh-CN"/>
        </w:rPr>
        <w:t>采购人</w:t>
      </w:r>
      <w:r>
        <w:rPr>
          <w:rFonts w:hint="default" w:ascii="宋体" w:hAnsi="宋体" w:eastAsia="宋体" w:cs="宋体"/>
          <w:color w:val="auto"/>
          <w:sz w:val="24"/>
          <w:szCs w:val="24"/>
          <w:lang w:val="en-US" w:eastAsia="zh-CN"/>
        </w:rPr>
        <w:t>支付违约金，最高延期赔偿金不超过本合同总价款的15%。</w:t>
      </w:r>
    </w:p>
    <w:p w14:paraId="5ED65DD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②成交供应商</w:t>
      </w:r>
      <w:r>
        <w:rPr>
          <w:rFonts w:hint="default" w:ascii="宋体" w:hAnsi="宋体" w:eastAsia="宋体" w:cs="宋体"/>
          <w:color w:val="auto"/>
          <w:sz w:val="24"/>
          <w:szCs w:val="24"/>
          <w:lang w:val="en-US" w:eastAsia="zh-CN"/>
        </w:rPr>
        <w:t>提供的服务或产品未达到本合同约定的技术、质量及其他任何要求，且经验收不合格的或</w:t>
      </w:r>
      <w:r>
        <w:rPr>
          <w:rFonts w:hint="eastAsia" w:ascii="宋体" w:hAnsi="宋体" w:eastAsia="宋体" w:cs="宋体"/>
          <w:color w:val="auto"/>
          <w:sz w:val="24"/>
          <w:szCs w:val="24"/>
          <w:lang w:val="en-US" w:eastAsia="zh-CN"/>
        </w:rPr>
        <w:t>成交供应商</w:t>
      </w:r>
      <w:r>
        <w:rPr>
          <w:rFonts w:hint="default" w:ascii="宋体" w:hAnsi="宋体" w:eastAsia="宋体" w:cs="宋体"/>
          <w:color w:val="auto"/>
          <w:sz w:val="24"/>
          <w:szCs w:val="24"/>
          <w:lang w:val="en-US" w:eastAsia="zh-CN"/>
        </w:rPr>
        <w:t>明确告知</w:t>
      </w:r>
      <w:r>
        <w:rPr>
          <w:rFonts w:hint="eastAsia" w:ascii="宋体" w:hAnsi="宋体" w:eastAsia="宋体" w:cs="宋体"/>
          <w:color w:val="auto"/>
          <w:sz w:val="24"/>
          <w:szCs w:val="24"/>
          <w:lang w:val="en-US" w:eastAsia="zh-CN"/>
        </w:rPr>
        <w:t>采购人</w:t>
      </w:r>
      <w:r>
        <w:rPr>
          <w:rFonts w:hint="default" w:ascii="宋体" w:hAnsi="宋体" w:eastAsia="宋体" w:cs="宋体"/>
          <w:color w:val="auto"/>
          <w:sz w:val="24"/>
          <w:szCs w:val="24"/>
          <w:lang w:val="en-US" w:eastAsia="zh-CN"/>
        </w:rPr>
        <w:t>无法交付合同约定产品或提供合同约定的服务的，</w:t>
      </w:r>
      <w:r>
        <w:rPr>
          <w:rFonts w:hint="eastAsia" w:ascii="宋体" w:hAnsi="宋体" w:eastAsia="宋体" w:cs="宋体"/>
          <w:color w:val="auto"/>
          <w:sz w:val="24"/>
          <w:szCs w:val="24"/>
          <w:lang w:val="en-US" w:eastAsia="zh-CN"/>
        </w:rPr>
        <w:t>成交供应商</w:t>
      </w:r>
      <w:r>
        <w:rPr>
          <w:rFonts w:hint="default" w:ascii="宋体" w:hAnsi="宋体" w:eastAsia="宋体" w:cs="宋体"/>
          <w:color w:val="auto"/>
          <w:sz w:val="24"/>
          <w:szCs w:val="24"/>
          <w:lang w:val="en-US" w:eastAsia="zh-CN"/>
        </w:rPr>
        <w:t>应当承担违约责任，并应按本合同总金额的5%向</w:t>
      </w:r>
      <w:r>
        <w:rPr>
          <w:rFonts w:hint="eastAsia" w:ascii="宋体" w:hAnsi="宋体" w:eastAsia="宋体" w:cs="宋体"/>
          <w:color w:val="auto"/>
          <w:sz w:val="24"/>
          <w:szCs w:val="24"/>
          <w:lang w:val="en-US" w:eastAsia="zh-CN"/>
        </w:rPr>
        <w:t>采购人</w:t>
      </w:r>
      <w:r>
        <w:rPr>
          <w:rFonts w:hint="default" w:ascii="宋体" w:hAnsi="宋体" w:eastAsia="宋体" w:cs="宋体"/>
          <w:color w:val="auto"/>
          <w:sz w:val="24"/>
          <w:szCs w:val="24"/>
          <w:lang w:val="en-US" w:eastAsia="zh-CN"/>
        </w:rPr>
        <w:t>支付违约金。</w:t>
      </w:r>
    </w:p>
    <w:p w14:paraId="7CF4869A">
      <w:pPr>
        <w:pStyle w:val="3"/>
        <w:pageBreakBefore w:val="0"/>
        <w:tabs>
          <w:tab w:val="left" w:pos="567"/>
        </w:tabs>
        <w:wordWrap/>
        <w:overflowPunct/>
        <w:topLinePunct w:val="0"/>
        <w:autoSpaceDE w:val="0"/>
        <w:autoSpaceDN w:val="0"/>
        <w:bidi w:val="0"/>
        <w:adjustRightInd w:val="0"/>
        <w:snapToGrid w:val="0"/>
        <w:spacing w:line="360" w:lineRule="auto"/>
        <w:ind w:firstLine="0" w:firstLineChars="0"/>
        <w:rPr>
          <w:rFonts w:hint="eastAsia" w:ascii="宋体" w:hAnsi="宋体" w:eastAsia="宋体" w:cs="宋体"/>
          <w:color w:val="auto"/>
          <w:sz w:val="24"/>
          <w:szCs w:val="24"/>
          <w:highlight w:val="none"/>
          <w:lang w:eastAsia="zh-CN"/>
        </w:rPr>
      </w:pPr>
      <w:r>
        <w:rPr>
          <w:rFonts w:hint="eastAsia" w:ascii="宋体" w:hAnsi="宋体" w:eastAsia="宋体" w:cs="宋体"/>
          <w:b/>
          <w:bCs/>
          <w:spacing w:val="1"/>
          <w:sz w:val="24"/>
          <w:szCs w:val="24"/>
        </w:rPr>
        <w:t>注</w:t>
      </w:r>
      <w:r>
        <w:rPr>
          <w:rFonts w:hint="eastAsia" w:ascii="宋体" w:hAnsi="宋体" w:eastAsia="宋体" w:cs="宋体"/>
          <w:b/>
          <w:bCs/>
          <w:sz w:val="24"/>
          <w:szCs w:val="24"/>
        </w:rPr>
        <w:t>：上述所有商务</w:t>
      </w:r>
      <w:r>
        <w:rPr>
          <w:rFonts w:hint="eastAsia" w:ascii="宋体" w:hAnsi="宋体" w:eastAsia="宋体" w:cs="宋体"/>
          <w:b/>
          <w:bCs/>
          <w:sz w:val="24"/>
          <w:szCs w:val="24"/>
          <w:lang w:val="en-US" w:eastAsia="zh-CN"/>
        </w:rPr>
        <w:t>条件</w:t>
      </w:r>
      <w:r>
        <w:rPr>
          <w:rFonts w:hint="eastAsia" w:ascii="宋体" w:hAnsi="宋体" w:eastAsia="宋体" w:cs="宋体"/>
          <w:b/>
          <w:bCs/>
          <w:sz w:val="24"/>
          <w:szCs w:val="24"/>
        </w:rPr>
        <w:t>，供应商需完全响应，不满足的视为响应无效。</w:t>
      </w:r>
      <w:bookmarkStart w:id="1" w:name="bookmark82"/>
      <w:bookmarkEnd w:id="1"/>
    </w:p>
    <w:p w14:paraId="50055F48">
      <w:bookmarkStart w:id="2" w:name="_GoBack"/>
      <w:bookmarkEnd w:id="2"/>
    </w:p>
    <w:sectPr>
      <w:footerReference r:id="rId3" w:type="default"/>
      <w:pgSz w:w="11906" w:h="16839"/>
      <w:pgMar w:top="1429" w:right="1587" w:bottom="1429" w:left="158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8BDAC">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526ED5">
                          <w:pPr>
                            <w:pStyle w:val="4"/>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5526ED5">
                    <w:pPr>
                      <w:pStyle w:val="4"/>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381F5E"/>
    <w:rsid w:val="5F381F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paragraph" w:customStyle="1" w:styleId="7">
    <w:name w:val="正文缩进1"/>
    <w:basedOn w:val="1"/>
    <w:qFormat/>
    <w:uiPriority w:val="99"/>
    <w:pPr>
      <w:widowControl/>
      <w:ind w:firstLine="420"/>
      <w:jc w:val="left"/>
    </w:pPr>
    <w:rPr>
      <w:kern w:val="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2026-06-24T11:35:00Z</dcterms:created>
  <dc:creator>落幕wata.</dc:creator>
  <cp:lastModifiedBy>落幕wata.</cp:lastModifiedBy>
  <dcterms:modified xsi:type="dcterms:W3CDTF">2026-06-24T11:36:05Z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7861137907314B8A9FE18E71F0DEEB0A_11</vt:lpwstr>
  </property>
  <property fmtid="{D5CDD505-2E9C-101B-9397-08002B2CF9AE}" pid="4" name="KSOTemplateDocerSaveRecord">
    <vt:lpwstr>eyJoZGlkIjoiNDU5M2FjZGI5NTAwN2ZjZWY1NTZjNjkyYzYxNzZiNDEiLCJ1c2VySWQiOiI2NTQzMTYyODQifQ==</vt:lpwstr>
  </property>
</Properties>
</file>