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07FFC3">
      <w:pPr>
        <w:pStyle w:val="2"/>
        <w:jc w:val="center"/>
        <w:rPr>
          <w:lang w:eastAsia="zh-CN"/>
        </w:rPr>
      </w:pPr>
      <w:r>
        <w:rPr>
          <w:rFonts w:hint="eastAsia"/>
          <w:lang w:eastAsia="zh-CN"/>
        </w:rPr>
        <w:t>技术要求</w:t>
      </w:r>
    </w:p>
    <w:p w14:paraId="71CCBFA7">
      <w:pPr>
        <w:kinsoku/>
        <w:rPr>
          <w:rFonts w:hint="eastAsia"/>
          <w:b/>
          <w:bCs/>
          <w:color w:val="auto"/>
          <w:highlight w:val="none"/>
          <w:lang w:val="en-US" w:eastAsia="zh-CN"/>
        </w:rPr>
      </w:pPr>
      <w:r>
        <w:rPr>
          <w:rFonts w:hint="eastAsia"/>
          <w:b/>
          <w:bCs/>
          <w:color w:val="auto"/>
          <w:highlight w:val="none"/>
          <w:lang w:eastAsia="zh-CN"/>
        </w:rPr>
        <w:t>（</w:t>
      </w:r>
      <w:r>
        <w:rPr>
          <w:rFonts w:hint="eastAsia"/>
          <w:b/>
          <w:bCs/>
          <w:color w:val="auto"/>
          <w:highlight w:val="none"/>
          <w:lang w:val="en-US" w:eastAsia="zh-CN"/>
        </w:rPr>
        <w:t>一</w:t>
      </w:r>
      <w:r>
        <w:rPr>
          <w:rFonts w:hint="eastAsia"/>
          <w:b/>
          <w:bCs/>
          <w:color w:val="auto"/>
          <w:highlight w:val="none"/>
          <w:lang w:eastAsia="zh-CN"/>
        </w:rPr>
        <w:t>）</w:t>
      </w:r>
      <w:r>
        <w:rPr>
          <w:rFonts w:hint="eastAsia"/>
          <w:b/>
          <w:bCs/>
          <w:color w:val="auto"/>
          <w:highlight w:val="none"/>
          <w:lang w:val="en-US" w:eastAsia="zh-CN"/>
        </w:rPr>
        <w:t>编制说明</w:t>
      </w:r>
    </w:p>
    <w:p w14:paraId="7D278945">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Lines="0" w:afterLines="0" w:line="460" w:lineRule="exact"/>
        <w:ind w:right="0" w:rightChars="0" w:firstLine="241" w:firstLineChars="100"/>
        <w:jc w:val="left"/>
        <w:textAlignment w:val="baseline"/>
        <w:rPr>
          <w:rFonts w:hint="eastAsia" w:ascii="宋体" w:hAnsi="宋体" w:eastAsia="宋体" w:cs="宋体"/>
          <w:b/>
          <w:sz w:val="24"/>
          <w:szCs w:val="24"/>
          <w:lang w:val="zh-CN"/>
        </w:rPr>
      </w:pPr>
      <w:r>
        <w:rPr>
          <w:rFonts w:hint="eastAsia" w:ascii="宋体" w:hAnsi="宋体" w:eastAsia="宋体" w:cs="宋体"/>
          <w:b/>
          <w:sz w:val="24"/>
          <w:szCs w:val="24"/>
          <w:lang w:val="en-US" w:eastAsia="zh-CN"/>
        </w:rPr>
        <w:t>1.</w:t>
      </w:r>
      <w:r>
        <w:rPr>
          <w:rFonts w:hint="eastAsia" w:ascii="宋体" w:hAnsi="宋体" w:eastAsia="宋体" w:cs="宋体"/>
          <w:b/>
          <w:sz w:val="24"/>
          <w:szCs w:val="24"/>
          <w:lang w:val="zh-CN"/>
        </w:rPr>
        <w:t>工程概况</w:t>
      </w:r>
    </w:p>
    <w:p w14:paraId="27526339">
      <w:pPr>
        <w:pStyle w:val="3"/>
        <w:keepNext w:val="0"/>
        <w:keepLines w:val="0"/>
        <w:pageBreakBefore w:val="0"/>
        <w:widowControl/>
        <w:kinsoku w:val="0"/>
        <w:wordWrap/>
        <w:overflowPunct/>
        <w:topLinePunct w:val="0"/>
        <w:autoSpaceDE w:val="0"/>
        <w:autoSpaceDN w:val="0"/>
        <w:bidi w:val="0"/>
        <w:adjustRightInd w:val="0"/>
        <w:snapToGrid w:val="0"/>
        <w:spacing w:before="0" w:beforeLines="0" w:beforeAutospacing="0" w:after="0" w:afterLines="0" w:afterAutospacing="0" w:line="460" w:lineRule="exact"/>
        <w:ind w:left="0" w:leftChars="0" w:right="0" w:rightChars="0"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本工程为江西师范大学附属中学初中部综合改造提升（二期）项目-室内</w:t>
      </w:r>
      <w:r>
        <w:rPr>
          <w:rFonts w:hint="eastAsia" w:cs="宋体"/>
          <w:sz w:val="24"/>
          <w:szCs w:val="24"/>
          <w:lang w:val="en-US" w:eastAsia="zh-CN"/>
        </w:rPr>
        <w:t>和室外</w:t>
      </w:r>
      <w:r>
        <w:rPr>
          <w:rFonts w:hint="eastAsia" w:ascii="宋体" w:hAnsi="宋体" w:eastAsia="宋体" w:cs="宋体"/>
          <w:sz w:val="24"/>
          <w:szCs w:val="24"/>
        </w:rPr>
        <w:t>。</w:t>
      </w:r>
    </w:p>
    <w:p w14:paraId="30CEC9D5">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Lines="0" w:afterLines="0" w:line="460" w:lineRule="exact"/>
        <w:ind w:right="0" w:rightChars="0" w:firstLine="241" w:firstLineChars="100"/>
        <w:jc w:val="left"/>
        <w:textAlignment w:val="baseline"/>
        <w:rPr>
          <w:rFonts w:hint="eastAsia" w:ascii="宋体" w:hAnsi="宋体" w:eastAsia="宋体" w:cs="宋体"/>
          <w:b/>
          <w:sz w:val="24"/>
          <w:szCs w:val="24"/>
        </w:rPr>
      </w:pPr>
      <w:r>
        <w:rPr>
          <w:rFonts w:hint="eastAsia" w:ascii="宋体" w:hAnsi="宋体" w:eastAsia="宋体" w:cs="宋体"/>
          <w:b/>
          <w:sz w:val="24"/>
          <w:szCs w:val="24"/>
          <w:lang w:val="en-US" w:eastAsia="zh-CN"/>
        </w:rPr>
        <w:t>2.</w:t>
      </w:r>
      <w:r>
        <w:rPr>
          <w:rFonts w:hint="eastAsia" w:ascii="宋体" w:hAnsi="宋体" w:eastAsia="宋体" w:cs="宋体"/>
          <w:b/>
          <w:sz w:val="24"/>
          <w:szCs w:val="24"/>
        </w:rPr>
        <w:t>工程范围</w:t>
      </w:r>
    </w:p>
    <w:p w14:paraId="0C82C146">
      <w:pPr>
        <w:keepNext w:val="0"/>
        <w:keepLines w:val="0"/>
        <w:pageBreakBefore w:val="0"/>
        <w:widowControl/>
        <w:kinsoku w:val="0"/>
        <w:wordWrap/>
        <w:overflowPunct/>
        <w:topLinePunct w:val="0"/>
        <w:autoSpaceDE w:val="0"/>
        <w:autoSpaceDN w:val="0"/>
        <w:bidi w:val="0"/>
        <w:adjustRightInd w:val="0"/>
        <w:snapToGrid w:val="0"/>
        <w:spacing w:beforeLines="0" w:afterLines="0" w:line="460" w:lineRule="exact"/>
        <w:ind w:left="0" w:leftChars="0" w:right="0" w:rightChars="0"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本工程为江西师范大学附属中学初中部综合改造提升（二期）项目-室内</w:t>
      </w:r>
      <w:r>
        <w:rPr>
          <w:rFonts w:hint="eastAsia" w:cs="宋体"/>
          <w:sz w:val="24"/>
          <w:szCs w:val="24"/>
          <w:lang w:val="en-US" w:eastAsia="zh-CN"/>
        </w:rPr>
        <w:t>和室外</w:t>
      </w:r>
      <w:r>
        <w:rPr>
          <w:rFonts w:hint="eastAsia" w:ascii="宋体" w:hAnsi="宋体" w:eastAsia="宋体" w:cs="宋体"/>
          <w:sz w:val="24"/>
          <w:szCs w:val="24"/>
        </w:rPr>
        <w:t>，图纸范围内。</w:t>
      </w:r>
    </w:p>
    <w:p w14:paraId="4DC44F51">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Lines="0" w:afterLines="0" w:line="460" w:lineRule="exact"/>
        <w:ind w:right="0" w:rightChars="0" w:firstLine="241" w:firstLineChars="100"/>
        <w:jc w:val="left"/>
        <w:textAlignment w:val="baseline"/>
        <w:rPr>
          <w:rFonts w:hint="eastAsia" w:ascii="宋体" w:hAnsi="宋体" w:eastAsia="宋体" w:cs="宋体"/>
          <w:b/>
          <w:sz w:val="24"/>
          <w:szCs w:val="24"/>
          <w:lang w:val="zh-CN"/>
        </w:rPr>
      </w:pPr>
      <w:r>
        <w:rPr>
          <w:rFonts w:hint="eastAsia" w:ascii="宋体" w:hAnsi="宋体" w:eastAsia="宋体" w:cs="宋体"/>
          <w:b/>
          <w:sz w:val="24"/>
          <w:szCs w:val="24"/>
          <w:lang w:val="en-US" w:eastAsia="zh-CN"/>
        </w:rPr>
        <w:t>3.</w:t>
      </w:r>
      <w:r>
        <w:rPr>
          <w:rFonts w:hint="eastAsia" w:ascii="宋体" w:hAnsi="宋体" w:eastAsia="宋体" w:cs="宋体"/>
          <w:b/>
          <w:sz w:val="24"/>
          <w:szCs w:val="24"/>
          <w:lang w:val="zh-CN"/>
        </w:rPr>
        <w:t>编制依据</w:t>
      </w:r>
    </w:p>
    <w:p w14:paraId="52878A83">
      <w:pPr>
        <w:keepNext w:val="0"/>
        <w:keepLines w:val="0"/>
        <w:pageBreakBefore w:val="0"/>
        <w:widowControl/>
        <w:kinsoku w:val="0"/>
        <w:wordWrap/>
        <w:overflowPunct/>
        <w:topLinePunct w:val="0"/>
        <w:autoSpaceDE w:val="0"/>
        <w:autoSpaceDN w:val="0"/>
        <w:bidi w:val="0"/>
        <w:adjustRightInd w:val="0"/>
        <w:snapToGrid w:val="0"/>
        <w:spacing w:beforeLines="0" w:afterLines="0" w:line="460" w:lineRule="exact"/>
        <w:ind w:left="0" w:leftChars="0" w:right="0" w:rightChars="0" w:firstLine="480" w:firstLineChars="200"/>
        <w:textAlignment w:val="baseline"/>
        <w:rPr>
          <w:rFonts w:hint="eastAsia" w:ascii="宋体" w:hAnsi="宋体" w:eastAsia="宋体" w:cs="宋体"/>
          <w:sz w:val="24"/>
          <w:szCs w:val="24"/>
          <w:lang w:val="zh-CN"/>
        </w:rPr>
      </w:pPr>
      <w:r>
        <w:rPr>
          <w:rFonts w:hint="eastAsia" w:ascii="宋体" w:hAnsi="宋体" w:eastAsia="宋体" w:cs="宋体"/>
          <w:sz w:val="24"/>
          <w:szCs w:val="24"/>
          <w:lang w:val="zh-CN"/>
        </w:rPr>
        <w:t>3.1、2017版《江西省通用安装工程消耗量定额及统一基价表》、2017版《江西省市政工程消耗量定额及统一基价表》、</w:t>
      </w:r>
      <w:r>
        <w:rPr>
          <w:rFonts w:hint="eastAsia" w:ascii="宋体" w:hAnsi="宋体" w:eastAsia="宋体" w:cs="宋体"/>
          <w:sz w:val="24"/>
          <w:szCs w:val="24"/>
        </w:rPr>
        <w:t>2023</w:t>
      </w:r>
      <w:r>
        <w:rPr>
          <w:rFonts w:hint="eastAsia" w:ascii="宋体" w:hAnsi="宋体" w:eastAsia="宋体" w:cs="宋体"/>
          <w:sz w:val="24"/>
          <w:szCs w:val="24"/>
          <w:lang w:val="zh-CN"/>
        </w:rPr>
        <w:t>《江西省园林绿化工程消耗量定额及统一基价表》；</w:t>
      </w:r>
    </w:p>
    <w:p w14:paraId="65E77A02">
      <w:pPr>
        <w:keepNext w:val="0"/>
        <w:keepLines w:val="0"/>
        <w:pageBreakBefore w:val="0"/>
        <w:widowControl/>
        <w:kinsoku w:val="0"/>
        <w:wordWrap/>
        <w:overflowPunct/>
        <w:topLinePunct w:val="0"/>
        <w:autoSpaceDE w:val="0"/>
        <w:autoSpaceDN w:val="0"/>
        <w:bidi w:val="0"/>
        <w:adjustRightInd w:val="0"/>
        <w:snapToGrid w:val="0"/>
        <w:spacing w:beforeLines="0" w:afterLines="0" w:line="460" w:lineRule="exact"/>
        <w:ind w:left="0" w:leftChars="0" w:right="0" w:rightChars="0" w:firstLine="480" w:firstLineChars="200"/>
        <w:textAlignment w:val="baseline"/>
        <w:rPr>
          <w:rFonts w:hint="eastAsia" w:ascii="宋体" w:hAnsi="宋体" w:eastAsia="宋体" w:cs="宋体"/>
          <w:sz w:val="24"/>
          <w:szCs w:val="24"/>
          <w:lang w:val="zh-CN"/>
        </w:rPr>
      </w:pPr>
      <w:r>
        <w:rPr>
          <w:rFonts w:hint="eastAsia" w:ascii="宋体" w:hAnsi="宋体" w:eastAsia="宋体" w:cs="宋体"/>
          <w:sz w:val="24"/>
          <w:szCs w:val="24"/>
          <w:lang w:val="zh-CN"/>
        </w:rPr>
        <w:t>3.2、20</w:t>
      </w:r>
      <w:r>
        <w:rPr>
          <w:rFonts w:hint="eastAsia" w:ascii="宋体" w:hAnsi="宋体" w:eastAsia="宋体" w:cs="宋体"/>
          <w:sz w:val="24"/>
          <w:szCs w:val="24"/>
        </w:rPr>
        <w:t>23</w:t>
      </w:r>
      <w:r>
        <w:rPr>
          <w:rFonts w:hint="eastAsia" w:ascii="宋体" w:hAnsi="宋体" w:eastAsia="宋体" w:cs="宋体"/>
          <w:sz w:val="24"/>
          <w:szCs w:val="24"/>
          <w:lang w:val="zh-CN"/>
        </w:rPr>
        <w:t>版《江西省</w:t>
      </w:r>
      <w:r>
        <w:rPr>
          <w:rFonts w:hint="eastAsia" w:ascii="宋体" w:hAnsi="宋体" w:eastAsia="宋体" w:cs="宋体"/>
          <w:sz w:val="24"/>
          <w:szCs w:val="24"/>
        </w:rPr>
        <w:t>园林绿化</w:t>
      </w:r>
      <w:r>
        <w:rPr>
          <w:rFonts w:hint="eastAsia" w:ascii="宋体" w:hAnsi="宋体" w:eastAsia="宋体" w:cs="宋体"/>
          <w:sz w:val="24"/>
          <w:szCs w:val="24"/>
          <w:lang w:val="zh-CN"/>
        </w:rPr>
        <w:t>工程费用定额》；</w:t>
      </w:r>
    </w:p>
    <w:p w14:paraId="7FCED08C">
      <w:pPr>
        <w:keepNext w:val="0"/>
        <w:keepLines w:val="0"/>
        <w:pageBreakBefore w:val="0"/>
        <w:widowControl/>
        <w:kinsoku w:val="0"/>
        <w:wordWrap/>
        <w:overflowPunct/>
        <w:topLinePunct w:val="0"/>
        <w:autoSpaceDE w:val="0"/>
        <w:autoSpaceDN w:val="0"/>
        <w:bidi w:val="0"/>
        <w:adjustRightInd w:val="0"/>
        <w:snapToGrid w:val="0"/>
        <w:spacing w:beforeLines="0" w:afterLines="0" w:line="460" w:lineRule="exact"/>
        <w:ind w:left="0" w:leftChars="0" w:right="0" w:rightChars="0" w:firstLine="480" w:firstLineChars="200"/>
        <w:textAlignment w:val="baseline"/>
        <w:rPr>
          <w:rFonts w:hint="eastAsia" w:ascii="宋体" w:hAnsi="宋体" w:eastAsia="宋体" w:cs="宋体"/>
          <w:sz w:val="24"/>
          <w:szCs w:val="24"/>
          <w:lang w:val="zh-CN"/>
        </w:rPr>
      </w:pPr>
      <w:r>
        <w:rPr>
          <w:rFonts w:hint="eastAsia" w:ascii="宋体" w:hAnsi="宋体" w:eastAsia="宋体" w:cs="宋体"/>
          <w:sz w:val="24"/>
          <w:szCs w:val="24"/>
          <w:lang w:val="zh-CN"/>
        </w:rPr>
        <w:t>3.3、材料价格参照</w:t>
      </w:r>
      <w:r>
        <w:rPr>
          <w:rFonts w:hint="eastAsia" w:ascii="宋体" w:hAnsi="宋体" w:eastAsia="宋体" w:cs="宋体"/>
          <w:sz w:val="24"/>
          <w:szCs w:val="24"/>
        </w:rPr>
        <w:t>南昌市建设工程2026年5月信息价</w:t>
      </w:r>
      <w:r>
        <w:rPr>
          <w:rFonts w:hint="eastAsia" w:ascii="宋体" w:hAnsi="宋体" w:eastAsia="宋体" w:cs="宋体"/>
          <w:sz w:val="24"/>
          <w:szCs w:val="24"/>
          <w:lang w:val="zh-CN"/>
        </w:rPr>
        <w:t>，其余材料参照同期江西省其他地区信息价、同期市场价格；</w:t>
      </w:r>
    </w:p>
    <w:p w14:paraId="6B9654F9">
      <w:pPr>
        <w:keepNext w:val="0"/>
        <w:keepLines w:val="0"/>
        <w:pageBreakBefore w:val="0"/>
        <w:widowControl/>
        <w:kinsoku w:val="0"/>
        <w:wordWrap/>
        <w:overflowPunct/>
        <w:topLinePunct w:val="0"/>
        <w:autoSpaceDE w:val="0"/>
        <w:autoSpaceDN w:val="0"/>
        <w:bidi w:val="0"/>
        <w:adjustRightInd w:val="0"/>
        <w:snapToGrid w:val="0"/>
        <w:spacing w:beforeLines="0" w:afterLines="0" w:line="460" w:lineRule="exact"/>
        <w:ind w:left="0" w:leftChars="0" w:right="0" w:rightChars="0" w:firstLine="480" w:firstLineChars="200"/>
        <w:textAlignment w:val="baseline"/>
        <w:rPr>
          <w:rFonts w:hint="eastAsia" w:ascii="宋体" w:hAnsi="宋体" w:eastAsia="宋体" w:cs="宋体"/>
          <w:sz w:val="24"/>
          <w:szCs w:val="24"/>
          <w:lang w:val="zh-CN"/>
        </w:rPr>
      </w:pPr>
      <w:r>
        <w:rPr>
          <w:rFonts w:hint="eastAsia" w:ascii="宋体" w:hAnsi="宋体" w:eastAsia="宋体" w:cs="宋体"/>
          <w:sz w:val="24"/>
          <w:szCs w:val="24"/>
          <w:lang w:val="zh-CN"/>
        </w:rPr>
        <w:t>3.4、江西省建设工程定额综合工日单价：建筑、安装、市政工程定额综合工日单价调整为</w:t>
      </w:r>
      <w:r>
        <w:rPr>
          <w:rFonts w:hint="eastAsia" w:ascii="宋体" w:hAnsi="宋体" w:eastAsia="宋体" w:cs="宋体"/>
          <w:sz w:val="24"/>
          <w:szCs w:val="24"/>
        </w:rPr>
        <w:t>100</w:t>
      </w:r>
      <w:r>
        <w:rPr>
          <w:rFonts w:hint="eastAsia" w:ascii="宋体" w:hAnsi="宋体" w:eastAsia="宋体" w:cs="宋体"/>
          <w:sz w:val="24"/>
          <w:szCs w:val="24"/>
          <w:lang w:val="zh-CN"/>
        </w:rPr>
        <w:t>元/工日；装饰工程定额综合工日单价调整为1</w:t>
      </w:r>
      <w:r>
        <w:rPr>
          <w:rFonts w:hint="eastAsia" w:ascii="宋体" w:hAnsi="宋体" w:eastAsia="宋体" w:cs="宋体"/>
          <w:sz w:val="24"/>
          <w:szCs w:val="24"/>
        </w:rPr>
        <w:t>17</w:t>
      </w:r>
      <w:r>
        <w:rPr>
          <w:rFonts w:hint="eastAsia" w:ascii="宋体" w:hAnsi="宋体" w:eastAsia="宋体" w:cs="宋体"/>
          <w:sz w:val="24"/>
          <w:szCs w:val="24"/>
          <w:lang w:val="zh-CN"/>
        </w:rPr>
        <w:t>元/工日。</w:t>
      </w:r>
    </w:p>
    <w:p w14:paraId="0F26DA1A">
      <w:pPr>
        <w:keepNext w:val="0"/>
        <w:keepLines w:val="0"/>
        <w:pageBreakBefore w:val="0"/>
        <w:widowControl/>
        <w:kinsoku w:val="0"/>
        <w:wordWrap/>
        <w:overflowPunct/>
        <w:topLinePunct w:val="0"/>
        <w:autoSpaceDE w:val="0"/>
        <w:autoSpaceDN w:val="0"/>
        <w:bidi w:val="0"/>
        <w:adjustRightInd w:val="0"/>
        <w:snapToGrid w:val="0"/>
        <w:spacing w:beforeLines="0" w:afterLines="0" w:line="460" w:lineRule="exact"/>
        <w:ind w:left="0" w:leftChars="0" w:right="0" w:rightChars="0" w:firstLine="480" w:firstLineChars="200"/>
        <w:textAlignment w:val="baseline"/>
        <w:rPr>
          <w:rFonts w:hint="eastAsia" w:ascii="宋体" w:hAnsi="宋体" w:eastAsia="宋体" w:cs="宋体"/>
          <w:sz w:val="24"/>
          <w:szCs w:val="24"/>
          <w:lang w:val="zh-CN"/>
        </w:rPr>
      </w:pPr>
      <w:r>
        <w:rPr>
          <w:rFonts w:hint="eastAsia" w:ascii="宋体" w:hAnsi="宋体" w:eastAsia="宋体" w:cs="宋体"/>
          <w:sz w:val="24"/>
          <w:szCs w:val="24"/>
          <w:lang w:val="zh-CN"/>
        </w:rPr>
        <w:t>3.</w:t>
      </w:r>
      <w:r>
        <w:rPr>
          <w:rFonts w:hint="eastAsia" w:ascii="宋体" w:hAnsi="宋体" w:eastAsia="宋体" w:cs="宋体"/>
          <w:sz w:val="24"/>
          <w:szCs w:val="24"/>
        </w:rPr>
        <w:t>5</w:t>
      </w:r>
      <w:r>
        <w:rPr>
          <w:rFonts w:hint="eastAsia" w:ascii="宋体" w:hAnsi="宋体" w:eastAsia="宋体" w:cs="宋体"/>
          <w:sz w:val="24"/>
          <w:szCs w:val="24"/>
          <w:lang w:val="zh-CN"/>
        </w:rPr>
        <w:t>、税金执行赣建价（2019）1号文《关于调整江西省建设工程计价依据增值税税率的通知》税率取9%</w:t>
      </w:r>
      <w:r>
        <w:rPr>
          <w:rFonts w:hint="eastAsia" w:cs="宋体"/>
          <w:sz w:val="24"/>
          <w:szCs w:val="24"/>
          <w:lang w:val="zh-CN"/>
        </w:rPr>
        <w:t>。</w:t>
      </w:r>
    </w:p>
    <w:p w14:paraId="7D6F57E3">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Lines="0" w:afterLines="0" w:line="460" w:lineRule="exact"/>
        <w:ind w:right="0" w:rightChars="0" w:firstLine="241" w:firstLineChars="100"/>
        <w:jc w:val="left"/>
        <w:textAlignment w:val="baseline"/>
        <w:rPr>
          <w:rFonts w:hint="eastAsia" w:ascii="宋体" w:hAnsi="宋体" w:eastAsia="宋体" w:cs="宋体"/>
          <w:b/>
          <w:sz w:val="24"/>
          <w:szCs w:val="24"/>
          <w:lang w:val="zh-CN"/>
        </w:rPr>
      </w:pPr>
      <w:r>
        <w:rPr>
          <w:rFonts w:hint="eastAsia" w:ascii="宋体" w:hAnsi="宋体" w:eastAsia="宋体" w:cs="宋体"/>
          <w:b/>
          <w:sz w:val="24"/>
          <w:szCs w:val="24"/>
          <w:lang w:val="en-US" w:eastAsia="zh-CN"/>
        </w:rPr>
        <w:t>4.</w:t>
      </w:r>
      <w:r>
        <w:rPr>
          <w:rFonts w:hint="eastAsia" w:ascii="宋体" w:hAnsi="宋体" w:eastAsia="宋体" w:cs="宋体"/>
          <w:b/>
          <w:sz w:val="24"/>
          <w:szCs w:val="24"/>
          <w:lang w:val="zh-CN"/>
        </w:rPr>
        <w:t>其他要说明的问题</w:t>
      </w:r>
    </w:p>
    <w:p w14:paraId="0CC91109">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Lines="0" w:afterLines="0" w:line="460" w:lineRule="exact"/>
        <w:ind w:left="0" w:leftChars="0" w:right="0" w:rightChars="0" w:firstLine="480" w:firstLineChars="200"/>
        <w:jc w:val="left"/>
        <w:textAlignment w:val="baseline"/>
        <w:rPr>
          <w:rFonts w:hint="eastAsia" w:ascii="宋体" w:hAnsi="宋体" w:eastAsia="宋体" w:cs="宋体"/>
          <w:sz w:val="24"/>
          <w:szCs w:val="24"/>
        </w:rPr>
      </w:pPr>
      <w:r>
        <w:rPr>
          <w:rFonts w:hint="eastAsia" w:ascii="宋体" w:hAnsi="宋体" w:eastAsia="宋体" w:cs="宋体"/>
          <w:snapToGrid w:val="0"/>
          <w:color w:val="000000"/>
          <w:sz w:val="24"/>
          <w:szCs w:val="24"/>
          <w:u w:val="none" w:color="auto"/>
          <w:lang w:val="en-US" w:eastAsia="zh-CN" w:bidi="ar-SA"/>
        </w:rPr>
        <w:t>4.</w:t>
      </w:r>
      <w:r>
        <w:rPr>
          <w:rFonts w:hint="default" w:ascii="宋体" w:hAnsi="宋体" w:eastAsia="宋体" w:cs="宋体"/>
          <w:snapToGrid w:val="0"/>
          <w:color w:val="000000"/>
          <w:sz w:val="24"/>
          <w:szCs w:val="24"/>
          <w:u w:val="none" w:color="auto"/>
          <w:lang w:val="en-US" w:eastAsia="en-US" w:bidi="ar-SA"/>
        </w:rPr>
        <w:t>1、</w:t>
      </w:r>
      <w:r>
        <w:rPr>
          <w:rFonts w:hint="eastAsia" w:ascii="宋体" w:hAnsi="宋体" w:eastAsia="宋体" w:cs="宋体"/>
          <w:sz w:val="24"/>
          <w:szCs w:val="24"/>
        </w:rPr>
        <w:t>运距综合考虑；</w:t>
      </w:r>
    </w:p>
    <w:p w14:paraId="368C3A05">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Lines="0" w:afterLines="0" w:line="460" w:lineRule="exact"/>
        <w:ind w:left="0" w:leftChars="0" w:right="0" w:rightChars="0" w:firstLine="480" w:firstLineChars="200"/>
        <w:jc w:val="left"/>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snapToGrid w:val="0"/>
          <w:color w:val="000000"/>
          <w:sz w:val="24"/>
          <w:szCs w:val="24"/>
          <w:u w:val="none" w:color="auto"/>
          <w:lang w:val="en-US" w:eastAsia="zh-CN" w:bidi="ar-SA"/>
        </w:rPr>
        <w:t>4.</w:t>
      </w:r>
      <w:r>
        <w:rPr>
          <w:rFonts w:hint="eastAsia" w:cs="宋体"/>
          <w:snapToGrid w:val="0"/>
          <w:color w:val="000000"/>
          <w:sz w:val="24"/>
          <w:szCs w:val="24"/>
          <w:u w:val="none" w:color="auto"/>
          <w:lang w:val="en-US" w:eastAsia="zh-CN" w:bidi="ar-SA"/>
        </w:rPr>
        <w:t>2</w:t>
      </w:r>
      <w:r>
        <w:rPr>
          <w:rFonts w:hint="default" w:ascii="宋体" w:hAnsi="宋体" w:eastAsia="宋体" w:cs="宋体"/>
          <w:snapToGrid w:val="0"/>
          <w:color w:val="000000"/>
          <w:sz w:val="24"/>
          <w:szCs w:val="24"/>
          <w:u w:val="none" w:color="auto"/>
          <w:lang w:val="en-US" w:eastAsia="zh-CN" w:bidi="ar-SA"/>
        </w:rPr>
        <w:t>、</w:t>
      </w:r>
      <w:r>
        <w:rPr>
          <w:rFonts w:hint="eastAsia" w:ascii="宋体" w:hAnsi="宋体" w:eastAsia="宋体" w:cs="宋体"/>
          <w:sz w:val="24"/>
          <w:szCs w:val="24"/>
        </w:rPr>
        <w:t>具体做法</w:t>
      </w:r>
      <w:r>
        <w:rPr>
          <w:rFonts w:hint="eastAsia" w:ascii="宋体" w:hAnsi="宋体" w:eastAsia="宋体" w:cs="宋体"/>
          <w:color w:val="auto"/>
          <w:sz w:val="24"/>
          <w:szCs w:val="24"/>
          <w:highlight w:val="none"/>
        </w:rPr>
        <w:t>及样式详</w:t>
      </w:r>
      <w:r>
        <w:rPr>
          <w:rFonts w:hint="eastAsia" w:cs="宋体"/>
          <w:color w:val="auto"/>
          <w:sz w:val="24"/>
          <w:szCs w:val="24"/>
          <w:highlight w:val="none"/>
          <w:lang w:val="en-US" w:eastAsia="zh-CN"/>
        </w:rPr>
        <w:t>见</w:t>
      </w:r>
      <w:r>
        <w:rPr>
          <w:rFonts w:hint="eastAsia" w:ascii="宋体" w:hAnsi="宋体" w:eastAsia="宋体" w:cs="宋体"/>
          <w:color w:val="auto"/>
          <w:sz w:val="24"/>
          <w:szCs w:val="24"/>
          <w:highlight w:val="none"/>
        </w:rPr>
        <w:t>图纸。</w:t>
      </w:r>
    </w:p>
    <w:p w14:paraId="58C4C7EB">
      <w:pPr>
        <w:kinsoku/>
        <w:rPr>
          <w:rFonts w:hint="eastAsia"/>
          <w:b/>
          <w:bCs/>
          <w:color w:val="auto"/>
          <w:highlight w:val="none"/>
          <w:lang w:eastAsia="zh-CN"/>
        </w:rPr>
      </w:pPr>
      <w:r>
        <w:rPr>
          <w:rFonts w:hint="eastAsia"/>
          <w:b/>
          <w:bCs/>
          <w:color w:val="auto"/>
          <w:highlight w:val="none"/>
          <w:lang w:eastAsia="zh-CN"/>
        </w:rPr>
        <w:t>（</w:t>
      </w:r>
      <w:r>
        <w:rPr>
          <w:rFonts w:hint="eastAsia"/>
          <w:b/>
          <w:bCs/>
          <w:color w:val="auto"/>
          <w:highlight w:val="none"/>
          <w:lang w:val="en-US" w:eastAsia="zh-CN"/>
        </w:rPr>
        <w:t>二</w:t>
      </w:r>
      <w:r>
        <w:rPr>
          <w:rFonts w:hint="eastAsia"/>
          <w:b/>
          <w:bCs/>
          <w:color w:val="auto"/>
          <w:highlight w:val="none"/>
          <w:lang w:eastAsia="zh-CN"/>
        </w:rPr>
        <w:t>）工程量清单及图纸（详见附件）</w:t>
      </w:r>
    </w:p>
    <w:p w14:paraId="42289E5B">
      <w:pPr>
        <w:kinsoku/>
        <w:rPr>
          <w:rFonts w:hint="eastAsia"/>
          <w:b/>
          <w:bCs/>
          <w:highlight w:val="none"/>
          <w:lang w:val="en-US" w:eastAsia="zh-CN"/>
        </w:rPr>
      </w:pPr>
      <w:r>
        <w:rPr>
          <w:rFonts w:hint="eastAsia"/>
          <w:b/>
          <w:bCs/>
          <w:highlight w:val="none"/>
          <w:lang w:eastAsia="zh-CN"/>
        </w:rPr>
        <w:t>（</w:t>
      </w:r>
      <w:r>
        <w:rPr>
          <w:rFonts w:hint="eastAsia"/>
          <w:b/>
          <w:bCs/>
          <w:highlight w:val="none"/>
          <w:lang w:val="en-US" w:eastAsia="zh-CN"/>
        </w:rPr>
        <w:t>三</w:t>
      </w:r>
      <w:r>
        <w:rPr>
          <w:rFonts w:hint="eastAsia"/>
          <w:b/>
          <w:bCs/>
          <w:highlight w:val="none"/>
          <w:lang w:eastAsia="zh-CN"/>
        </w:rPr>
        <w:t>）</w:t>
      </w:r>
      <w:r>
        <w:rPr>
          <w:rFonts w:hint="eastAsia"/>
          <w:b/>
          <w:bCs/>
          <w:highlight w:val="none"/>
          <w:lang w:val="en-US" w:eastAsia="zh-CN"/>
        </w:rPr>
        <w:t>其他要求</w:t>
      </w:r>
    </w:p>
    <w:p w14:paraId="11BF2CA9">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Lines="0" w:afterLines="0" w:line="460" w:lineRule="exact"/>
        <w:ind w:right="0" w:rightChars="0" w:firstLine="240" w:firstLineChars="100"/>
        <w:jc w:val="left"/>
        <w:textAlignment w:val="baseline"/>
        <w:rPr>
          <w:rFonts w:hint="default" w:ascii="宋体" w:hAnsi="宋体" w:eastAsia="宋体" w:cs="宋体"/>
          <w:b w:val="0"/>
          <w:bCs w:val="0"/>
          <w:color w:val="auto"/>
          <w:sz w:val="28"/>
          <w:szCs w:val="28"/>
          <w:highlight w:val="none"/>
          <w:lang w:val="en-US" w:eastAsia="zh-CN"/>
        </w:rPr>
      </w:pPr>
      <w:r>
        <w:rPr>
          <w:rFonts w:hint="eastAsia" w:cs="宋体"/>
          <w:b w:val="0"/>
          <w:bCs w:val="0"/>
          <w:color w:val="auto"/>
          <w:sz w:val="24"/>
          <w:szCs w:val="24"/>
          <w:highlight w:val="none"/>
          <w:lang w:val="en-US" w:eastAsia="zh-CN"/>
        </w:rPr>
        <w:t>1.</w:t>
      </w:r>
      <w:r>
        <w:rPr>
          <w:rFonts w:hint="eastAsia" w:ascii="宋体" w:hAnsi="宋体" w:eastAsia="宋体" w:cs="宋体"/>
          <w:b w:val="0"/>
          <w:bCs w:val="0"/>
          <w:color w:val="auto"/>
          <w:sz w:val="24"/>
          <w:szCs w:val="24"/>
          <w:highlight w:val="none"/>
          <w:lang w:val="en-US" w:eastAsia="zh-CN"/>
        </w:rPr>
        <w:t>磋商文件工程量清单中的安全生产措施费、税金、暂列金、暂估价均属于不可竞争费，不得让利，否则视为无效响应。</w:t>
      </w:r>
    </w:p>
    <w:p w14:paraId="328723D8">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Lines="0" w:afterLines="0" w:line="460" w:lineRule="exact"/>
        <w:ind w:right="0" w:rightChars="0" w:firstLine="240" w:firstLineChars="100"/>
        <w:jc w:val="left"/>
        <w:textAlignment w:val="baseline"/>
        <w:rPr>
          <w:rFonts w:hint="eastAsia" w:cs="Times New Roman"/>
          <w:b w:val="0"/>
          <w:bCs/>
          <w:snapToGrid/>
          <w:kern w:val="2"/>
          <w:lang w:val="en-US" w:eastAsia="zh-CN"/>
        </w:rPr>
      </w:pPr>
      <w:r>
        <w:rPr>
          <w:rFonts w:hint="eastAsia" w:cs="Times New Roman"/>
          <w:b w:val="0"/>
          <w:bCs/>
          <w:snapToGrid/>
          <w:kern w:val="2"/>
          <w:lang w:val="en-US" w:eastAsia="zh-CN"/>
        </w:rPr>
        <w:t>2.供应商须拟派不少于10人的施工团队。</w:t>
      </w:r>
    </w:p>
    <w:p w14:paraId="29757252">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Lines="0" w:afterLines="0" w:line="460" w:lineRule="exact"/>
        <w:ind w:right="0" w:rightChars="0" w:firstLine="240" w:firstLineChars="100"/>
        <w:jc w:val="left"/>
        <w:textAlignment w:val="baseline"/>
        <w:rPr>
          <w:rFonts w:hint="eastAsia" w:cs="Times New Roman"/>
          <w:b w:val="0"/>
          <w:bCs/>
          <w:snapToGrid/>
          <w:kern w:val="2"/>
          <w:lang w:val="en-US" w:eastAsia="zh-CN"/>
        </w:rPr>
      </w:pPr>
      <w:r>
        <w:rPr>
          <w:rFonts w:hint="eastAsia" w:cs="Times New Roman"/>
          <w:b w:val="0"/>
          <w:bCs/>
          <w:snapToGrid/>
          <w:kern w:val="2"/>
          <w:lang w:val="en-US" w:eastAsia="zh-CN"/>
        </w:rPr>
        <w:t>3.材料要求</w:t>
      </w:r>
    </w:p>
    <w:p w14:paraId="6EB2B87C">
      <w:pPr>
        <w:keepNext w:val="0"/>
        <w:keepLines w:val="0"/>
        <w:pageBreakBefore w:val="0"/>
        <w:widowControl/>
        <w:kinsoku/>
        <w:wordWrap/>
        <w:overflowPunct/>
        <w:topLinePunct w:val="0"/>
        <w:autoSpaceDE w:val="0"/>
        <w:autoSpaceDN w:val="0"/>
        <w:bidi w:val="0"/>
        <w:adjustRightInd w:val="0"/>
        <w:snapToGrid w:val="0"/>
        <w:ind w:firstLine="480" w:firstLineChars="200"/>
        <w:textAlignment w:val="baseline"/>
        <w:rPr>
          <w:rFonts w:hint="eastAsia" w:cs="Times New Roman"/>
          <w:b w:val="0"/>
          <w:bCs/>
          <w:snapToGrid/>
          <w:kern w:val="2"/>
          <w:lang w:val="en-US" w:eastAsia="zh-CN"/>
        </w:rPr>
      </w:pPr>
      <w:r>
        <w:rPr>
          <w:rFonts w:hint="eastAsia" w:cs="Times New Roman"/>
          <w:b w:val="0"/>
          <w:bCs/>
          <w:snapToGrid/>
          <w:kern w:val="2"/>
          <w:lang w:val="en-US" w:eastAsia="zh-CN"/>
        </w:rPr>
        <w:t>3.1、地胶依据GB/T 21866检测要求测试，对大肠杆菌、金黄色葡萄球菌抗菌率≥99%；依据GB/T 11982.1-2015《聚氯乙烯卷材地板》检测要求测试，地胶具有耐磨、防滑、防火、耐消毒液腐蚀。</w:t>
      </w:r>
    </w:p>
    <w:p w14:paraId="23E56EDB">
      <w:pPr>
        <w:keepNext w:val="0"/>
        <w:keepLines w:val="0"/>
        <w:pageBreakBefore w:val="0"/>
        <w:widowControl/>
        <w:kinsoku/>
        <w:wordWrap/>
        <w:overflowPunct/>
        <w:topLinePunct w:val="0"/>
        <w:autoSpaceDE w:val="0"/>
        <w:autoSpaceDN w:val="0"/>
        <w:bidi w:val="0"/>
        <w:adjustRightInd w:val="0"/>
        <w:snapToGrid w:val="0"/>
        <w:ind w:firstLine="480" w:firstLineChars="200"/>
        <w:textAlignment w:val="baseline"/>
        <w:rPr>
          <w:rFonts w:hint="eastAsia" w:cs="Times New Roman"/>
          <w:b w:val="0"/>
          <w:bCs/>
          <w:snapToGrid/>
          <w:kern w:val="2"/>
          <w:lang w:val="en-US" w:eastAsia="zh-CN"/>
        </w:rPr>
      </w:pPr>
      <w:r>
        <w:rPr>
          <w:rFonts w:hint="eastAsia" w:cs="Times New Roman"/>
          <w:b w:val="0"/>
          <w:bCs/>
          <w:snapToGrid/>
          <w:kern w:val="2"/>
          <w:lang w:val="en-US" w:eastAsia="zh-CN"/>
        </w:rPr>
        <w:t>3.2、板材依据GB/T 39600-2021《人造板及其制品甲醛释放量分级》，</w:t>
      </w:r>
      <w:r>
        <w:rPr>
          <w:rFonts w:hint="eastAsia" w:cs="宋体"/>
          <w:b w:val="0"/>
          <w:bCs w:val="0"/>
          <w:color w:val="auto"/>
          <w:spacing w:val="18"/>
          <w:sz w:val="24"/>
          <w:szCs w:val="24"/>
          <w:highlight w:val="none"/>
          <w:lang w:val="en-US" w:eastAsia="zh-CN"/>
        </w:rPr>
        <w:t>板材甲醛释放限量值≤0.025mg/m</w:t>
      </w:r>
      <w:r>
        <w:rPr>
          <w:rFonts w:hint="eastAsia" w:cs="宋体"/>
          <w:b w:val="0"/>
          <w:bCs w:val="0"/>
          <w:color w:val="auto"/>
          <w:spacing w:val="18"/>
          <w:sz w:val="24"/>
          <w:szCs w:val="24"/>
          <w:highlight w:val="none"/>
          <w:vertAlign w:val="superscript"/>
          <w:lang w:val="en-US" w:eastAsia="zh-CN"/>
        </w:rPr>
        <w:t>3</w:t>
      </w:r>
      <w:r>
        <w:rPr>
          <w:rFonts w:hint="eastAsia" w:cs="宋体"/>
          <w:b w:val="0"/>
          <w:bCs w:val="0"/>
          <w:color w:val="auto"/>
          <w:spacing w:val="18"/>
          <w:sz w:val="24"/>
          <w:szCs w:val="24"/>
          <w:highlight w:val="none"/>
          <w:lang w:val="en-US" w:eastAsia="zh-CN"/>
        </w:rPr>
        <w:t>，甲醛释放限量等级为E</w:t>
      </w:r>
      <w:r>
        <w:rPr>
          <w:rFonts w:hint="eastAsia" w:cs="宋体"/>
          <w:b w:val="0"/>
          <w:bCs w:val="0"/>
          <w:color w:val="auto"/>
          <w:spacing w:val="18"/>
          <w:sz w:val="24"/>
          <w:szCs w:val="24"/>
          <w:highlight w:val="none"/>
          <w:vertAlign w:val="subscript"/>
          <w:lang w:val="en-US" w:eastAsia="zh-CN"/>
        </w:rPr>
        <w:t>NF</w:t>
      </w:r>
      <w:r>
        <w:rPr>
          <w:rFonts w:hint="eastAsia" w:cs="宋体"/>
          <w:b w:val="0"/>
          <w:bCs w:val="0"/>
          <w:color w:val="auto"/>
          <w:spacing w:val="18"/>
          <w:sz w:val="24"/>
          <w:szCs w:val="24"/>
          <w:highlight w:val="none"/>
          <w:lang w:val="en-US" w:eastAsia="zh-CN"/>
        </w:rPr>
        <w:t>级</w:t>
      </w:r>
      <w:r>
        <w:rPr>
          <w:rFonts w:hint="eastAsia" w:cs="Times New Roman"/>
          <w:b w:val="0"/>
          <w:bCs/>
          <w:snapToGrid/>
          <w:kern w:val="2"/>
          <w:lang w:val="en-US" w:eastAsia="zh-CN"/>
        </w:rPr>
        <w:t>；依据GB 18580-2025《室内装饰装修材料 人造板及其制品中甲醛释放限量》，人造板制品甲醛释放限量值≤0.05mg/m</w:t>
      </w:r>
      <w:r>
        <w:rPr>
          <w:rFonts w:hint="eastAsia" w:cs="Times New Roman"/>
          <w:b w:val="0"/>
          <w:bCs/>
          <w:snapToGrid/>
          <w:kern w:val="2"/>
          <w:vertAlign w:val="superscript"/>
          <w:lang w:val="en-US" w:eastAsia="zh-CN"/>
        </w:rPr>
        <w:t>3</w:t>
      </w:r>
      <w:r>
        <w:rPr>
          <w:rFonts w:hint="eastAsia" w:cs="Times New Roman"/>
          <w:b w:val="0"/>
          <w:bCs/>
          <w:snapToGrid/>
          <w:kern w:val="2"/>
          <w:lang w:val="en-US" w:eastAsia="zh-CN"/>
        </w:rPr>
        <w:t>，人造板甲醛释放限量值≤0.124mg/m</w:t>
      </w:r>
      <w:r>
        <w:rPr>
          <w:rFonts w:hint="eastAsia" w:cs="Times New Roman"/>
          <w:b w:val="0"/>
          <w:bCs/>
          <w:snapToGrid/>
          <w:kern w:val="2"/>
          <w:vertAlign w:val="superscript"/>
          <w:lang w:val="en-US" w:eastAsia="zh-CN"/>
        </w:rPr>
        <w:t>3</w:t>
      </w:r>
      <w:r>
        <w:rPr>
          <w:rFonts w:hint="eastAsia" w:cs="Times New Roman"/>
          <w:b w:val="0"/>
          <w:bCs/>
          <w:snapToGrid/>
          <w:kern w:val="2"/>
          <w:lang w:val="en-US" w:eastAsia="zh-CN"/>
        </w:rPr>
        <w:t>。</w:t>
      </w:r>
    </w:p>
    <w:p w14:paraId="579BB0BC">
      <w:pPr>
        <w:keepNext w:val="0"/>
        <w:keepLines w:val="0"/>
        <w:pageBreakBefore w:val="0"/>
        <w:widowControl/>
        <w:kinsoku/>
        <w:wordWrap/>
        <w:overflowPunct/>
        <w:topLinePunct w:val="0"/>
        <w:autoSpaceDE w:val="0"/>
        <w:autoSpaceDN w:val="0"/>
        <w:bidi w:val="0"/>
        <w:adjustRightInd w:val="0"/>
        <w:snapToGrid w:val="0"/>
        <w:ind w:firstLine="480" w:firstLineChars="200"/>
        <w:textAlignment w:val="baseline"/>
        <w:rPr>
          <w:rFonts w:hint="default" w:cs="Times New Roman"/>
          <w:b w:val="0"/>
          <w:bCs/>
          <w:snapToGrid/>
          <w:kern w:val="2"/>
          <w:lang w:val="en-US" w:eastAsia="zh-CN"/>
        </w:rPr>
      </w:pPr>
      <w:r>
        <w:rPr>
          <w:rFonts w:hint="eastAsia" w:cs="Times New Roman"/>
          <w:b w:val="0"/>
          <w:bCs/>
          <w:snapToGrid/>
          <w:kern w:val="2"/>
          <w:lang w:val="en-US" w:eastAsia="zh-CN"/>
        </w:rPr>
        <w:t>3.3、涂料依据GB 30981.1-2025《涂料中有害物质限量 第1部分：建筑涂料》，需满足内墙底漆及【平涂涂料光泽（60°）≤10GU】的VOC含量≤50g/L，质感涂料、【平涂涂料光泽（60°）＞10GU】、罩光清漆 VOC≤80g/L，甲醛含量≤50mg/kg，苯系物总和≤100mg/kg。</w:t>
      </w:r>
    </w:p>
    <w:p w14:paraId="5CDA6471">
      <w:pPr>
        <w:keepNext w:val="0"/>
        <w:keepLines w:val="0"/>
        <w:pageBreakBefore w:val="0"/>
        <w:widowControl/>
        <w:kinsoku/>
        <w:wordWrap/>
        <w:overflowPunct/>
        <w:topLinePunct w:val="0"/>
        <w:autoSpaceDE w:val="0"/>
        <w:autoSpaceDN w:val="0"/>
        <w:bidi w:val="0"/>
        <w:adjustRightInd w:val="0"/>
        <w:snapToGrid w:val="0"/>
        <w:ind w:firstLine="480" w:firstLineChars="200"/>
        <w:textAlignment w:val="baseline"/>
        <w:rPr>
          <w:rFonts w:hint="eastAsia" w:cs="Times New Roman"/>
          <w:b w:val="0"/>
          <w:bCs/>
          <w:snapToGrid/>
          <w:kern w:val="2"/>
          <w:lang w:val="en-US" w:eastAsia="zh-CN"/>
        </w:rPr>
      </w:pPr>
      <w:r>
        <w:rPr>
          <w:rFonts w:hint="eastAsia" w:cs="Times New Roman"/>
          <w:b w:val="0"/>
          <w:bCs/>
          <w:snapToGrid/>
          <w:kern w:val="2"/>
          <w:lang w:val="en-US" w:eastAsia="zh-CN"/>
        </w:rPr>
        <w:t>3.4、铝合金符合GB/T 5237.6-2017《铝合金建筑型材 第6部分：隔热型材》。</w:t>
      </w:r>
    </w:p>
    <w:p w14:paraId="0121BB31">
      <w:pPr>
        <w:keepNext w:val="0"/>
        <w:keepLines w:val="0"/>
        <w:pageBreakBefore w:val="0"/>
        <w:widowControl/>
        <w:kinsoku/>
        <w:wordWrap/>
        <w:overflowPunct/>
        <w:topLinePunct w:val="0"/>
        <w:autoSpaceDE w:val="0"/>
        <w:autoSpaceDN w:val="0"/>
        <w:bidi w:val="0"/>
        <w:adjustRightInd w:val="0"/>
        <w:snapToGrid w:val="0"/>
        <w:ind w:firstLine="480" w:firstLineChars="200"/>
        <w:textAlignment w:val="baseline"/>
        <w:rPr>
          <w:rFonts w:hint="eastAsia" w:cs="Times New Roman"/>
          <w:b w:val="0"/>
          <w:bCs/>
          <w:snapToGrid/>
          <w:kern w:val="2"/>
          <w:lang w:val="en-US" w:eastAsia="zh-CN"/>
        </w:rPr>
      </w:pPr>
      <w:r>
        <w:rPr>
          <w:rFonts w:hint="eastAsia" w:cs="Times New Roman"/>
          <w:b w:val="0"/>
          <w:bCs/>
          <w:snapToGrid/>
          <w:kern w:val="2"/>
          <w:lang w:val="en-US" w:eastAsia="zh-CN"/>
        </w:rPr>
        <w:t>4.采购人有权对成交供应商在本项目现场所提供的材料送第三方检测机构检测，检测费用由成交供应商承担。如检测数据表明材料不合格，</w:t>
      </w:r>
      <w:bookmarkStart w:id="0" w:name="_GoBack"/>
      <w:bookmarkEnd w:id="0"/>
      <w:r>
        <w:rPr>
          <w:rFonts w:hint="eastAsia" w:cs="Times New Roman"/>
          <w:b w:val="0"/>
          <w:bCs/>
          <w:snapToGrid/>
          <w:kern w:val="2"/>
          <w:lang w:val="en-US" w:eastAsia="zh-CN"/>
        </w:rPr>
        <w:t>成交供应商须在3日内更换合格材料，若成交供应商执意使用不合格材料，则该分项工程不计入结算范围，且采购人有权单方面终止合同，并不退回其履约保证金，因此造成的损失由成交供应商承担。</w:t>
      </w:r>
    </w:p>
    <w:p w14:paraId="66C407A2">
      <w:pPr>
        <w:rPr>
          <w:lang w:eastAsia="zh-CN"/>
        </w:rPr>
      </w:pPr>
      <w:r>
        <w:rPr>
          <w:rFonts w:hint="eastAsia" w:cs="Times New Roman"/>
          <w:b/>
          <w:snapToGrid/>
          <w:kern w:val="2"/>
          <w:lang w:eastAsia="zh-CN"/>
        </w:rPr>
        <w:t>注：以上“技术要求”为实质性要求，必须完全满足，否则响应无效。</w:t>
      </w:r>
    </w:p>
    <w:p w14:paraId="4042BD14">
      <w:pPr>
        <w:rPr>
          <w:rFonts w:hint="eastAsia" w:cs="Times New Roman"/>
          <w:b w:val="0"/>
          <w:bCs/>
          <w:snapToGrid/>
          <w:kern w:val="2"/>
          <w:lang w:val="en-US" w:eastAsia="zh-CN"/>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B922F8"/>
    <w:rsid w:val="22515385"/>
    <w:rsid w:val="4F8D36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460" w:lineRule="exact"/>
      <w:textAlignment w:val="baseline"/>
    </w:pPr>
    <w:rPr>
      <w:rFonts w:ascii="宋体" w:hAnsi="宋体" w:eastAsia="宋体" w:cs="宋体"/>
      <w:snapToGrid w:val="0"/>
      <w:color w:val="000000"/>
      <w:sz w:val="24"/>
      <w:szCs w:val="21"/>
      <w:lang w:val="en-US" w:eastAsia="en-US" w:bidi="ar-SA"/>
    </w:rPr>
  </w:style>
  <w:style w:type="paragraph" w:styleId="2">
    <w:name w:val="heading 2"/>
    <w:basedOn w:val="1"/>
    <w:next w:val="1"/>
    <w:qFormat/>
    <w:uiPriority w:val="0"/>
    <w:pPr>
      <w:keepNext/>
      <w:keepLines/>
      <w:kinsoku/>
      <w:outlineLvl w:val="1"/>
    </w:pPr>
    <w:rPr>
      <w:b/>
      <w:bCs/>
      <w:szCs w:val="32"/>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100" w:beforeAutospacing="1" w:after="100" w:afterAutospacing="1"/>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2026-06-24T10:59:09Z</dcterms:created>
  <dc:creator>Administrator</dc:creator>
  <cp:lastModifiedBy>豆沙包</cp:lastModifiedBy>
  <dcterms:modified xsi:type="dcterms:W3CDTF">2026-06-24T10:59:35Z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eyJoZGlkIjoiYjJiNzVjNzgwYzA4MTc0NTU4YTRjOTBmMTA3ZjIyNmIiLCJ1c2VySWQiOiI0NTczODY4MTgifQ==</vt:lpwstr>
  </property>
  <property fmtid="{D5CDD505-2E9C-101B-9397-08002B2CF9AE}" pid="4" name="ICV">
    <vt:lpwstr>86A47093CC18427386171A9C42678849_12</vt:lpwstr>
  </property>
</Properties>
</file>