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outlineLvl w:val="0"/>
        <w:rPr>
          <w:rFonts w:ascii="宋体" w:hAnsi="宋体" w:eastAsia="宋体" w:cs="宋体"/>
          <w:color w:val="auto"/>
          <w:spacing w:val="0"/>
          <w:position w:val="0"/>
          <w:sz w:val="31"/>
          <w:szCs w:val="31"/>
          <w:highlight w:val="none"/>
          <w:lang w:eastAsia="zh-CN"/>
        </w:rPr>
      </w:pPr>
      <w:bookmarkStart w:id="0" w:name="_Toc4489"/>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position w:val="0"/>
          <w:sz w:val="31"/>
          <w:szCs w:val="31"/>
          <w:highlight w:val="none"/>
          <w:lang w:eastAsia="zh-CN"/>
        </w:rPr>
        <w:t xml:space="preserve">  </w:t>
      </w:r>
      <w:r>
        <w:rPr>
          <w:rFonts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采购需求</w:t>
      </w:r>
      <w:bookmarkEnd w:id="0"/>
    </w:p>
    <w:p w14:paraId="30E6CAC8">
      <w:pPr>
        <w:pageBreakBefore w:val="0"/>
        <w:widowControl w:val="0"/>
        <w:wordWrap/>
        <w:overflowPunct/>
        <w:topLinePunct w:val="0"/>
        <w:bidi w:val="0"/>
        <w:spacing w:line="309" w:lineRule="auto"/>
        <w:rPr>
          <w:color w:val="auto"/>
          <w:spacing w:val="0"/>
          <w:position w:val="0"/>
          <w:highlight w:val="none"/>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highlight w:val="none"/>
        </w:rPr>
      </w:pPr>
      <w:bookmarkStart w:id="1" w:name="_Toc6689"/>
      <w:bookmarkStart w:id="2" w:name="_Toc4443"/>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需求表</w:t>
      </w:r>
      <w:bookmarkEnd w:id="1"/>
      <w:bookmarkEnd w:id="2"/>
    </w:p>
    <w:p w14:paraId="5F739219">
      <w:pPr>
        <w:pageBreakBefore w:val="0"/>
        <w:widowControl w:val="0"/>
        <w:wordWrap/>
        <w:overflowPunct/>
        <w:topLinePunct w:val="0"/>
        <w:bidi w:val="0"/>
        <w:spacing w:before="64"/>
        <w:rPr>
          <w:color w:val="auto"/>
          <w:spacing w:val="0"/>
          <w:position w:val="0"/>
          <w:highlight w:val="none"/>
        </w:rPr>
      </w:pPr>
    </w:p>
    <w:tbl>
      <w:tblPr>
        <w:tblStyle w:val="6"/>
        <w:tblW w:w="9015" w:type="dxa"/>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highlight w:val="none"/>
              </w:rPr>
            </w:pPr>
            <w:bookmarkStart w:id="6" w:name="_GoBack"/>
            <w:r>
              <w:rPr>
                <w:color w:val="auto"/>
                <w:spacing w:val="0"/>
                <w:position w:val="0"/>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bookmarkEnd w:id="6"/>
            <w:r>
              <w:rPr>
                <w:rFonts w:ascii="宋体" w:hAnsi="宋体" w:eastAsia="宋体" w:cs="宋体"/>
                <w:color w:val="auto"/>
                <w:spacing w:val="0"/>
                <w:position w:val="0"/>
                <w:sz w:val="24"/>
                <w:szCs w:val="24"/>
                <w:highlight w:val="none"/>
              </w:rPr>
              <w:t>名</w:t>
            </w:r>
          </w:p>
          <w:p w14:paraId="7F4DE6C5">
            <w:pPr>
              <w:pStyle w:val="7"/>
              <w:pageBreakBefore w:val="0"/>
              <w:widowControl w:val="0"/>
              <w:wordWrap/>
              <w:overflowPunct/>
              <w:topLinePunct w:val="0"/>
              <w:bidi w:val="0"/>
              <w:spacing w:line="245" w:lineRule="auto"/>
              <w:rPr>
                <w:color w:val="auto"/>
                <w:spacing w:val="0"/>
                <w:position w:val="0"/>
                <w:highlight w:val="none"/>
              </w:rPr>
            </w:pPr>
          </w:p>
          <w:p w14:paraId="48CD3627">
            <w:pPr>
              <w:pStyle w:val="7"/>
              <w:pageBreakBefore w:val="0"/>
              <w:widowControl w:val="0"/>
              <w:wordWrap/>
              <w:overflowPunct/>
              <w:topLinePunct w:val="0"/>
              <w:bidi w:val="0"/>
              <w:spacing w:line="246" w:lineRule="auto"/>
              <w:rPr>
                <w:color w:val="auto"/>
                <w:spacing w:val="0"/>
                <w:position w:val="0"/>
                <w:highlight w:val="none"/>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内</w:t>
            </w:r>
          </w:p>
          <w:p w14:paraId="28E8E994">
            <w:pPr>
              <w:pStyle w:val="7"/>
              <w:pageBreakBefore w:val="0"/>
              <w:widowControl w:val="0"/>
              <w:wordWrap/>
              <w:overflowPunct/>
              <w:topLinePunct w:val="0"/>
              <w:bidi w:val="0"/>
              <w:spacing w:line="338" w:lineRule="auto"/>
              <w:rPr>
                <w:color w:val="auto"/>
                <w:spacing w:val="0"/>
                <w:position w:val="0"/>
                <w:highlight w:val="none"/>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容</w:t>
            </w:r>
          </w:p>
        </w:tc>
        <w:tc>
          <w:tcPr>
            <w:tcW w:w="817" w:type="dxa"/>
            <w:tcBorders>
              <w:left w:val="nil"/>
            </w:tcBorders>
          </w:tcPr>
          <w:p w14:paraId="32FF109B">
            <w:pPr>
              <w:pStyle w:val="7"/>
              <w:pageBreakBefore w:val="0"/>
              <w:widowControl w:val="0"/>
              <w:wordWrap/>
              <w:overflowPunct/>
              <w:topLinePunct w:val="0"/>
              <w:bidi w:val="0"/>
              <w:spacing w:line="263" w:lineRule="auto"/>
              <w:rPr>
                <w:color w:val="auto"/>
                <w:spacing w:val="0"/>
                <w:position w:val="0"/>
                <w:highlight w:val="none"/>
              </w:rPr>
            </w:pPr>
          </w:p>
          <w:p w14:paraId="05E0F17E">
            <w:pPr>
              <w:pStyle w:val="7"/>
              <w:pageBreakBefore w:val="0"/>
              <w:widowControl w:val="0"/>
              <w:wordWrap/>
              <w:overflowPunct/>
              <w:topLinePunct w:val="0"/>
              <w:bidi w:val="0"/>
              <w:spacing w:line="263" w:lineRule="auto"/>
              <w:rPr>
                <w:color w:val="auto"/>
                <w:spacing w:val="0"/>
                <w:position w:val="0"/>
                <w:highlight w:val="none"/>
              </w:rPr>
            </w:pPr>
          </w:p>
          <w:p w14:paraId="309D1F5B">
            <w:pPr>
              <w:pStyle w:val="7"/>
              <w:pageBreakBefore w:val="0"/>
              <w:widowControl w:val="0"/>
              <w:wordWrap/>
              <w:overflowPunct/>
              <w:topLinePunct w:val="0"/>
              <w:bidi w:val="0"/>
              <w:spacing w:line="264" w:lineRule="auto"/>
              <w:rPr>
                <w:color w:val="auto"/>
                <w:spacing w:val="0"/>
                <w:position w:val="0"/>
                <w:highlight w:val="none"/>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称</w:t>
            </w:r>
          </w:p>
        </w:tc>
        <w:tc>
          <w:tcPr>
            <w:tcW w:w="6150" w:type="dxa"/>
            <w:vAlign w:val="center"/>
          </w:tcPr>
          <w:p w14:paraId="0E11B00B">
            <w:pPr>
              <w:pStyle w:val="7"/>
              <w:pageBreakBefore w:val="0"/>
              <w:widowControl w:val="0"/>
              <w:wordWrap/>
              <w:overflowPunct/>
              <w:topLinePunct w:val="0"/>
              <w:bidi w:val="0"/>
              <w:jc w:val="center"/>
              <w:rPr>
                <w:color w:val="auto"/>
                <w:spacing w:val="0"/>
                <w:position w:val="0"/>
                <w:highlight w:val="none"/>
              </w:rPr>
            </w:pPr>
            <w:r>
              <w:rPr>
                <w:rFonts w:hint="eastAsia" w:ascii="宋体" w:hAnsi="宋体" w:eastAsia="宋体" w:cs="宋体"/>
                <w:color w:val="auto"/>
                <w:spacing w:val="0"/>
                <w:position w:val="0"/>
                <w:sz w:val="24"/>
                <w:szCs w:val="24"/>
                <w:highlight w:val="none"/>
                <w:lang w:eastAsia="zh-CN"/>
              </w:rPr>
              <w:t>足球U系列省队全运会备战参赛和足球青少年竞赛服务项目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数量</w:t>
            </w:r>
          </w:p>
        </w:tc>
        <w:tc>
          <w:tcPr>
            <w:tcW w:w="6150" w:type="dxa"/>
            <w:vAlign w:val="center"/>
          </w:tcPr>
          <w:p w14:paraId="2F349A5E">
            <w:pPr>
              <w:pStyle w:val="7"/>
              <w:pageBreakBefore w:val="0"/>
              <w:widowControl w:val="0"/>
              <w:wordWrap/>
              <w:overflowPunct/>
              <w:topLinePunct w:val="0"/>
              <w:bidi w:val="0"/>
              <w:jc w:val="center"/>
              <w:rPr>
                <w:rFonts w:hint="default" w:eastAsia="宋体"/>
                <w:color w:val="auto"/>
                <w:spacing w:val="0"/>
                <w:position w:val="0"/>
                <w:highlight w:val="none"/>
                <w:lang w:val="en-US" w:eastAsia="zh-CN"/>
              </w:rPr>
            </w:pPr>
            <w:r>
              <w:rPr>
                <w:rFonts w:hint="eastAsia" w:eastAsia="宋体"/>
                <w:color w:val="auto"/>
                <w:spacing w:val="0"/>
                <w:position w:val="0"/>
                <w:highlight w:val="none"/>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期</w:t>
            </w:r>
          </w:p>
        </w:tc>
        <w:tc>
          <w:tcPr>
            <w:tcW w:w="6150" w:type="dxa"/>
            <w:vAlign w:val="center"/>
          </w:tcPr>
          <w:p w14:paraId="25152DAD">
            <w:pPr>
              <w:pStyle w:val="7"/>
              <w:pageBreakBefore w:val="0"/>
              <w:widowControl w:val="0"/>
              <w:wordWrap/>
              <w:overflowPunct/>
              <w:topLinePunct w:val="0"/>
              <w:bidi w:val="0"/>
              <w:jc w:val="center"/>
              <w:rPr>
                <w:color w:val="auto"/>
                <w:spacing w:val="0"/>
                <w:position w:val="0"/>
                <w:highlight w:val="none"/>
              </w:rPr>
            </w:pPr>
            <w:r>
              <w:rPr>
                <w:rFonts w:hint="eastAsia" w:ascii="宋体" w:hAnsi="宋体" w:eastAsia="宋体" w:cs="宋体"/>
                <w:color w:val="auto"/>
                <w:spacing w:val="0"/>
                <w:position w:val="0"/>
                <w:sz w:val="24"/>
                <w:szCs w:val="24"/>
                <w:highlight w:val="none"/>
                <w:lang w:eastAsia="zh-CN"/>
              </w:rPr>
              <w:t>自合同签订生效之日起至2026年12月31日前完成所有服务事项，并经采购人确认合格</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地点</w:t>
            </w:r>
          </w:p>
        </w:tc>
        <w:tc>
          <w:tcPr>
            <w:tcW w:w="6150" w:type="dxa"/>
            <w:vAlign w:val="center"/>
          </w:tcPr>
          <w:p w14:paraId="6AF95DC6">
            <w:pPr>
              <w:pStyle w:val="7"/>
              <w:pageBreakBefore w:val="0"/>
              <w:widowControl w:val="0"/>
              <w:wordWrap/>
              <w:overflowPunct/>
              <w:topLinePunct w:val="0"/>
              <w:bidi w:val="0"/>
              <w:jc w:val="center"/>
              <w:rPr>
                <w:color w:val="auto"/>
                <w:spacing w:val="0"/>
                <w:position w:val="0"/>
                <w:highlight w:val="none"/>
              </w:rPr>
            </w:pPr>
            <w:r>
              <w:rPr>
                <w:rFonts w:hint="eastAsia"/>
                <w:color w:val="auto"/>
                <w:spacing w:val="0"/>
                <w:position w:val="0"/>
                <w:highlight w:val="none"/>
              </w:rPr>
              <w:t>采购人指定地点。</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备注</w:t>
            </w:r>
          </w:p>
        </w:tc>
        <w:tc>
          <w:tcPr>
            <w:tcW w:w="6150" w:type="dxa"/>
            <w:vAlign w:val="center"/>
          </w:tcPr>
          <w:p w14:paraId="0DF1623E">
            <w:pPr>
              <w:pStyle w:val="7"/>
              <w:pageBreakBefore w:val="0"/>
              <w:widowControl w:val="0"/>
              <w:wordWrap/>
              <w:overflowPunct/>
              <w:topLinePunct w:val="0"/>
              <w:bidi w:val="0"/>
              <w:jc w:val="center"/>
              <w:rPr>
                <w:color w:val="auto"/>
                <w:spacing w:val="0"/>
                <w:position w:val="0"/>
                <w:highlight w:val="none"/>
              </w:rPr>
            </w:pPr>
          </w:p>
        </w:tc>
      </w:tr>
    </w:tbl>
    <w:p w14:paraId="17675241">
      <w:pPr>
        <w:pageBreakBefore w:val="0"/>
        <w:widowControl w:val="0"/>
        <w:wordWrap/>
        <w:overflowPunct/>
        <w:topLinePunct w:val="0"/>
        <w:bidi w:val="0"/>
        <w:rPr>
          <w:color w:val="auto"/>
          <w:spacing w:val="0"/>
          <w:position w:val="0"/>
          <w:highlight w:val="none"/>
        </w:rPr>
      </w:pPr>
    </w:p>
    <w:p w14:paraId="41077079">
      <w:pPr>
        <w:pageBreakBefore w:val="0"/>
        <w:widowControl w:val="0"/>
        <w:wordWrap/>
        <w:overflowPunct/>
        <w:topLinePunct w:val="0"/>
        <w:bidi w:val="0"/>
        <w:rPr>
          <w:color w:val="auto"/>
          <w:spacing w:val="0"/>
          <w:position w:val="0"/>
          <w:highlight w:val="none"/>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highlight w:val="none"/>
        </w:rPr>
      </w:pPr>
      <w:bookmarkStart w:id="3" w:name="bookmark81"/>
      <w:bookmarkEnd w:id="3"/>
      <w:bookmarkStart w:id="4" w:name="_Toc8130"/>
      <w:bookmarkStart w:id="5" w:name="_Toc618"/>
      <w:r>
        <w:rPr>
          <w:rFonts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二、采购需求</w:t>
      </w:r>
      <w:bookmarkEnd w:id="4"/>
      <w:bookmarkEnd w:id="5"/>
    </w:p>
    <w:p w14:paraId="551FB056">
      <w:pPr>
        <w:pageBreakBefore w:val="0"/>
        <w:widowControl w:val="0"/>
        <w:wordWrap/>
        <w:overflowPunct/>
        <w:topLinePunct w:val="0"/>
        <w:bidi w:val="0"/>
        <w:spacing w:line="258" w:lineRule="auto"/>
        <w:rPr>
          <w:color w:val="auto"/>
          <w:spacing w:val="0"/>
          <w:position w:val="0"/>
          <w:highlight w:val="none"/>
        </w:rPr>
      </w:pPr>
    </w:p>
    <w:p w14:paraId="34167BAF">
      <w:pPr>
        <w:keepNext w:val="0"/>
        <w:keepLines w:val="0"/>
        <w:pageBreakBefore w:val="0"/>
        <w:widowControl w:val="0"/>
        <w:numPr>
          <w:ilvl w:val="0"/>
          <w:numId w:val="0"/>
        </w:numPr>
        <w:kinsoku/>
        <w:wordWrap/>
        <w:overflowPunct/>
        <w:topLinePunct w:val="0"/>
        <w:autoSpaceDE/>
        <w:autoSpaceDN/>
        <w:bidi w:val="0"/>
        <w:adjustRightInd/>
        <w:snapToGrid/>
        <w:spacing w:line="574" w:lineRule="exact"/>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（一） 服务需求</w:t>
      </w:r>
    </w:p>
    <w:p w14:paraId="51143090">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一、</w:t>
      </w:r>
      <w:r>
        <w:rPr>
          <w:rFonts w:hint="eastAsia" w:ascii="宋体" w:hAnsi="宋体" w:eastAsia="宋体" w:cs="宋体"/>
          <w:color w:val="auto"/>
          <w:sz w:val="24"/>
          <w:szCs w:val="24"/>
          <w:highlight w:val="none"/>
        </w:rPr>
        <w:t>项目概况</w:t>
      </w:r>
    </w:p>
    <w:p w14:paraId="1AD713FA">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为深入贯彻《江西省足球改革发展实施方案》及《江西省青少年足球改革发展实施方案》精神，全面落实省委、省政府关于足球改革发展的决策部署，立足当前、着眼2029年全运会周期，统筹推进我省足球U系列省队建设、全运会备战、青少年足球赛事及专业人才培养等工作</w:t>
      </w:r>
      <w:r>
        <w:rPr>
          <w:rFonts w:hint="eastAsia" w:ascii="宋体" w:hAnsi="宋体" w:eastAsia="宋体" w:cs="宋体"/>
          <w:i w:val="0"/>
          <w:iCs w:val="0"/>
          <w:caps w:val="0"/>
          <w:snapToGrid w:val="0"/>
          <w:color w:val="auto"/>
          <w:spacing w:val="0"/>
          <w:kern w:val="0"/>
          <w:sz w:val="24"/>
          <w:szCs w:val="24"/>
          <w:highlight w:val="none"/>
          <w:shd w:val="clear" w:fill="FFFFFF"/>
          <w:lang w:val="en-US" w:eastAsia="zh-CN"/>
        </w:rPr>
        <w:t>，特制定本预算说明。</w:t>
      </w:r>
    </w:p>
    <w:p w14:paraId="389CD397">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二、服务事项</w:t>
      </w:r>
    </w:p>
    <w:p w14:paraId="47AD01F2">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（一）</w:t>
      </w:r>
      <w:r>
        <w:rPr>
          <w:rFonts w:hint="eastAsia" w:ascii="宋体" w:hAnsi="宋体" w:eastAsia="宋体" w:cs="宋体"/>
          <w:b w:val="0"/>
          <w:bCs w:val="0"/>
          <w:color w:val="auto"/>
          <w:sz w:val="24"/>
          <w:szCs w:val="24"/>
          <w:highlight w:val="none"/>
        </w:rPr>
        <w:t>足球U系列省队全运会备战工作</w:t>
      </w:r>
    </w:p>
    <w:p w14:paraId="1E69B2DD">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1.目标</w:t>
      </w:r>
    </w:p>
    <w:p w14:paraId="4FA43478">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进一步落实我省足球青训中心建设和U系列足球代表队备战全运会相关工作，扎实推进2029年全运会周期U系列省足球队的建设和备战任务。</w:t>
      </w:r>
    </w:p>
    <w:p w14:paraId="36D1DB91">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根据省体育局统一部署，全面布局2029年全运会足球项目比赛，</w:t>
      </w:r>
      <w:r>
        <w:rPr>
          <w:rFonts w:hint="eastAsia" w:ascii="宋体" w:hAnsi="宋体" w:eastAsia="宋体" w:cs="宋体"/>
          <w:i w:val="0"/>
          <w:iCs w:val="0"/>
          <w:caps w:val="0"/>
          <w:snapToGrid w:val="0"/>
          <w:color w:val="auto"/>
          <w:spacing w:val="0"/>
          <w:kern w:val="0"/>
          <w:sz w:val="24"/>
          <w:szCs w:val="24"/>
          <w:highlight w:val="none"/>
          <w:shd w:val="clear" w:fill="FFFFFF"/>
          <w:lang w:val="en-US" w:eastAsia="zh-CN"/>
        </w:rPr>
        <w:t>重点推进以下工作：</w:t>
      </w:r>
      <w:r>
        <w:rPr>
          <w:rFonts w:hint="eastAsia" w:ascii="宋体" w:hAnsi="宋体" w:eastAsia="宋体" w:cs="宋体"/>
          <w:snapToGrid w:val="0"/>
          <w:color w:val="auto"/>
          <w:kern w:val="0"/>
          <w:sz w:val="24"/>
          <w:szCs w:val="24"/>
          <w:highlight w:val="none"/>
          <w:lang w:val="en-US" w:eastAsia="zh-CN" w:bidi="ar"/>
        </w:rPr>
        <w:t>一是协助省体校推动江西省足球青训中心挂牌并投入运营，完善队伍建设；二是坚持内培外引相结合，系统发掘和培养本土人才，积极引进省外优秀球员和教练员，组建相应年龄段U系列省足球队及教练团队；三是结合江西实际，常态化组织训练，积极参加全国高水平青少年足球赛事，以赛促学，以赛促训，以赛促建，持续提高队伍竞技水平，全力备战2029年全运会和每年的三大球运动会。</w:t>
      </w:r>
    </w:p>
    <w:p w14:paraId="7109528F">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2.要求</w:t>
      </w:r>
    </w:p>
    <w:p w14:paraId="28E5AD97">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（1）协助省体校推动省足球青训中心正式挂牌运营。协助组建管理团队，设立综合办公室、训练竞赛部、后勤保障部等职能部门，每个部门配备不少于4名工作人员，全面负责省足球青训中心的日常运营和管理。</w:t>
      </w:r>
    </w:p>
    <w:p w14:paraId="569D2382">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（2）优化女子（2011/2012年龄段）队伍建设，积极备战并参加各级各类高水平足球赛事。</w:t>
      </w:r>
    </w:p>
    <w:p w14:paraId="49574C22">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default"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（3）新增女子（2013/2014年龄段）队伍，在全省范围内选拔优秀苗子，计划在省百县三大球运动会女子组预选赛期间组织开展相应年龄段精英球员选拔集训，对全省参赛队进行考察并组织集训。</w:t>
      </w:r>
    </w:p>
    <w:p w14:paraId="13789734">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（4）新增男子（2010/2011年龄段）队伍，在全省范围内选拔男子（2010/2011年龄段）队伍优秀苗子，开展相应年龄段精英球员选拔集训，完成队伍建设。</w:t>
      </w:r>
    </w:p>
    <w:p w14:paraId="3D398A62">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snapToGrid w:val="0"/>
          <w:color w:val="auto"/>
          <w:kern w:val="0"/>
          <w:sz w:val="24"/>
          <w:szCs w:val="24"/>
          <w:highlight w:val="none"/>
          <w:lang w:val="en-US" w:eastAsia="zh-CN" w:bidi="ar"/>
        </w:rPr>
        <w:t>（5）完成省青训中心和各年龄段队伍技术团队的组建工作：一是聘请青训总监1人（亚足联A级以上或其他洲际足联同等级资质），全面统筹规划并指导全省青少年足球工作；二是为女子（2011/2012年龄段）、女子（2013/2014年龄段）两支队伍组建高水平教练团队，各配备不少于4名教练员，具体包括：主教练1人（亚足联B级以上或其他洲际足联同等级资质）、助理教练1人（亚足联C级以上或其他洲际足联同等级资质）、守门员教练1人（亚足联C级以上或其他洲际足联同等级资质）、体能教练1人（亚足联C级以上或其他洲际足联同等级资质），另每支队伍配备队伍管理人员各1人，两支队伍共配备队医1人。</w:t>
      </w:r>
    </w:p>
    <w:p w14:paraId="0A6B3F15">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6）组织全省后备人才考察。围绕2027年和2028年全国青少年三大球运动会及2029年全运会足球项目。由青训总监牵头，安排不少于20个工作日，组织不少于5名专业人员开展考察，通过下半年全省性赛事，对各适龄球员进行系统考察，女子U13/U15年龄段各提交25人考察名单，其他年龄段各提交不少于60人的后备人才名单，主要考察赛事和对象包括：</w:t>
      </w:r>
    </w:p>
    <w:p w14:paraId="67BDA6C6">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——省青少年足球锦标赛男子U15（小赣超），预计7—8月，主客场单循环制；</w:t>
      </w:r>
    </w:p>
    <w:p w14:paraId="29D5285D">
      <w:pPr>
        <w:keepNext w:val="0"/>
        <w:keepLines w:val="0"/>
        <w:pageBreakBefore w:val="0"/>
        <w:widowControl w:val="0"/>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——省青少年足球锦标赛女子U13/U15/U17和男子U17，预计7—8月，赛会制；</w:t>
      </w:r>
    </w:p>
    <w:p w14:paraId="0FAA6DC3">
      <w:pPr>
        <w:keepNext w:val="0"/>
        <w:keepLines w:val="0"/>
        <w:pageBreakBefore w:val="0"/>
        <w:widowControl w:val="0"/>
        <w:numPr>
          <w:ilvl w:val="0"/>
          <w:numId w:val="0"/>
        </w:numPr>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snapToGrid w:val="0"/>
          <w:color w:val="auto"/>
          <w:kern w:val="0"/>
          <w:sz w:val="24"/>
          <w:szCs w:val="24"/>
          <w:highlight w:val="none"/>
          <w:lang w:val="en-US" w:eastAsia="zh-CN" w:bidi="ar"/>
        </w:rPr>
      </w:pPr>
      <w:r>
        <w:rPr>
          <w:rFonts w:hint="eastAsia" w:ascii="宋体" w:hAnsi="宋体" w:eastAsia="宋体" w:cs="宋体"/>
          <w:snapToGrid w:val="0"/>
          <w:color w:val="auto"/>
          <w:kern w:val="0"/>
          <w:sz w:val="24"/>
          <w:szCs w:val="24"/>
          <w:highlight w:val="none"/>
          <w:lang w:val="en-US" w:eastAsia="zh-CN" w:bidi="ar"/>
        </w:rPr>
        <w:t>——省运会足球项目女子U13/U15/U17和男子U15/U17，预计10—11月，赛会制。</w:t>
      </w:r>
    </w:p>
    <w:p w14:paraId="5B0C514B">
      <w:pPr>
        <w:keepNext w:val="0"/>
        <w:keepLines w:val="0"/>
        <w:pageBreakBefore w:val="0"/>
        <w:widowControl w:val="0"/>
        <w:numPr>
          <w:ilvl w:val="0"/>
          <w:numId w:val="0"/>
        </w:numPr>
        <w:suppressLineNumbers w:val="0"/>
        <w:kinsoku/>
        <w:wordWrap/>
        <w:overflowPunct/>
        <w:topLinePunct/>
        <w:autoSpaceDE/>
        <w:autoSpaceDN/>
        <w:bidi w:val="0"/>
        <w:adjustRightInd/>
        <w:snapToGrid/>
        <w:spacing w:line="574" w:lineRule="exact"/>
        <w:ind w:firstLine="480" w:firstLineChars="200"/>
        <w:jc w:val="both"/>
        <w:textAlignment w:val="baseline"/>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snapToGrid w:val="0"/>
          <w:color w:val="auto"/>
          <w:spacing w:val="0"/>
          <w:sz w:val="24"/>
          <w:szCs w:val="24"/>
          <w:highlight w:val="none"/>
          <w:shd w:val="clear" w:fill="FFFFFF"/>
          <w:lang w:val="en-US" w:eastAsia="zh-CN" w:bidi="ar-SA"/>
        </w:rPr>
        <w:t>（7）</w:t>
      </w:r>
      <w:r>
        <w:rPr>
          <w:rFonts w:hint="eastAsia" w:ascii="宋体" w:hAnsi="宋体" w:eastAsia="宋体" w:cs="宋体"/>
          <w:snapToGrid w:val="0"/>
          <w:color w:val="auto"/>
          <w:kern w:val="0"/>
          <w:sz w:val="24"/>
          <w:szCs w:val="24"/>
          <w:highlight w:val="none"/>
          <w:lang w:val="en-US" w:eastAsia="zh-CN" w:bidi="ar"/>
        </w:rPr>
        <w:t>女子（2007/2008年龄段）队伍参加了2026年全国青少年三大球运动会足球项目女子U18资格赛，如打进全国总决赛将继续组织其参加后续比赛。</w:t>
      </w:r>
    </w:p>
    <w:p w14:paraId="62CA1404">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（二）足球赛事服务</w:t>
      </w:r>
    </w:p>
    <w:p w14:paraId="760DA77E">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1.目标</w:t>
      </w:r>
    </w:p>
    <w:p w14:paraId="39059991">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持续完善“体育部门主导、教育部门协同、足协具体落实”的竞赛运行机制，全面提升赛事组织与服务水平。根据《中国青少年足球联赛赛事组织工作方案》，继续高质量办好中国青少年足球联赛（江西赛区）暨江西省足球联赛。</w:t>
      </w:r>
    </w:p>
    <w:p w14:paraId="67559FC9">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2.要求</w:t>
      </w:r>
    </w:p>
    <w:p w14:paraId="4618BB26">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下半年重点完成男子U16、U18及女子U16、U18共4个组别的省级联赛，</w:t>
      </w:r>
      <w:r>
        <w:rPr>
          <w:rFonts w:hint="eastAsia" w:ascii="宋体" w:hAnsi="宋体" w:eastAsia="宋体" w:cs="宋体"/>
          <w:i w:val="0"/>
          <w:iCs w:val="0"/>
          <w:caps w:val="0"/>
          <w:snapToGrid w:val="0"/>
          <w:color w:val="auto"/>
          <w:spacing w:val="0"/>
          <w:kern w:val="0"/>
          <w:sz w:val="24"/>
          <w:szCs w:val="24"/>
          <w:highlight w:val="none"/>
          <w:shd w:val="clear" w:fill="FFFFFF"/>
          <w:lang w:val="en-US" w:eastAsia="zh-CN"/>
        </w:rPr>
        <w:t>预计组织约60场比赛；</w:t>
      </w:r>
      <w:r>
        <w:rPr>
          <w:rFonts w:hint="eastAsia" w:ascii="宋体" w:hAnsi="宋体" w:eastAsia="宋体" w:cs="宋体"/>
          <w:i w:val="0"/>
          <w:iCs w:val="0"/>
          <w:caps w:val="0"/>
          <w:color w:val="auto"/>
          <w:spacing w:val="0"/>
          <w:sz w:val="24"/>
          <w:szCs w:val="24"/>
          <w:highlight w:val="none"/>
          <w:shd w:val="clear" w:fill="FFFFFF"/>
          <w:lang w:val="en-US" w:eastAsia="zh-CN"/>
        </w:rPr>
        <w:t>统筹各设区市完成市级联赛，</w:t>
      </w:r>
      <w:r>
        <w:rPr>
          <w:rFonts w:hint="eastAsia" w:ascii="宋体" w:hAnsi="宋体" w:eastAsia="宋体" w:cs="宋体"/>
          <w:i w:val="0"/>
          <w:iCs w:val="0"/>
          <w:caps w:val="0"/>
          <w:snapToGrid w:val="0"/>
          <w:color w:val="auto"/>
          <w:spacing w:val="0"/>
          <w:kern w:val="0"/>
          <w:sz w:val="24"/>
          <w:szCs w:val="24"/>
          <w:highlight w:val="none"/>
          <w:shd w:val="clear" w:fill="FFFFFF"/>
          <w:lang w:val="en-US" w:eastAsia="zh-CN"/>
        </w:rPr>
        <w:t>组织约150场比赛，赛事期间必须配置救护车、医生和AED设备、安保及饮用水、药品和应急物资。</w:t>
      </w:r>
    </w:p>
    <w:p w14:paraId="2BBBC6C0">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（三）专业人才培养</w:t>
      </w:r>
    </w:p>
    <w:p w14:paraId="75374C3A">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1.目标</w:t>
      </w:r>
    </w:p>
    <w:p w14:paraId="064CED9D">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将教练员和裁判员培养作为基础性工程，系统提升全省足球专业人才队伍质量。</w:t>
      </w:r>
    </w:p>
    <w:p w14:paraId="2CD0C113">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2.要求</w:t>
      </w:r>
    </w:p>
    <w:p w14:paraId="32EC2B82">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一是落实中国足协“考培分离”政策，在全省合理布局4个考试点与4个培训点；完成15期等级教练员培训班。</w:t>
      </w:r>
    </w:p>
    <w:p w14:paraId="44513F94">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default"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二是组织开展裁判员培训与培养，组织实施“精英裁判员培训”，开展1期精英裁判员培训，人数不少于80人；完成15期等级裁判员培训班。</w:t>
      </w:r>
    </w:p>
    <w:p w14:paraId="159F747C">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（四）足球文化宣传</w:t>
      </w:r>
    </w:p>
    <w:p w14:paraId="05D4ACBB">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1.目标</w:t>
      </w:r>
    </w:p>
    <w:p w14:paraId="7EB9362B">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加强足球宣传与舆论引导，深入讲好江西足球故事，凝聚社会共识。加强与省内外主流媒体及新媒体平台合作，全方位宣传足球赛事、改革成效及先进典型。加大对全运会备战、青训体系建设、专业人才培养等重点工作的报道力度，提升江西足球的社会关注度和影响力。</w:t>
      </w:r>
    </w:p>
    <w:p w14:paraId="3BAC1C42">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2.要求</w:t>
      </w:r>
    </w:p>
    <w:p w14:paraId="7A9C2158">
      <w:pPr>
        <w:keepNext w:val="0"/>
        <w:keepLines w:val="0"/>
        <w:pageBreakBefore w:val="0"/>
        <w:widowControl w:val="0"/>
        <w:numPr>
          <w:ilvl w:val="0"/>
          <w:numId w:val="0"/>
        </w:numPr>
        <w:kinsoku/>
        <w:wordWrap/>
        <w:overflowPunct/>
        <w:topLinePunct w:val="0"/>
        <w:autoSpaceDE/>
        <w:autoSpaceDN/>
        <w:bidi w:val="0"/>
        <w:adjustRightInd/>
        <w:snapToGrid/>
        <w:spacing w:line="574" w:lineRule="exact"/>
        <w:ind w:firstLine="480" w:firstLineChars="200"/>
        <w:jc w:val="both"/>
        <w:textAlignment w:val="auto"/>
        <w:rPr>
          <w:rFonts w:hint="eastAsia" w:ascii="宋体" w:hAnsi="宋体" w:eastAsia="宋体" w:cs="宋体"/>
          <w:i w:val="0"/>
          <w:iCs w:val="0"/>
          <w:caps w:val="0"/>
          <w:color w:val="auto"/>
          <w:spacing w:val="0"/>
          <w:sz w:val="24"/>
          <w:szCs w:val="24"/>
          <w:highlight w:val="none"/>
          <w:shd w:val="clear" w:fill="FFFFFF"/>
          <w:lang w:val="en-US" w:eastAsia="zh-CN"/>
        </w:rPr>
      </w:pPr>
      <w:r>
        <w:rPr>
          <w:rFonts w:hint="eastAsia" w:ascii="宋体" w:hAnsi="宋体" w:eastAsia="宋体" w:cs="宋体"/>
          <w:i w:val="0"/>
          <w:iCs w:val="0"/>
          <w:caps w:val="0"/>
          <w:color w:val="auto"/>
          <w:spacing w:val="0"/>
          <w:sz w:val="24"/>
          <w:szCs w:val="24"/>
          <w:highlight w:val="none"/>
          <w:shd w:val="clear" w:fill="FFFFFF"/>
          <w:lang w:val="en-US" w:eastAsia="zh-CN"/>
        </w:rPr>
        <w:t>确保江西足球相关事项得到及时、准备的报道，各媒体或平台累计发稿不少于200篇（含视频内容）。</w:t>
      </w:r>
    </w:p>
    <w:p w14:paraId="3F41F533">
      <w:pPr>
        <w:keepNext w:val="0"/>
        <w:keepLines w:val="0"/>
        <w:pageBreakBefore w:val="0"/>
        <w:widowControl/>
        <w:kinsoku w:val="0"/>
        <w:wordWrap/>
        <w:overflowPunct/>
        <w:topLinePunct w:val="0"/>
        <w:autoSpaceDE w:val="0"/>
        <w:autoSpaceDN w:val="0"/>
        <w:bidi w:val="0"/>
        <w:adjustRightInd w:val="0"/>
        <w:snapToGrid w:val="0"/>
        <w:spacing w:line="574" w:lineRule="exact"/>
        <w:ind w:firstLine="480" w:firstLineChars="20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（五）其他要求：</w:t>
      </w:r>
    </w:p>
    <w:tbl>
      <w:tblPr>
        <w:tblStyle w:val="4"/>
        <w:tblpPr w:leftFromText="180" w:rightFromText="180" w:vertAnchor="text" w:horzAnchor="page" w:tblpX="1459" w:tblpY="546"/>
        <w:tblOverlap w:val="never"/>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6"/>
        <w:gridCol w:w="5812"/>
      </w:tblGrid>
      <w:tr w14:paraId="42B58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trPr>
        <w:tc>
          <w:tcPr>
            <w:tcW w:w="1296" w:type="pct"/>
            <w:shd w:val="clear" w:color="auto" w:fill="2D54A0" w:themeFill="accent1" w:themeFillShade="BF"/>
            <w:noWrap/>
            <w:vAlign w:val="center"/>
          </w:tcPr>
          <w:p w14:paraId="37FE637B">
            <w:pPr>
              <w:widowControl/>
              <w:snapToGrid w:val="0"/>
              <w:spacing w:line="360" w:lineRule="auto"/>
              <w:ind w:left="0" w:leftChars="0" w:right="0" w:rightChars="0" w:firstLine="0" w:firstLineChars="0"/>
              <w:jc w:val="center"/>
              <w:rPr>
                <w:rFonts w:hint="eastAsia" w:ascii="仿宋" w:hAnsi="仿宋" w:eastAsia="仿宋" w:cs="仿宋"/>
                <w:b/>
                <w:color w:val="auto"/>
                <w:kern w:val="0"/>
                <w:sz w:val="24"/>
                <w:szCs w:val="24"/>
                <w:highlight w:val="none"/>
                <w:lang w:val="en-US" w:eastAsia="zh-CN"/>
              </w:rPr>
            </w:pPr>
            <w:r>
              <w:rPr>
                <w:rFonts w:hint="eastAsia" w:ascii="仿宋" w:hAnsi="仿宋" w:eastAsia="仿宋" w:cs="仿宋"/>
                <w:b/>
                <w:color w:val="auto"/>
                <w:kern w:val="0"/>
                <w:sz w:val="24"/>
                <w:szCs w:val="24"/>
                <w:highlight w:val="none"/>
                <w:lang w:val="en-US" w:eastAsia="zh-CN"/>
              </w:rPr>
              <w:t>项目任务</w:t>
            </w:r>
          </w:p>
        </w:tc>
        <w:tc>
          <w:tcPr>
            <w:tcW w:w="3703" w:type="pct"/>
            <w:shd w:val="clear" w:color="auto" w:fill="2D54A0" w:themeFill="accent1" w:themeFillShade="BF"/>
            <w:noWrap/>
            <w:vAlign w:val="center"/>
          </w:tcPr>
          <w:p w14:paraId="101DFAAD">
            <w:pPr>
              <w:widowControl/>
              <w:snapToGrid w:val="0"/>
              <w:spacing w:line="360" w:lineRule="auto"/>
              <w:ind w:left="0" w:leftChars="0" w:right="0" w:rightChars="0" w:firstLine="0" w:firstLineChars="0"/>
              <w:jc w:val="center"/>
              <w:rPr>
                <w:rFonts w:hint="eastAsia" w:ascii="仿宋" w:hAnsi="仿宋" w:eastAsia="仿宋" w:cs="仿宋"/>
                <w:b/>
                <w:color w:val="auto"/>
                <w:kern w:val="0"/>
                <w:sz w:val="24"/>
                <w:szCs w:val="24"/>
                <w:highlight w:val="none"/>
                <w:lang w:val="en-US" w:eastAsia="zh-CN"/>
              </w:rPr>
            </w:pPr>
            <w:r>
              <w:rPr>
                <w:rFonts w:hint="eastAsia" w:ascii="仿宋" w:hAnsi="仿宋" w:eastAsia="仿宋" w:cs="仿宋"/>
                <w:b/>
                <w:color w:val="auto"/>
                <w:kern w:val="0"/>
                <w:sz w:val="24"/>
                <w:szCs w:val="24"/>
                <w:highlight w:val="none"/>
                <w:lang w:val="en-US" w:eastAsia="zh-CN"/>
              </w:rPr>
              <w:t>说明</w:t>
            </w:r>
          </w:p>
        </w:tc>
      </w:tr>
      <w:tr w14:paraId="56A63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296" w:type="pct"/>
            <w:shd w:val="clear" w:color="auto" w:fill="auto"/>
            <w:noWrap/>
            <w:vAlign w:val="center"/>
          </w:tcPr>
          <w:p w14:paraId="4CD360D4">
            <w:pPr>
              <w:keepNext w:val="0"/>
              <w:keepLines w:val="0"/>
              <w:widowControl/>
              <w:suppressLineNumbers w:val="0"/>
              <w:spacing w:line="360" w:lineRule="auto"/>
              <w:jc w:val="both"/>
              <w:textAlignment w:val="center"/>
              <w:rPr>
                <w:rFonts w:hint="eastAsia" w:ascii="仿宋" w:hAnsi="仿宋" w:eastAsia="仿宋" w:cs="仿宋"/>
                <w:color w:val="auto"/>
                <w:kern w:val="0"/>
                <w:sz w:val="24"/>
                <w:szCs w:val="24"/>
                <w:highlight w:val="none"/>
              </w:rPr>
            </w:pPr>
            <w:r>
              <w:rPr>
                <w:rFonts w:hint="eastAsia" w:ascii="仿宋" w:hAnsi="仿宋" w:eastAsia="仿宋" w:cs="仿宋"/>
                <w:i w:val="0"/>
                <w:iCs w:val="0"/>
                <w:color w:val="auto"/>
                <w:kern w:val="0"/>
                <w:sz w:val="24"/>
                <w:szCs w:val="24"/>
                <w:highlight w:val="none"/>
                <w:u w:val="none"/>
                <w:lang w:val="en-US" w:eastAsia="zh-CN" w:bidi="ar"/>
              </w:rPr>
              <w:t>一、足球U系列省队建设</w:t>
            </w:r>
          </w:p>
        </w:tc>
        <w:tc>
          <w:tcPr>
            <w:tcW w:w="3703" w:type="pct"/>
            <w:shd w:val="clear" w:color="auto" w:fill="auto"/>
            <w:noWrap/>
            <w:vAlign w:val="center"/>
          </w:tcPr>
          <w:p w14:paraId="361CAF87">
            <w:pPr>
              <w:spacing w:line="360" w:lineRule="auto"/>
              <w:jc w:val="both"/>
              <w:rPr>
                <w:rFonts w:hint="eastAsia" w:ascii="仿宋" w:hAnsi="仿宋" w:eastAsia="仿宋" w:cs="仿宋"/>
                <w:color w:val="auto"/>
                <w:kern w:val="0"/>
                <w:sz w:val="24"/>
                <w:szCs w:val="24"/>
                <w:highlight w:val="none"/>
              </w:rPr>
            </w:pPr>
          </w:p>
        </w:tc>
      </w:tr>
      <w:tr w14:paraId="55F5F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F6E69">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（一）队伍建设</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15BC7">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建设女子（2011/2012年龄段）、女子（2013/2014年龄段）和新增男子（2010/2011年龄段）共3支队伍，由省体校进行常态化管理。</w:t>
            </w:r>
          </w:p>
        </w:tc>
      </w:tr>
      <w:tr w14:paraId="4D501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D2988">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1.新建队伍选拔集训</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1F797">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新增女子（2013/2014年龄段）队伍，为在全省范围内选拔优秀苗子，计划在省百县三大球运动会女子组预选赛期间组织开展相应年龄段精英球员选拔集训，对全省参赛队进行考察并组织集训，平均人数不少于200人，平均时长不少于6天，按照240元/人/天的费用标准计算，含训练场地、相关物料、训练用水用药、工作人员差旅等费用。</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新增男子（2010/2011年龄段）队伍，为在全省范围内选拔优秀苗子，计划开展相应年龄段精英球员选拔集训，集训人数不少于70人，不少于6天，按照350元/人/天的费用标准计算，含训练场地、相关物料、训练用水用药、工作人员差旅等费用。</w:t>
            </w:r>
          </w:p>
        </w:tc>
      </w:tr>
      <w:tr w14:paraId="2F595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B44B25">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2.住宿场地费用</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76ECB">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按80人（球员、教练及工作人员）计算，场地标准不低于20元/人/天，住宿标准不低于65元/人/天。</w:t>
            </w:r>
          </w:p>
        </w:tc>
      </w:tr>
      <w:tr w14:paraId="15EBE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FE1F5">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3.训练服装装备</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EA20D">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服装标准不低于0.1万/人，按80人（球员70人、教练员10人）。</w:t>
            </w:r>
          </w:p>
        </w:tc>
      </w:tr>
      <w:tr w14:paraId="723FE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F2C54">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4.训练器材费用</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D5B40">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训练器材标准不低于 0.25万/人，按70人（球员70人）。</w:t>
            </w:r>
          </w:p>
        </w:tc>
      </w:tr>
      <w:tr w14:paraId="5AD21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70A70">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5.训练补剂</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76260">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补剂标准不低于0.2万/人，按70人（球员70人）。</w:t>
            </w:r>
          </w:p>
        </w:tc>
      </w:tr>
      <w:tr w14:paraId="03663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AA2BA">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6.参赛</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C11E3">
            <w:pPr>
              <w:spacing w:line="360" w:lineRule="auto"/>
              <w:jc w:val="both"/>
              <w:rPr>
                <w:rFonts w:hint="eastAsia" w:ascii="仿宋" w:hAnsi="仿宋" w:eastAsia="仿宋" w:cs="仿宋"/>
                <w:i w:val="0"/>
                <w:iCs w:val="0"/>
                <w:color w:val="auto"/>
                <w:sz w:val="24"/>
                <w:szCs w:val="24"/>
                <w:highlight w:val="none"/>
                <w:u w:val="none"/>
              </w:rPr>
            </w:pPr>
          </w:p>
        </w:tc>
      </w:tr>
      <w:tr w14:paraId="012B9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F82C3">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（1）女子（2011/2012年龄段）参加全国体校杯</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D408F">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赛前集训（食宿标准不低于350元/人/天）和参赛预计30天，人数按教练员、球员共32人计算；交通按集训和参赛往返不低于0.3万元/人的标准，人数按教练员、球员共32人计算。</w:t>
            </w:r>
          </w:p>
        </w:tc>
      </w:tr>
      <w:tr w14:paraId="07C1D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1E837">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（2）女子（2007/2008年龄段）参加全国青少年三大球运动会足球项目相应年龄段决赛阶段</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8F726">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女子（2007/2008年龄段）队伍参加了2026年全国青少年三大球运动会足球项目女子U18资格赛，如打进全国总决赛则继续参赛。赛前集训（食宿标准不低于350元/人/天）和参赛预计30天，人数按教练员、球员共32人计算；人数按教练员、球员共32人计算。</w:t>
            </w:r>
          </w:p>
        </w:tc>
      </w:tr>
      <w:tr w14:paraId="2CD6F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588F8">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二、竞赛工作</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4E3B0">
            <w:pPr>
              <w:spacing w:line="360" w:lineRule="auto"/>
              <w:jc w:val="both"/>
              <w:rPr>
                <w:rFonts w:hint="eastAsia" w:ascii="仿宋" w:hAnsi="仿宋" w:eastAsia="仿宋" w:cs="仿宋"/>
                <w:i w:val="0"/>
                <w:iCs w:val="0"/>
                <w:color w:val="auto"/>
                <w:sz w:val="24"/>
                <w:szCs w:val="24"/>
                <w:highlight w:val="none"/>
                <w:u w:val="none"/>
              </w:rPr>
            </w:pPr>
          </w:p>
        </w:tc>
      </w:tr>
      <w:tr w14:paraId="2F34D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9B666">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（一）省级联赛组织</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686CA">
            <w:pPr>
              <w:spacing w:line="360" w:lineRule="auto"/>
              <w:jc w:val="both"/>
              <w:rPr>
                <w:rFonts w:hint="eastAsia" w:ascii="仿宋" w:hAnsi="仿宋" w:eastAsia="仿宋" w:cs="仿宋"/>
                <w:i w:val="0"/>
                <w:iCs w:val="0"/>
                <w:color w:val="auto"/>
                <w:sz w:val="24"/>
                <w:szCs w:val="24"/>
                <w:highlight w:val="none"/>
                <w:u w:val="none"/>
              </w:rPr>
            </w:pPr>
          </w:p>
        </w:tc>
      </w:tr>
      <w:tr w14:paraId="4BE22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29C9E">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1.赛事执行</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46555">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（1）比赛场地实行分类控制，4个组别均为十一人制，按7天计算。</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（2）竞赛器材实行总额控制，每组别0.5万元，4个组别共2万元。</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（3）物料制作实行总额控制，每组别1万元，4个组别共4万元。</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（4）裁判员、竞赛官员等食宿按《江西省青少年锦标赛经费支出标准》执行，标准为180元/人/天，每组别1名比赛监督、1名赛风赛纪监督员、1名裁判长、20名裁判，共计23人，每组别7天。</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（5）裁判员、竞赛官员城际交通费，按《江西省省直机关差旅费管理办法》执行。</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（6）裁判员、竞赛官员报酬实行分类控制，比赛监督、仲裁（或赛风赛纪监督员）、裁判长300元/人/天，裁判240元/人/天，当地工作人员补贴200元/人/天，志愿者补贴100元/人/天，均按7个工作日计算：</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比赛监督1人，仲裁或赛风赛纪监督员1人，裁判长1人，裁判20人，当地工作人员2人，志愿者10人。</w:t>
            </w:r>
          </w:p>
        </w:tc>
      </w:tr>
      <w:tr w14:paraId="53937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0DF3F">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2.后勤保障</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0EBDA">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（1）医疗保障：含救护车、医生及AED等。</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（2）安保配备4人。</w:t>
            </w:r>
            <w:r>
              <w:rPr>
                <w:rFonts w:hint="eastAsia" w:ascii="仿宋" w:hAnsi="仿宋" w:eastAsia="仿宋" w:cs="仿宋"/>
                <w:i w:val="0"/>
                <w:iCs w:val="0"/>
                <w:color w:val="auto"/>
                <w:kern w:val="0"/>
                <w:sz w:val="24"/>
                <w:szCs w:val="24"/>
                <w:highlight w:val="none"/>
                <w:u w:val="none"/>
                <w:lang w:val="en-US" w:eastAsia="zh-CN" w:bidi="ar"/>
              </w:rPr>
              <w:br w:type="textWrapping"/>
            </w:r>
            <w:r>
              <w:rPr>
                <w:rFonts w:hint="eastAsia" w:ascii="仿宋" w:hAnsi="仿宋" w:eastAsia="仿宋" w:cs="仿宋"/>
                <w:i w:val="0"/>
                <w:iCs w:val="0"/>
                <w:color w:val="auto"/>
                <w:kern w:val="0"/>
                <w:sz w:val="24"/>
                <w:szCs w:val="24"/>
                <w:highlight w:val="none"/>
                <w:u w:val="none"/>
                <w:lang w:val="en-US" w:eastAsia="zh-CN" w:bidi="ar"/>
              </w:rPr>
              <w:t>（3）饮用水、药品、应急物资等实行标准不低于600元/天。</w:t>
            </w:r>
          </w:p>
        </w:tc>
      </w:tr>
      <w:tr w14:paraId="54500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EB336">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（二）市级联赛组织</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232A6">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按省级联赛4个组别，每组别平均对应8个设区市组织开展市级联赛，共32个市级联赛组别。</w:t>
            </w:r>
          </w:p>
        </w:tc>
      </w:tr>
      <w:tr w14:paraId="68573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20FEB">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三、专业人才培养</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995D5">
            <w:pPr>
              <w:spacing w:line="360" w:lineRule="auto"/>
              <w:jc w:val="both"/>
              <w:rPr>
                <w:rFonts w:hint="eastAsia" w:ascii="仿宋" w:hAnsi="仿宋" w:eastAsia="仿宋" w:cs="仿宋"/>
                <w:i w:val="0"/>
                <w:iCs w:val="0"/>
                <w:color w:val="auto"/>
                <w:sz w:val="24"/>
                <w:szCs w:val="24"/>
                <w:highlight w:val="none"/>
                <w:u w:val="none"/>
              </w:rPr>
            </w:pPr>
          </w:p>
        </w:tc>
      </w:tr>
      <w:tr w14:paraId="25995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F2BAA">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（一）教练员培训培养</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A78A6">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落实中国足协“考培分离”政策，在全省合理布局4个考试点与4个培训点，组织相应的讲师团队及培训管理人员培训。</w:t>
            </w:r>
          </w:p>
        </w:tc>
      </w:tr>
      <w:tr w14:paraId="34A1E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1C94C">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（二）裁判员培训培养</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11389">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组织实施“百名精英裁判员培训”，开展1期精英裁判员培训会，人数不少于80人（含讲师、工作人员），培训3天；授课老师人数不低于4人。</w:t>
            </w:r>
          </w:p>
        </w:tc>
      </w:tr>
      <w:tr w14:paraId="67EA4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1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CCB94">
            <w:pPr>
              <w:keepNext w:val="0"/>
              <w:keepLines w:val="0"/>
              <w:widowControl/>
              <w:suppressLineNumbers w:val="0"/>
              <w:spacing w:line="360" w:lineRule="auto"/>
              <w:jc w:val="left"/>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四、足球文化建设</w:t>
            </w:r>
          </w:p>
        </w:tc>
        <w:tc>
          <w:tcPr>
            <w:tcW w:w="37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8BF66">
            <w:pPr>
              <w:keepNext w:val="0"/>
              <w:keepLines w:val="0"/>
              <w:widowControl/>
              <w:suppressLineNumbers w:val="0"/>
              <w:spacing w:line="360" w:lineRule="auto"/>
              <w:jc w:val="both"/>
              <w:textAlignment w:val="center"/>
              <w:rPr>
                <w:rFonts w:hint="eastAsia" w:ascii="仿宋" w:hAnsi="仿宋" w:eastAsia="仿宋" w:cs="仿宋"/>
                <w:i w:val="0"/>
                <w:iCs w:val="0"/>
                <w:color w:val="auto"/>
                <w:sz w:val="24"/>
                <w:szCs w:val="24"/>
                <w:highlight w:val="none"/>
                <w:u w:val="none"/>
              </w:rPr>
            </w:pPr>
            <w:r>
              <w:rPr>
                <w:rFonts w:hint="eastAsia" w:ascii="仿宋" w:hAnsi="仿宋" w:eastAsia="仿宋" w:cs="仿宋"/>
                <w:i w:val="0"/>
                <w:iCs w:val="0"/>
                <w:color w:val="auto"/>
                <w:kern w:val="0"/>
                <w:sz w:val="24"/>
                <w:szCs w:val="24"/>
                <w:highlight w:val="none"/>
                <w:u w:val="none"/>
                <w:lang w:val="en-US" w:eastAsia="zh-CN" w:bidi="ar"/>
              </w:rPr>
              <w:t>加强与省内外主流媒体及新媒体平台合作，全方位宣传足球赛事、改革成效及先进典型。加大对全运会备战、青训体系建设、精英人才培养等重点工作的报道力度。</w:t>
            </w:r>
          </w:p>
        </w:tc>
      </w:tr>
    </w:tbl>
    <w:p w14:paraId="7ACCFDB3">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highlight w:val="none"/>
        </w:rPr>
      </w:pPr>
    </w:p>
    <w:p w14:paraId="38D18ADB">
      <w:pPr>
        <w:pageBreakBefore w:val="0"/>
        <w:widowControl w:val="0"/>
        <w:wordWrap/>
        <w:overflowPunct/>
        <w:topLinePunct w:val="0"/>
        <w:bidi w:val="0"/>
        <w:spacing w:line="242" w:lineRule="auto"/>
        <w:rPr>
          <w:color w:val="auto"/>
          <w:spacing w:val="0"/>
          <w:position w:val="0"/>
          <w:highlight w:val="none"/>
        </w:rPr>
      </w:pPr>
    </w:p>
    <w:p w14:paraId="07414CAE">
      <w:pPr>
        <w:spacing w:before="247" w:line="220" w:lineRule="auto"/>
        <w:ind w:left="18"/>
        <w:rPr>
          <w:rFonts w:ascii="宋体" w:hAnsi="宋体" w:eastAsia="宋体" w:cs="宋体"/>
          <w:color w:val="auto"/>
          <w:sz w:val="24"/>
          <w:szCs w:val="24"/>
          <w:highlight w:val="none"/>
        </w:rPr>
      </w:pPr>
      <w:r>
        <w:rPr>
          <w:rFonts w:ascii="宋体" w:hAnsi="宋体" w:eastAsia="宋体" w:cs="宋体"/>
          <w:b/>
          <w:bCs/>
          <w:color w:val="auto"/>
          <w:spacing w:val="-2"/>
          <w:sz w:val="24"/>
          <w:szCs w:val="24"/>
          <w:highlight w:val="none"/>
        </w:rPr>
        <w:t>注：以上服务要求必须完全响应，否则视为无效</w:t>
      </w:r>
      <w:r>
        <w:rPr>
          <w:rFonts w:ascii="宋体" w:hAnsi="宋体" w:eastAsia="宋体" w:cs="宋体"/>
          <w:b/>
          <w:bCs/>
          <w:color w:val="auto"/>
          <w:spacing w:val="-3"/>
          <w:sz w:val="24"/>
          <w:szCs w:val="24"/>
          <w:highlight w:val="none"/>
        </w:rPr>
        <w:t>投标。</w:t>
      </w:r>
    </w:p>
    <w:p w14:paraId="472C13EA">
      <w:pPr>
        <w:pageBreakBefore w:val="0"/>
        <w:widowControl w:val="0"/>
        <w:wordWrap/>
        <w:overflowPunct/>
        <w:topLinePunct w:val="0"/>
        <w:bidi w:val="0"/>
        <w:spacing w:line="242" w:lineRule="auto"/>
        <w:rPr>
          <w:color w:val="auto"/>
          <w:spacing w:val="0"/>
          <w:position w:val="0"/>
          <w:highlight w:val="none"/>
        </w:rPr>
      </w:pPr>
    </w:p>
    <w:p w14:paraId="4C95985F">
      <w:pPr>
        <w:pageBreakBefore w:val="0"/>
        <w:widowControl w:val="0"/>
        <w:wordWrap/>
        <w:overflowPunct/>
        <w:topLinePunct w:val="0"/>
        <w:bidi w:val="0"/>
        <w:spacing w:line="242" w:lineRule="auto"/>
        <w:rPr>
          <w:color w:val="auto"/>
          <w:spacing w:val="0"/>
          <w:position w:val="0"/>
          <w:highlight w:val="none"/>
        </w:rPr>
      </w:pPr>
    </w:p>
    <w:p w14:paraId="234C41D7">
      <w:pPr>
        <w:pageBreakBefore w:val="0"/>
        <w:widowControl w:val="0"/>
        <w:wordWrap/>
        <w:overflowPunct/>
        <w:topLinePunct w:val="0"/>
        <w:bidi w:val="0"/>
        <w:spacing w:line="242" w:lineRule="auto"/>
        <w:rPr>
          <w:color w:val="auto"/>
          <w:spacing w:val="0"/>
          <w:position w:val="0"/>
          <w:highlight w:val="none"/>
        </w:rPr>
      </w:pPr>
    </w:p>
    <w:p w14:paraId="0349AFAB">
      <w:pPr>
        <w:pageBreakBefore w:val="0"/>
        <w:widowControl w:val="0"/>
        <w:wordWrap/>
        <w:overflowPunct/>
        <w:topLinePunct w:val="0"/>
        <w:bidi w:val="0"/>
        <w:spacing w:line="242" w:lineRule="auto"/>
        <w:rPr>
          <w:color w:val="auto"/>
          <w:spacing w:val="0"/>
          <w:position w:val="0"/>
          <w:highlight w:val="none"/>
        </w:rPr>
      </w:pPr>
    </w:p>
    <w:p w14:paraId="2947D703">
      <w:pPr>
        <w:pageBreakBefore w:val="0"/>
        <w:widowControl w:val="0"/>
        <w:wordWrap/>
        <w:overflowPunct/>
        <w:topLinePunct w:val="0"/>
        <w:bidi w:val="0"/>
        <w:spacing w:line="242" w:lineRule="auto"/>
        <w:rPr>
          <w:color w:val="auto"/>
          <w:spacing w:val="0"/>
          <w:position w:val="0"/>
          <w:highlight w:val="none"/>
        </w:rPr>
      </w:pPr>
    </w:p>
    <w:p w14:paraId="13B86730">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highlight w:val="none"/>
          <w:lang w:eastAsia="zh-CN"/>
        </w:rPr>
        <w:sectPr>
          <w:footerReference r:id="rId4" w:type="default"/>
          <w:pgSz w:w="11906" w:h="16839"/>
          <w:pgMar w:top="1429" w:right="1786" w:bottom="1429" w:left="1786" w:header="0" w:footer="994" w:gutter="0"/>
          <w:pgNumType w:fmt="decimal"/>
          <w:cols w:space="720" w:num="1"/>
        </w:sectPr>
      </w:pPr>
    </w:p>
    <w:p w14:paraId="5E83758A">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（二） 商务条件</w:t>
      </w:r>
    </w:p>
    <w:tbl>
      <w:tblPr>
        <w:tblStyle w:val="6"/>
        <w:tblW w:w="90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80"/>
        <w:gridCol w:w="1514"/>
        <w:gridCol w:w="6890"/>
      </w:tblGrid>
      <w:tr w14:paraId="1E6296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 w:hRule="atLeast"/>
        </w:trPr>
        <w:tc>
          <w:tcPr>
            <w:tcW w:w="680" w:type="dxa"/>
            <w:vAlign w:val="center"/>
          </w:tcPr>
          <w:p w14:paraId="3F09F8D9">
            <w:pPr>
              <w:pStyle w:val="7"/>
              <w:spacing w:before="37" w:line="360" w:lineRule="auto"/>
              <w:ind w:left="111"/>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序号</w:t>
            </w:r>
          </w:p>
        </w:tc>
        <w:tc>
          <w:tcPr>
            <w:tcW w:w="1514" w:type="dxa"/>
            <w:vAlign w:val="center"/>
          </w:tcPr>
          <w:p w14:paraId="5B9753DC">
            <w:pPr>
              <w:pStyle w:val="7"/>
              <w:spacing w:before="36" w:line="360" w:lineRule="auto"/>
              <w:ind w:left="0" w:leftChars="0" w:firstLine="0" w:firstLineChars="0"/>
              <w:jc w:val="center"/>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商务条款</w:t>
            </w:r>
          </w:p>
        </w:tc>
        <w:tc>
          <w:tcPr>
            <w:tcW w:w="6890" w:type="dxa"/>
            <w:vAlign w:val="top"/>
          </w:tcPr>
          <w:p w14:paraId="785FBAA0">
            <w:pPr>
              <w:pStyle w:val="7"/>
              <w:spacing w:before="37" w:line="360" w:lineRule="auto"/>
              <w:ind w:left="3219"/>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要求</w:t>
            </w:r>
          </w:p>
        </w:tc>
      </w:tr>
      <w:tr w14:paraId="6579AA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65" w:hRule="atLeast"/>
        </w:trPr>
        <w:tc>
          <w:tcPr>
            <w:tcW w:w="680" w:type="dxa"/>
            <w:vAlign w:val="center"/>
          </w:tcPr>
          <w:p w14:paraId="4096A6AE">
            <w:pPr>
              <w:pStyle w:val="7"/>
              <w:spacing w:before="78"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514" w:type="dxa"/>
            <w:vAlign w:val="center"/>
          </w:tcPr>
          <w:p w14:paraId="4ED482EE">
            <w:pPr>
              <w:pStyle w:val="7"/>
              <w:spacing w:before="78" w:line="360" w:lineRule="auto"/>
              <w:ind w:left="0" w:leftChars="0" w:firstLine="0" w:firstLineChars="0"/>
              <w:jc w:val="center"/>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报价要求</w:t>
            </w:r>
          </w:p>
        </w:tc>
        <w:tc>
          <w:tcPr>
            <w:tcW w:w="6890" w:type="dxa"/>
            <w:vAlign w:val="top"/>
          </w:tcPr>
          <w:p w14:paraId="0C28DACA">
            <w:pPr>
              <w:pStyle w:val="7"/>
              <w:spacing w:before="34" w:line="360" w:lineRule="auto"/>
              <w:ind w:left="7" w:leftChars="0" w:firstLine="411" w:firstLineChars="170"/>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（1）报价中必须包含但不限于：人工工资、技术服务费（含联络</w:t>
            </w:r>
            <w:r>
              <w:rPr>
                <w:rFonts w:hint="eastAsia" w:ascii="宋体" w:hAnsi="宋体" w:eastAsia="宋体" w:cs="宋体"/>
                <w:color w:val="auto"/>
                <w:spacing w:val="5"/>
                <w:sz w:val="24"/>
                <w:szCs w:val="24"/>
                <w:highlight w:val="none"/>
              </w:rPr>
              <w:t>费）、税费、验收费、售后服务费、保险、各种税务费及合同实</w:t>
            </w:r>
            <w:r>
              <w:rPr>
                <w:rFonts w:hint="eastAsia" w:ascii="宋体" w:hAnsi="宋体" w:eastAsia="宋体" w:cs="宋体"/>
                <w:color w:val="auto"/>
                <w:spacing w:val="16"/>
                <w:sz w:val="24"/>
                <w:szCs w:val="24"/>
                <w:highlight w:val="none"/>
              </w:rPr>
              <w:t xml:space="preserve"> </w:t>
            </w:r>
            <w:r>
              <w:rPr>
                <w:rFonts w:hint="eastAsia" w:ascii="宋体" w:hAnsi="宋体" w:eastAsia="宋体" w:cs="宋体"/>
                <w:color w:val="auto"/>
                <w:spacing w:val="-2"/>
                <w:sz w:val="24"/>
                <w:szCs w:val="24"/>
                <w:highlight w:val="none"/>
              </w:rPr>
              <w:t>施过程中的应预见及不可预见费用等</w:t>
            </w:r>
            <w:r>
              <w:rPr>
                <w:rFonts w:hint="eastAsia" w:ascii="宋体" w:hAnsi="宋体" w:eastAsia="宋体" w:cs="宋体"/>
                <w:color w:val="auto"/>
                <w:spacing w:val="-2"/>
                <w:sz w:val="24"/>
                <w:szCs w:val="24"/>
                <w:highlight w:val="none"/>
                <w:lang w:val="en-US" w:eastAsia="zh-CN"/>
              </w:rPr>
              <w:t>完成</w:t>
            </w:r>
            <w:r>
              <w:rPr>
                <w:rFonts w:hint="eastAsia" w:ascii="宋体" w:hAnsi="宋体" w:eastAsia="宋体" w:cs="宋体"/>
                <w:color w:val="auto"/>
                <w:spacing w:val="2"/>
                <w:sz w:val="24"/>
                <w:szCs w:val="24"/>
                <w:highlight w:val="none"/>
              </w:rPr>
              <w:t>足球U系列省队全运会备战工作</w:t>
            </w:r>
            <w:r>
              <w:rPr>
                <w:rFonts w:hint="eastAsia" w:ascii="宋体" w:hAnsi="宋体" w:eastAsia="宋体" w:cs="宋体"/>
                <w:color w:val="auto"/>
                <w:spacing w:val="-1"/>
                <w:sz w:val="24"/>
                <w:szCs w:val="24"/>
                <w:highlight w:val="none"/>
                <w:u w:val="single" w:color="auto"/>
                <w:lang w:val="en-US" w:eastAsia="zh-CN"/>
              </w:rPr>
              <w:t>和</w:t>
            </w:r>
            <w:r>
              <w:rPr>
                <w:rFonts w:hint="eastAsia" w:ascii="宋体" w:hAnsi="宋体" w:eastAsia="宋体" w:cs="宋体"/>
                <w:color w:val="auto"/>
                <w:spacing w:val="-1"/>
                <w:sz w:val="24"/>
                <w:szCs w:val="24"/>
                <w:highlight w:val="none"/>
                <w:u w:val="single" w:color="auto"/>
              </w:rPr>
              <w:t>足球赛事服务</w:t>
            </w:r>
            <w:r>
              <w:rPr>
                <w:rFonts w:hint="eastAsia" w:ascii="宋体" w:hAnsi="宋体" w:eastAsia="宋体" w:cs="宋体"/>
                <w:color w:val="auto"/>
                <w:spacing w:val="-1"/>
                <w:sz w:val="24"/>
                <w:szCs w:val="24"/>
                <w:highlight w:val="none"/>
                <w:u w:val="single" w:color="auto"/>
                <w:lang w:val="en-US" w:eastAsia="zh-CN"/>
              </w:rPr>
              <w:t>的全部费用</w:t>
            </w:r>
            <w:r>
              <w:rPr>
                <w:rFonts w:hint="eastAsia" w:ascii="宋体" w:hAnsi="宋体" w:eastAsia="宋体" w:cs="宋体"/>
                <w:color w:val="auto"/>
                <w:spacing w:val="-2"/>
                <w:sz w:val="24"/>
                <w:szCs w:val="24"/>
                <w:highlight w:val="none"/>
              </w:rPr>
              <w:t>。</w:t>
            </w:r>
          </w:p>
          <w:p w14:paraId="5E7518E1">
            <w:pPr>
              <w:pStyle w:val="7"/>
              <w:spacing w:before="181" w:line="360" w:lineRule="auto"/>
              <w:ind w:left="7" w:leftChars="0" w:firstLine="401" w:firstLineChars="170"/>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（2）报价不高于项目采购预算，且不低于成本价。</w:t>
            </w:r>
          </w:p>
        </w:tc>
      </w:tr>
      <w:tr w14:paraId="5EBF7A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6" w:hRule="atLeast"/>
        </w:trPr>
        <w:tc>
          <w:tcPr>
            <w:tcW w:w="680" w:type="dxa"/>
            <w:vAlign w:val="center"/>
          </w:tcPr>
          <w:p w14:paraId="3A66EA1A">
            <w:pPr>
              <w:pStyle w:val="7"/>
              <w:spacing w:before="39" w:line="360" w:lineRule="auto"/>
              <w:ind w:left="292"/>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514" w:type="dxa"/>
            <w:vAlign w:val="center"/>
          </w:tcPr>
          <w:p w14:paraId="2D849E9C">
            <w:pPr>
              <w:pStyle w:val="7"/>
              <w:spacing w:before="38" w:line="360" w:lineRule="auto"/>
              <w:ind w:left="0" w:leftChars="0" w:firstLine="0" w:firstLineChars="0"/>
              <w:jc w:val="center"/>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服务地点</w:t>
            </w:r>
          </w:p>
        </w:tc>
        <w:tc>
          <w:tcPr>
            <w:tcW w:w="6890" w:type="dxa"/>
            <w:vAlign w:val="top"/>
          </w:tcPr>
          <w:p w14:paraId="68832589">
            <w:pPr>
              <w:pStyle w:val="7"/>
              <w:spacing w:before="38" w:line="360" w:lineRule="auto"/>
              <w:ind w:left="7" w:leftChars="0" w:firstLine="401" w:firstLineChars="170"/>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采购人指定地点</w:t>
            </w:r>
          </w:p>
        </w:tc>
      </w:tr>
      <w:tr w14:paraId="59F883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680" w:type="dxa"/>
            <w:vAlign w:val="center"/>
          </w:tcPr>
          <w:p w14:paraId="36A4DC59">
            <w:pPr>
              <w:pStyle w:val="7"/>
              <w:spacing w:before="272" w:line="360" w:lineRule="auto"/>
              <w:ind w:left="294"/>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514" w:type="dxa"/>
            <w:vAlign w:val="center"/>
          </w:tcPr>
          <w:p w14:paraId="296E033E">
            <w:pPr>
              <w:pStyle w:val="7"/>
              <w:spacing w:before="272" w:line="360" w:lineRule="auto"/>
              <w:ind w:left="0" w:leftChars="0" w:firstLine="0" w:firstLineChars="0"/>
              <w:jc w:val="center"/>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服务期</w:t>
            </w:r>
          </w:p>
        </w:tc>
        <w:tc>
          <w:tcPr>
            <w:tcW w:w="6890" w:type="dxa"/>
            <w:vAlign w:val="top"/>
          </w:tcPr>
          <w:p w14:paraId="7B978DDA">
            <w:pPr>
              <w:pStyle w:val="7"/>
              <w:spacing w:before="41" w:line="360" w:lineRule="auto"/>
              <w:ind w:left="7" w:leftChars="0" w:firstLine="401" w:firstLineChars="170"/>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自合同签订生效之日起至2026年12月31日前完成所有服务事项，并经采购人</w:t>
            </w:r>
            <w:r>
              <w:rPr>
                <w:rFonts w:hint="eastAsia" w:ascii="宋体" w:hAnsi="宋体" w:eastAsia="宋体" w:cs="宋体"/>
                <w:color w:val="auto"/>
                <w:spacing w:val="1"/>
                <w:sz w:val="24"/>
                <w:szCs w:val="24"/>
                <w:highlight w:val="none"/>
                <w:lang w:val="en-US" w:eastAsia="zh-CN"/>
              </w:rPr>
              <w:t>考核</w:t>
            </w:r>
            <w:r>
              <w:rPr>
                <w:rFonts w:hint="eastAsia" w:ascii="宋体" w:hAnsi="宋体" w:eastAsia="宋体" w:cs="宋体"/>
                <w:color w:val="auto"/>
                <w:spacing w:val="-2"/>
                <w:sz w:val="24"/>
                <w:szCs w:val="24"/>
                <w:highlight w:val="none"/>
              </w:rPr>
              <w:t>确认合格。</w:t>
            </w:r>
          </w:p>
        </w:tc>
      </w:tr>
      <w:tr w14:paraId="7B1A87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680" w:type="dxa"/>
            <w:vAlign w:val="center"/>
          </w:tcPr>
          <w:p w14:paraId="5C35B63F">
            <w:pPr>
              <w:pStyle w:val="7"/>
              <w:spacing w:before="78" w:line="360" w:lineRule="auto"/>
              <w:ind w:left="288" w:leftChars="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514" w:type="dxa"/>
            <w:vAlign w:val="center"/>
          </w:tcPr>
          <w:p w14:paraId="2DA9E38C">
            <w:pPr>
              <w:pStyle w:val="7"/>
              <w:spacing w:before="78" w:line="360" w:lineRule="auto"/>
              <w:ind w:left="0" w:leftChars="0" w:firstLine="0" w:firstLineChars="0"/>
              <w:jc w:val="center"/>
              <w:rPr>
                <w:rFonts w:hint="eastAsia" w:ascii="宋体" w:hAnsi="宋体" w:eastAsia="宋体" w:cs="宋体"/>
                <w:color w:val="auto"/>
                <w:spacing w:val="-6"/>
                <w:sz w:val="24"/>
                <w:szCs w:val="24"/>
                <w:highlight w:val="none"/>
              </w:rPr>
            </w:pPr>
            <w:r>
              <w:rPr>
                <w:rFonts w:hint="eastAsia" w:ascii="宋体" w:hAnsi="宋体" w:eastAsia="宋体" w:cs="宋体"/>
                <w:color w:val="auto"/>
                <w:spacing w:val="-6"/>
                <w:sz w:val="24"/>
                <w:szCs w:val="24"/>
                <w:highlight w:val="none"/>
              </w:rPr>
              <w:t>付款方式</w:t>
            </w:r>
          </w:p>
        </w:tc>
        <w:tc>
          <w:tcPr>
            <w:tcW w:w="6890" w:type="dxa"/>
            <w:vAlign w:val="top"/>
          </w:tcPr>
          <w:p w14:paraId="5ED569D7">
            <w:pPr>
              <w:spacing w:before="181" w:line="360" w:lineRule="auto"/>
              <w:ind w:left="7" w:leftChars="0" w:right="83" w:firstLine="425" w:firstLineChars="170"/>
              <w:rPr>
                <w:rFonts w:hint="eastAsia" w:ascii="宋体" w:hAnsi="宋体" w:eastAsia="宋体" w:cs="宋体"/>
                <w:color w:val="auto"/>
                <w:spacing w:val="1"/>
                <w:sz w:val="24"/>
                <w:szCs w:val="24"/>
                <w:highlight w:val="none"/>
              </w:rPr>
            </w:pPr>
            <w:r>
              <w:rPr>
                <w:rFonts w:hint="eastAsia" w:ascii="宋体" w:hAnsi="宋体" w:eastAsia="宋体" w:cs="宋体"/>
                <w:color w:val="auto"/>
                <w:spacing w:val="5"/>
                <w:sz w:val="24"/>
                <w:szCs w:val="24"/>
                <w:highlight w:val="none"/>
              </w:rPr>
              <w:t>本合同价款分三期支付，第一期</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于合同</w:t>
            </w:r>
            <w:r>
              <w:rPr>
                <w:rFonts w:hint="eastAsia" w:ascii="宋体" w:hAnsi="宋体" w:eastAsia="宋体" w:cs="宋体"/>
                <w:color w:val="auto"/>
                <w:spacing w:val="5"/>
                <w:sz w:val="24"/>
                <w:szCs w:val="24"/>
                <w:highlight w:val="none"/>
                <w:lang w:val="en-US" w:eastAsia="zh-CN"/>
              </w:rPr>
              <w:t>生效</w:t>
            </w:r>
            <w:r>
              <w:rPr>
                <w:rFonts w:hint="eastAsia" w:ascii="宋体" w:hAnsi="宋体" w:eastAsia="宋体" w:cs="宋体"/>
                <w:color w:val="auto"/>
                <w:spacing w:val="5"/>
                <w:sz w:val="24"/>
                <w:szCs w:val="24"/>
                <w:highlight w:val="none"/>
              </w:rPr>
              <w:t>后一周内向中标人支</w:t>
            </w:r>
            <w:r>
              <w:rPr>
                <w:rFonts w:hint="eastAsia" w:ascii="宋体" w:hAnsi="宋体" w:eastAsia="宋体" w:cs="宋体"/>
                <w:color w:val="auto"/>
                <w:spacing w:val="-1"/>
                <w:sz w:val="24"/>
                <w:szCs w:val="24"/>
                <w:highlight w:val="none"/>
              </w:rPr>
              <w:t>付合同款的30%；第二期</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根据项目完成进度向</w:t>
            </w:r>
            <w:r>
              <w:rPr>
                <w:rFonts w:hint="eastAsia" w:ascii="宋体" w:hAnsi="宋体" w:eastAsia="宋体" w:cs="宋体"/>
                <w:color w:val="auto"/>
                <w:spacing w:val="5"/>
                <w:sz w:val="24"/>
                <w:szCs w:val="24"/>
                <w:highlight w:val="none"/>
              </w:rPr>
              <w:t>中标人</w:t>
            </w:r>
            <w:r>
              <w:rPr>
                <w:rFonts w:hint="eastAsia" w:ascii="宋体" w:hAnsi="宋体" w:eastAsia="宋体" w:cs="宋体"/>
                <w:color w:val="auto"/>
                <w:spacing w:val="-1"/>
                <w:sz w:val="24"/>
                <w:szCs w:val="24"/>
                <w:highlight w:val="none"/>
              </w:rPr>
              <w:t>支付合同款,以绩效考核评分</w:t>
            </w:r>
            <w:r>
              <w:rPr>
                <w:rFonts w:hint="eastAsia" w:ascii="宋体" w:hAnsi="宋体" w:eastAsia="宋体" w:cs="宋体"/>
                <w:color w:val="auto"/>
                <w:spacing w:val="-2"/>
                <w:sz w:val="24"/>
                <w:szCs w:val="24"/>
                <w:highlight w:val="none"/>
              </w:rPr>
              <w:t>表为准，</w:t>
            </w:r>
            <w:r>
              <w:rPr>
                <w:rFonts w:hint="eastAsia" w:ascii="宋体" w:hAnsi="宋体" w:eastAsia="宋体" w:cs="宋体"/>
                <w:color w:val="auto"/>
                <w:spacing w:val="2"/>
                <w:sz w:val="24"/>
                <w:szCs w:val="24"/>
                <w:highlight w:val="none"/>
              </w:rPr>
              <w:t>足球U系列省队全运会备战</w:t>
            </w:r>
            <w:r>
              <w:rPr>
                <w:rFonts w:hint="eastAsia" w:ascii="宋体" w:hAnsi="宋体" w:eastAsia="宋体" w:cs="宋体"/>
                <w:color w:val="auto"/>
                <w:spacing w:val="-1"/>
                <w:sz w:val="24"/>
                <w:szCs w:val="24"/>
                <w:highlight w:val="none"/>
              </w:rPr>
              <w:t>和赛事服务两个项目的完</w:t>
            </w:r>
            <w:r>
              <w:rPr>
                <w:rFonts w:hint="eastAsia" w:ascii="宋体" w:hAnsi="宋体" w:eastAsia="宋体" w:cs="宋体"/>
                <w:color w:val="auto"/>
                <w:spacing w:val="-2"/>
                <w:sz w:val="24"/>
                <w:szCs w:val="24"/>
                <w:highlight w:val="none"/>
              </w:rPr>
              <w:t>成进度评分均达到50分时支付</w:t>
            </w:r>
            <w:r>
              <w:rPr>
                <w:rFonts w:hint="eastAsia" w:ascii="宋体" w:hAnsi="宋体" w:eastAsia="宋体" w:cs="宋体"/>
                <w:color w:val="auto"/>
                <w:spacing w:val="-1"/>
                <w:sz w:val="24"/>
                <w:szCs w:val="24"/>
                <w:highlight w:val="none"/>
              </w:rPr>
              <w:t>合同款的50%</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即加上第一期共支付合同款的80%</w:t>
            </w:r>
            <w:r>
              <w:rPr>
                <w:rFonts w:hint="eastAsia" w:ascii="宋体" w:hAnsi="宋体" w:eastAsia="宋体" w:cs="宋体"/>
                <w:color w:val="auto"/>
                <w:spacing w:val="-1"/>
                <w:sz w:val="24"/>
                <w:szCs w:val="24"/>
                <w:highlight w:val="none"/>
              </w:rPr>
              <w:t>；；</w:t>
            </w:r>
          </w:p>
          <w:p w14:paraId="6AD1D369">
            <w:pPr>
              <w:pStyle w:val="7"/>
              <w:spacing w:before="38" w:line="360" w:lineRule="auto"/>
              <w:ind w:left="7" w:leftChars="0" w:firstLine="411" w:firstLineChars="170"/>
              <w:jc w:val="both"/>
              <w:rPr>
                <w:rFonts w:hint="eastAsia" w:ascii="宋体" w:hAnsi="宋体" w:eastAsia="宋体" w:cs="宋体"/>
                <w:color w:val="auto"/>
                <w:spacing w:val="-1"/>
                <w:sz w:val="24"/>
                <w:szCs w:val="24"/>
                <w:highlight w:val="none"/>
              </w:rPr>
            </w:pPr>
            <w:r>
              <w:rPr>
                <w:rFonts w:hint="eastAsia" w:ascii="宋体" w:hAnsi="宋体" w:eastAsia="宋体" w:cs="宋体"/>
                <w:color w:val="auto"/>
                <w:spacing w:val="1"/>
                <w:sz w:val="24"/>
                <w:szCs w:val="24"/>
                <w:highlight w:val="none"/>
              </w:rPr>
              <w:t>第三期</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rPr>
              <w:t>合同款于</w:t>
            </w:r>
            <w:r>
              <w:rPr>
                <w:rFonts w:hint="eastAsia" w:ascii="宋体" w:hAnsi="宋体" w:eastAsia="宋体" w:cs="宋体"/>
                <w:color w:val="auto"/>
                <w:spacing w:val="5"/>
                <w:sz w:val="24"/>
                <w:szCs w:val="24"/>
                <w:highlight w:val="none"/>
              </w:rPr>
              <w:t>中标人</w:t>
            </w:r>
            <w:r>
              <w:rPr>
                <w:rFonts w:hint="eastAsia" w:ascii="宋体" w:hAnsi="宋体" w:eastAsia="宋体" w:cs="宋体"/>
                <w:color w:val="auto"/>
                <w:spacing w:val="-1"/>
                <w:sz w:val="24"/>
                <w:szCs w:val="24"/>
                <w:highlight w:val="none"/>
              </w:rPr>
              <w:t>完成考核后一周内</w:t>
            </w:r>
            <w:r>
              <w:rPr>
                <w:rFonts w:hint="eastAsia" w:ascii="宋体" w:hAnsi="宋体" w:eastAsia="宋体" w:cs="宋体"/>
                <w:color w:val="auto"/>
                <w:spacing w:val="-2"/>
                <w:sz w:val="24"/>
                <w:szCs w:val="24"/>
                <w:highlight w:val="none"/>
              </w:rPr>
              <w:t>，根据考核结果支付</w:t>
            </w:r>
            <w:r>
              <w:rPr>
                <w:rFonts w:hint="eastAsia" w:ascii="宋体" w:hAnsi="宋体" w:eastAsia="宋体" w:cs="宋体"/>
                <w:color w:val="auto"/>
                <w:spacing w:val="-2"/>
                <w:sz w:val="24"/>
                <w:szCs w:val="24"/>
                <w:highlight w:val="none"/>
                <w:lang w:val="en-US" w:eastAsia="zh-CN"/>
              </w:rPr>
              <w:t>剩余合同款</w:t>
            </w:r>
            <w:r>
              <w:rPr>
                <w:rFonts w:hint="eastAsia" w:ascii="宋体" w:hAnsi="宋体" w:eastAsia="宋体" w:cs="宋体"/>
                <w:color w:val="auto"/>
                <w:spacing w:val="-2"/>
                <w:sz w:val="24"/>
                <w:szCs w:val="24"/>
                <w:highlight w:val="none"/>
              </w:rPr>
              <w:t>。</w:t>
            </w:r>
          </w:p>
        </w:tc>
      </w:tr>
      <w:tr w14:paraId="7B303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680" w:type="dxa"/>
            <w:vAlign w:val="center"/>
          </w:tcPr>
          <w:p w14:paraId="2EA34B86">
            <w:pPr>
              <w:pStyle w:val="7"/>
              <w:spacing w:before="269" w:line="360" w:lineRule="auto"/>
              <w:ind w:left="294" w:leftChars="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514" w:type="dxa"/>
            <w:vAlign w:val="center"/>
          </w:tcPr>
          <w:p w14:paraId="6C53F85D">
            <w:pPr>
              <w:pStyle w:val="7"/>
              <w:spacing w:before="269" w:line="360" w:lineRule="auto"/>
              <w:ind w:left="0" w:leftChars="0" w:firstLine="0" w:firstLineChars="0"/>
              <w:jc w:val="center"/>
              <w:rPr>
                <w:rFonts w:hint="eastAsia" w:ascii="宋体" w:hAnsi="宋体" w:eastAsia="宋体" w:cs="宋体"/>
                <w:color w:val="auto"/>
                <w:spacing w:val="-6"/>
                <w:sz w:val="24"/>
                <w:szCs w:val="24"/>
                <w:highlight w:val="none"/>
              </w:rPr>
            </w:pPr>
            <w:r>
              <w:rPr>
                <w:rFonts w:hint="eastAsia" w:ascii="宋体" w:hAnsi="宋体" w:eastAsia="宋体" w:cs="宋体"/>
                <w:color w:val="auto"/>
                <w:spacing w:val="-6"/>
                <w:sz w:val="24"/>
                <w:szCs w:val="24"/>
                <w:highlight w:val="none"/>
              </w:rPr>
              <w:t>付款要求</w:t>
            </w:r>
          </w:p>
        </w:tc>
        <w:tc>
          <w:tcPr>
            <w:tcW w:w="6890" w:type="dxa"/>
            <w:vAlign w:val="top"/>
          </w:tcPr>
          <w:p w14:paraId="1D8EADAB">
            <w:pPr>
              <w:pStyle w:val="7"/>
              <w:spacing w:before="36" w:line="360" w:lineRule="auto"/>
              <w:ind w:left="7" w:leftChars="0" w:firstLine="404" w:firstLineChars="170"/>
              <w:rPr>
                <w:rFonts w:hint="eastAsia" w:ascii="宋体" w:hAnsi="宋体" w:eastAsia="宋体" w:cs="宋体"/>
                <w:color w:val="auto"/>
                <w:spacing w:val="5"/>
                <w:sz w:val="24"/>
                <w:szCs w:val="24"/>
                <w:highlight w:val="none"/>
              </w:rPr>
            </w:pPr>
            <w:r>
              <w:rPr>
                <w:rFonts w:hint="eastAsia" w:ascii="宋体" w:hAnsi="宋体" w:eastAsia="宋体" w:cs="宋体"/>
                <w:color w:val="auto"/>
                <w:spacing w:val="-1"/>
                <w:sz w:val="24"/>
                <w:szCs w:val="24"/>
                <w:highlight w:val="none"/>
                <w:lang w:eastAsia="zh-CN"/>
              </w:rPr>
              <w:t>采购人</w:t>
            </w:r>
            <w:r>
              <w:rPr>
                <w:rFonts w:hint="eastAsia" w:ascii="宋体" w:hAnsi="宋体" w:eastAsia="宋体" w:cs="宋体"/>
                <w:color w:val="auto"/>
                <w:spacing w:val="-1"/>
                <w:sz w:val="24"/>
                <w:szCs w:val="24"/>
                <w:highlight w:val="none"/>
                <w:lang w:val="en-US" w:eastAsia="zh-CN"/>
              </w:rPr>
              <w:t>支付任意一笔款项前30日，</w:t>
            </w:r>
            <w:r>
              <w:rPr>
                <w:rFonts w:hint="eastAsia" w:ascii="宋体" w:hAnsi="宋体" w:eastAsia="宋体" w:cs="宋体"/>
                <w:color w:val="auto"/>
                <w:spacing w:val="-1"/>
                <w:sz w:val="24"/>
                <w:szCs w:val="24"/>
                <w:highlight w:val="none"/>
                <w:lang w:eastAsia="zh-CN"/>
              </w:rPr>
              <w:t>中标人</w:t>
            </w:r>
            <w:r>
              <w:rPr>
                <w:rFonts w:hint="eastAsia" w:ascii="宋体" w:hAnsi="宋体" w:eastAsia="宋体" w:cs="宋体"/>
                <w:color w:val="auto"/>
                <w:spacing w:val="-1"/>
                <w:sz w:val="24"/>
                <w:szCs w:val="24"/>
                <w:highlight w:val="none"/>
                <w:lang w:val="en-US" w:eastAsia="zh-CN"/>
              </w:rPr>
              <w:t>应</w:t>
            </w:r>
            <w:r>
              <w:rPr>
                <w:rFonts w:hint="eastAsia" w:ascii="宋体" w:hAnsi="宋体" w:eastAsia="宋体" w:cs="宋体"/>
                <w:color w:val="auto"/>
                <w:spacing w:val="-1"/>
                <w:sz w:val="24"/>
                <w:szCs w:val="24"/>
                <w:highlight w:val="none"/>
              </w:rPr>
              <w:t>向</w:t>
            </w:r>
            <w:r>
              <w:rPr>
                <w:rFonts w:hint="eastAsia" w:ascii="宋体" w:hAnsi="宋体" w:eastAsia="宋体" w:cs="宋体"/>
                <w:color w:val="auto"/>
                <w:spacing w:val="-1"/>
                <w:sz w:val="24"/>
                <w:szCs w:val="24"/>
                <w:highlight w:val="none"/>
                <w:lang w:eastAsia="zh-CN"/>
              </w:rPr>
              <w:t>采购人</w:t>
            </w:r>
            <w:r>
              <w:rPr>
                <w:rFonts w:hint="eastAsia" w:ascii="宋体" w:hAnsi="宋体" w:eastAsia="宋体" w:cs="宋体"/>
                <w:color w:val="auto"/>
                <w:spacing w:val="-1"/>
                <w:sz w:val="24"/>
                <w:szCs w:val="24"/>
                <w:highlight w:val="none"/>
                <w:lang w:val="en-US" w:eastAsia="zh-CN"/>
              </w:rPr>
              <w:t>提供等额</w:t>
            </w:r>
            <w:r>
              <w:rPr>
                <w:rFonts w:hint="eastAsia" w:ascii="宋体" w:hAnsi="宋体" w:eastAsia="宋体" w:cs="宋体"/>
                <w:color w:val="auto"/>
                <w:spacing w:val="-2"/>
                <w:sz w:val="24"/>
                <w:szCs w:val="24"/>
                <w:highlight w:val="none"/>
              </w:rPr>
              <w:t>发票</w:t>
            </w:r>
            <w:r>
              <w:rPr>
                <w:rFonts w:hint="eastAsia" w:ascii="宋体" w:hAnsi="宋体" w:eastAsia="宋体" w:cs="宋体"/>
                <w:color w:val="auto"/>
                <w:spacing w:val="5"/>
                <w:sz w:val="24"/>
                <w:szCs w:val="24"/>
                <w:highlight w:val="none"/>
              </w:rPr>
              <w:t>，否则，造</w:t>
            </w:r>
            <w:r>
              <w:rPr>
                <w:rFonts w:hint="eastAsia" w:ascii="宋体" w:hAnsi="宋体" w:eastAsia="宋体" w:cs="宋体"/>
                <w:color w:val="auto"/>
                <w:spacing w:val="-2"/>
                <w:sz w:val="24"/>
                <w:szCs w:val="24"/>
                <w:highlight w:val="none"/>
              </w:rPr>
              <w:t>成延付，采购人不承担逾期付款的违约责任。</w:t>
            </w:r>
          </w:p>
        </w:tc>
      </w:tr>
      <w:tr w14:paraId="20B7DD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680" w:type="dxa"/>
            <w:vAlign w:val="center"/>
          </w:tcPr>
          <w:p w14:paraId="0AD978FB">
            <w:pPr>
              <w:pStyle w:val="7"/>
              <w:spacing w:before="78" w:line="360" w:lineRule="auto"/>
              <w:ind w:left="291" w:leftChars="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514" w:type="dxa"/>
            <w:vAlign w:val="center"/>
          </w:tcPr>
          <w:p w14:paraId="106B8B16">
            <w:pPr>
              <w:pStyle w:val="7"/>
              <w:spacing w:before="78" w:line="360" w:lineRule="auto"/>
              <w:ind w:left="0" w:leftChars="0" w:firstLine="0" w:firstLineChars="0"/>
              <w:jc w:val="center"/>
              <w:rPr>
                <w:rFonts w:hint="eastAsia" w:ascii="宋体" w:hAnsi="宋体" w:eastAsia="宋体" w:cs="宋体"/>
                <w:color w:val="auto"/>
                <w:spacing w:val="-6"/>
                <w:sz w:val="24"/>
                <w:szCs w:val="24"/>
                <w:highlight w:val="none"/>
              </w:rPr>
            </w:pPr>
            <w:r>
              <w:rPr>
                <w:rFonts w:hint="eastAsia" w:ascii="宋体" w:hAnsi="宋体" w:eastAsia="宋体" w:cs="宋体"/>
                <w:color w:val="auto"/>
                <w:spacing w:val="-6"/>
                <w:sz w:val="24"/>
                <w:szCs w:val="24"/>
                <w:highlight w:val="none"/>
              </w:rPr>
              <w:t>验收标准</w:t>
            </w:r>
          </w:p>
        </w:tc>
        <w:tc>
          <w:tcPr>
            <w:tcW w:w="6890" w:type="dxa"/>
            <w:vAlign w:val="top"/>
          </w:tcPr>
          <w:p w14:paraId="5FEA0B37">
            <w:pPr>
              <w:pStyle w:val="7"/>
              <w:spacing w:before="37" w:line="360" w:lineRule="auto"/>
              <w:ind w:left="7" w:leftChars="0" w:firstLine="425" w:firstLineChars="170"/>
              <w:jc w:val="both"/>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中标人应按照本项目服务需求约定按时进行服务</w:t>
            </w:r>
            <w:r>
              <w:rPr>
                <w:rFonts w:hint="eastAsia" w:ascii="宋体" w:hAnsi="宋体" w:eastAsia="宋体" w:cs="宋体"/>
                <w:color w:val="auto"/>
                <w:spacing w:val="4"/>
                <w:sz w:val="24"/>
                <w:szCs w:val="24"/>
                <w:highlight w:val="none"/>
              </w:rPr>
              <w:t>，并完成该项目</w:t>
            </w:r>
            <w:r>
              <w:rPr>
                <w:rFonts w:hint="eastAsia" w:ascii="宋体" w:hAnsi="宋体" w:eastAsia="宋体" w:cs="宋体"/>
                <w:color w:val="auto"/>
                <w:spacing w:val="5"/>
                <w:sz w:val="24"/>
                <w:szCs w:val="24"/>
                <w:highlight w:val="none"/>
              </w:rPr>
              <w:t>的各项服务要求，中标人配合采购人填写项目（服务）验收材料后，采购人按采购文件采购需求进行验收。验收不合格的，中标</w:t>
            </w:r>
            <w:r>
              <w:rPr>
                <w:rFonts w:hint="eastAsia" w:ascii="宋体" w:hAnsi="宋体" w:eastAsia="宋体" w:cs="宋体"/>
                <w:color w:val="auto"/>
                <w:spacing w:val="13"/>
                <w:sz w:val="24"/>
                <w:szCs w:val="24"/>
                <w:highlight w:val="none"/>
              </w:rPr>
              <w:t xml:space="preserve"> </w:t>
            </w:r>
            <w:r>
              <w:rPr>
                <w:rFonts w:hint="eastAsia" w:ascii="宋体" w:hAnsi="宋体" w:eastAsia="宋体" w:cs="宋体"/>
                <w:color w:val="auto"/>
                <w:spacing w:val="-2"/>
                <w:sz w:val="24"/>
                <w:szCs w:val="24"/>
                <w:highlight w:val="none"/>
              </w:rPr>
              <w:t>人需承担相应违约责任。</w:t>
            </w:r>
          </w:p>
        </w:tc>
      </w:tr>
      <w:tr w14:paraId="24D10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680" w:type="dxa"/>
            <w:vAlign w:val="center"/>
          </w:tcPr>
          <w:p w14:paraId="4E0306A5">
            <w:pPr>
              <w:pStyle w:val="7"/>
              <w:spacing w:before="78"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514" w:type="dxa"/>
            <w:vAlign w:val="center"/>
          </w:tcPr>
          <w:p w14:paraId="22DB1FD3">
            <w:pPr>
              <w:pStyle w:val="7"/>
              <w:spacing w:before="78" w:line="360" w:lineRule="auto"/>
              <w:ind w:left="0" w:leftChars="0" w:firstLine="0" w:firstLineChars="0"/>
              <w:jc w:val="center"/>
              <w:rPr>
                <w:rFonts w:hint="eastAsia" w:ascii="宋体" w:hAnsi="宋体" w:eastAsia="宋体" w:cs="宋体"/>
                <w:color w:val="auto"/>
                <w:spacing w:val="-6"/>
                <w:sz w:val="24"/>
                <w:szCs w:val="24"/>
                <w:highlight w:val="none"/>
              </w:rPr>
            </w:pPr>
            <w:r>
              <w:rPr>
                <w:rFonts w:hint="eastAsia" w:ascii="宋体" w:hAnsi="宋体" w:eastAsia="宋体" w:cs="宋体"/>
                <w:color w:val="auto"/>
                <w:spacing w:val="-7"/>
                <w:sz w:val="24"/>
                <w:szCs w:val="24"/>
                <w:highlight w:val="none"/>
              </w:rPr>
              <w:t>其它要求</w:t>
            </w:r>
          </w:p>
        </w:tc>
        <w:tc>
          <w:tcPr>
            <w:tcW w:w="6890" w:type="dxa"/>
            <w:vAlign w:val="top"/>
          </w:tcPr>
          <w:p w14:paraId="130510C6">
            <w:pPr>
              <w:pStyle w:val="7"/>
              <w:spacing w:before="36" w:line="360" w:lineRule="auto"/>
              <w:ind w:left="7" w:leftChars="0" w:firstLine="425" w:firstLineChars="170"/>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1.中标人要严格落实有关赛风赛纪和安全工作</w:t>
            </w:r>
            <w:r>
              <w:rPr>
                <w:rFonts w:hint="eastAsia" w:ascii="宋体" w:hAnsi="宋体" w:eastAsia="宋体" w:cs="宋体"/>
                <w:color w:val="auto"/>
                <w:spacing w:val="4"/>
                <w:sz w:val="24"/>
                <w:szCs w:val="24"/>
                <w:highlight w:val="none"/>
              </w:rPr>
              <w:t>的要求，认真做好</w:t>
            </w:r>
            <w:r>
              <w:rPr>
                <w:rFonts w:hint="eastAsia" w:ascii="宋体" w:hAnsi="宋体" w:eastAsia="宋体" w:cs="宋体"/>
                <w:color w:val="auto"/>
                <w:sz w:val="24"/>
                <w:szCs w:val="24"/>
                <w:highlight w:val="none"/>
              </w:rPr>
              <w:t xml:space="preserve"> </w:t>
            </w:r>
            <w:r>
              <w:rPr>
                <w:rFonts w:hint="eastAsia" w:ascii="宋体" w:hAnsi="宋体" w:eastAsia="宋体" w:cs="宋体"/>
                <w:color w:val="auto"/>
                <w:spacing w:val="5"/>
                <w:sz w:val="24"/>
                <w:szCs w:val="24"/>
                <w:highlight w:val="none"/>
              </w:rPr>
              <w:t>运动员的教育管理工作，严肃纪律、严格管理、严格监督，杜绝</w:t>
            </w:r>
            <w:r>
              <w:rPr>
                <w:rFonts w:hint="eastAsia" w:ascii="宋体" w:hAnsi="宋体" w:eastAsia="宋体" w:cs="宋体"/>
                <w:color w:val="auto"/>
                <w:spacing w:val="-2"/>
                <w:sz w:val="24"/>
                <w:szCs w:val="24"/>
                <w:highlight w:val="none"/>
              </w:rPr>
              <w:t>在比赛中出现任何违犯体育道德的事件。</w:t>
            </w:r>
          </w:p>
          <w:p w14:paraId="65DC2DB9">
            <w:pPr>
              <w:pStyle w:val="7"/>
              <w:spacing w:before="181" w:line="360" w:lineRule="auto"/>
              <w:ind w:left="7" w:leftChars="0" w:firstLine="425" w:firstLineChars="170"/>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2.中标人作为反兴奋剂工作第一责任人，须切实做好运动员的教</w:t>
            </w:r>
            <w:r>
              <w:rPr>
                <w:rFonts w:hint="eastAsia" w:ascii="宋体" w:hAnsi="宋体" w:eastAsia="宋体" w:cs="宋体"/>
                <w:color w:val="auto"/>
                <w:spacing w:val="-2"/>
                <w:sz w:val="24"/>
                <w:szCs w:val="24"/>
                <w:highlight w:val="none"/>
              </w:rPr>
              <w:t>育与预防工作，杜绝出现任何违反兴奋剂规定的事件。</w:t>
            </w:r>
          </w:p>
          <w:p w14:paraId="45C3AC5E">
            <w:pPr>
              <w:pStyle w:val="7"/>
              <w:spacing w:before="182" w:line="360" w:lineRule="auto"/>
              <w:ind w:left="7" w:leftChars="0" w:firstLine="425" w:firstLineChars="170"/>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3.中标人应按采购人的要求开展工作，如在合同履约过程中出现计划或方案变更情况时，应及时向采购人提出，并在征得采购人的书面同意后方可实施。合同履行中，中标人应做好项目的文件</w:t>
            </w:r>
            <w:r>
              <w:rPr>
                <w:rFonts w:hint="eastAsia" w:ascii="宋体" w:hAnsi="宋体" w:eastAsia="宋体" w:cs="宋体"/>
                <w:color w:val="auto"/>
                <w:spacing w:val="4"/>
                <w:sz w:val="24"/>
                <w:szCs w:val="24"/>
                <w:highlight w:val="none"/>
              </w:rPr>
              <w:t>归档和资料留存，在所有项目结束后的15</w:t>
            </w:r>
            <w:r>
              <w:rPr>
                <w:rFonts w:hint="eastAsia" w:ascii="宋体" w:hAnsi="宋体" w:eastAsia="宋体" w:cs="宋体"/>
                <w:color w:val="auto"/>
                <w:spacing w:val="3"/>
                <w:sz w:val="24"/>
                <w:szCs w:val="24"/>
                <w:highlight w:val="none"/>
              </w:rPr>
              <w:t>个工作日内,中标供应</w:t>
            </w:r>
            <w:r>
              <w:rPr>
                <w:rFonts w:hint="eastAsia" w:ascii="宋体" w:hAnsi="宋体" w:eastAsia="宋体" w:cs="宋体"/>
                <w:color w:val="auto"/>
                <w:spacing w:val="-2"/>
                <w:sz w:val="24"/>
                <w:szCs w:val="24"/>
                <w:highlight w:val="none"/>
              </w:rPr>
              <w:t>商向采购人递交相关资料及项目总结。</w:t>
            </w:r>
          </w:p>
          <w:p w14:paraId="110BB8AD">
            <w:pPr>
              <w:pStyle w:val="7"/>
              <w:spacing w:before="183" w:line="360" w:lineRule="auto"/>
              <w:ind w:left="7" w:leftChars="0" w:firstLine="455" w:firstLineChars="170"/>
              <w:rPr>
                <w:rFonts w:hint="eastAsia" w:ascii="宋体" w:hAnsi="宋体" w:eastAsia="宋体" w:cs="宋体"/>
                <w:color w:val="auto"/>
                <w:spacing w:val="5"/>
                <w:sz w:val="24"/>
                <w:szCs w:val="24"/>
                <w:highlight w:val="none"/>
              </w:rPr>
            </w:pPr>
            <w:r>
              <w:rPr>
                <w:rFonts w:hint="eastAsia" w:ascii="宋体" w:hAnsi="宋体" w:eastAsia="宋体" w:cs="宋体"/>
                <w:color w:val="auto"/>
                <w:spacing w:val="14"/>
                <w:sz w:val="24"/>
                <w:szCs w:val="24"/>
                <w:highlight w:val="none"/>
              </w:rPr>
              <w:t>4.中标人应接受采购人的管理、监督、检查及指导，在项目组</w:t>
            </w:r>
            <w:r>
              <w:rPr>
                <w:rFonts w:hint="eastAsia" w:ascii="宋体" w:hAnsi="宋体" w:eastAsia="宋体" w:cs="宋体"/>
                <w:color w:val="auto"/>
                <w:spacing w:val="5"/>
                <w:sz w:val="24"/>
                <w:szCs w:val="24"/>
                <w:highlight w:val="none"/>
              </w:rPr>
              <w:t>织、实施过程中若出现问题应及时的向采购人进行报告并予以纠</w:t>
            </w:r>
            <w:r>
              <w:rPr>
                <w:rFonts w:hint="eastAsia" w:ascii="宋体" w:hAnsi="宋体" w:eastAsia="宋体" w:cs="宋体"/>
                <w:color w:val="auto"/>
                <w:spacing w:val="-2"/>
                <w:sz w:val="24"/>
                <w:szCs w:val="24"/>
                <w:highlight w:val="none"/>
              </w:rPr>
              <w:t>正。中标人应服从采购人的统一安排。</w:t>
            </w:r>
          </w:p>
        </w:tc>
      </w:tr>
      <w:tr w14:paraId="22D277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680" w:type="dxa"/>
            <w:vAlign w:val="center"/>
          </w:tcPr>
          <w:p w14:paraId="1C8631EF">
            <w:pPr>
              <w:pStyle w:val="7"/>
              <w:spacing w:before="78" w:line="360" w:lineRule="auto"/>
              <w:ind w:left="290" w:leftChars="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514" w:type="dxa"/>
            <w:vAlign w:val="center"/>
          </w:tcPr>
          <w:p w14:paraId="3EE0453D">
            <w:pPr>
              <w:pStyle w:val="7"/>
              <w:spacing w:before="78" w:line="360" w:lineRule="auto"/>
              <w:ind w:left="0" w:leftChars="0" w:firstLine="0" w:firstLineChars="0"/>
              <w:jc w:val="center"/>
              <w:rPr>
                <w:rFonts w:hint="eastAsia" w:ascii="宋体" w:hAnsi="宋体" w:eastAsia="宋体" w:cs="宋体"/>
                <w:color w:val="auto"/>
                <w:spacing w:val="-7"/>
                <w:sz w:val="24"/>
                <w:szCs w:val="24"/>
                <w:highlight w:val="none"/>
              </w:rPr>
            </w:pPr>
            <w:r>
              <w:rPr>
                <w:rFonts w:hint="eastAsia" w:ascii="宋体" w:hAnsi="宋体" w:eastAsia="宋体" w:cs="宋体"/>
                <w:color w:val="auto"/>
                <w:spacing w:val="-8"/>
                <w:sz w:val="24"/>
                <w:szCs w:val="24"/>
                <w:highlight w:val="none"/>
              </w:rPr>
              <w:t>知识产权等</w:t>
            </w:r>
          </w:p>
        </w:tc>
        <w:tc>
          <w:tcPr>
            <w:tcW w:w="6890" w:type="dxa"/>
            <w:vAlign w:val="top"/>
          </w:tcPr>
          <w:p w14:paraId="77539EC4">
            <w:pPr>
              <w:pageBreakBefore w:val="0"/>
              <w:widowControl/>
              <w:kinsoku w:val="0"/>
              <w:wordWrap/>
              <w:overflowPunct/>
              <w:autoSpaceDE w:val="0"/>
              <w:autoSpaceDN w:val="0"/>
              <w:bidi w:val="0"/>
              <w:adjustRightInd w:val="0"/>
              <w:snapToGrid w:val="0"/>
              <w:spacing w:before="78" w:line="360" w:lineRule="auto"/>
              <w:ind w:left="7" w:leftChars="0" w:right="105" w:firstLine="408" w:firstLineChars="170"/>
              <w:jc w:val="left"/>
              <w:textAlignment w:val="baseline"/>
              <w:rPr>
                <w:rFonts w:hint="eastAsia" w:ascii="宋体" w:hAnsi="宋体" w:eastAsia="宋体" w:cs="宋体"/>
                <w:snapToGrid w:val="0"/>
                <w:color w:val="auto"/>
                <w:kern w:val="0"/>
                <w:sz w:val="24"/>
                <w:szCs w:val="24"/>
                <w:highlight w:val="none"/>
                <w:lang w:eastAsia="en-US"/>
              </w:rPr>
            </w:pPr>
            <w:r>
              <w:rPr>
                <w:rFonts w:hint="eastAsia" w:ascii="宋体" w:hAnsi="宋体" w:eastAsia="宋体" w:cs="宋体"/>
                <w:snapToGrid w:val="0"/>
                <w:color w:val="auto"/>
                <w:kern w:val="0"/>
                <w:sz w:val="24"/>
                <w:szCs w:val="24"/>
                <w:highlight w:val="none"/>
                <w:lang w:eastAsia="en-US"/>
              </w:rPr>
              <w:t>1.</w:t>
            </w:r>
            <w:r>
              <w:rPr>
                <w:rFonts w:hint="eastAsia" w:ascii="宋体" w:hAnsi="宋体" w:eastAsia="宋体" w:cs="宋体"/>
                <w:snapToGrid w:val="0"/>
                <w:color w:val="auto"/>
                <w:kern w:val="0"/>
                <w:sz w:val="24"/>
                <w:szCs w:val="24"/>
                <w:highlight w:val="none"/>
                <w:lang w:eastAsia="zh-CN"/>
              </w:rPr>
              <w:t>本合同履行过程中产生的所有</w:t>
            </w:r>
            <w:r>
              <w:rPr>
                <w:rFonts w:hint="eastAsia" w:ascii="宋体" w:hAnsi="宋体" w:eastAsia="宋体" w:cs="宋体"/>
                <w:snapToGrid w:val="0"/>
                <w:color w:val="auto"/>
                <w:kern w:val="0"/>
                <w:sz w:val="24"/>
                <w:szCs w:val="24"/>
                <w:highlight w:val="none"/>
                <w:lang w:eastAsia="en-US"/>
              </w:rPr>
              <w:t>服务</w:t>
            </w:r>
            <w:r>
              <w:rPr>
                <w:rFonts w:hint="eastAsia" w:ascii="宋体" w:hAnsi="宋体" w:eastAsia="宋体" w:cs="宋体"/>
                <w:snapToGrid w:val="0"/>
                <w:color w:val="auto"/>
                <w:kern w:val="0"/>
                <w:sz w:val="24"/>
                <w:szCs w:val="24"/>
                <w:highlight w:val="none"/>
                <w:lang w:eastAsia="zh-CN"/>
              </w:rPr>
              <w:t>数据、球员信息、训练方案、赛事资料、宣传素材及其他衍生成果</w:t>
            </w:r>
            <w:r>
              <w:rPr>
                <w:rFonts w:hint="eastAsia" w:ascii="宋体" w:hAnsi="宋体" w:eastAsia="宋体" w:cs="宋体"/>
                <w:snapToGrid w:val="0"/>
                <w:color w:val="auto"/>
                <w:kern w:val="0"/>
                <w:sz w:val="24"/>
                <w:szCs w:val="24"/>
                <w:highlight w:val="none"/>
                <w:lang w:eastAsia="en-US"/>
              </w:rPr>
              <w:t>的</w:t>
            </w:r>
            <w:r>
              <w:rPr>
                <w:rFonts w:hint="eastAsia" w:ascii="宋体" w:hAnsi="宋体" w:eastAsia="宋体" w:cs="宋体"/>
                <w:snapToGrid w:val="0"/>
                <w:color w:val="auto"/>
                <w:kern w:val="0"/>
                <w:sz w:val="24"/>
                <w:szCs w:val="24"/>
                <w:highlight w:val="none"/>
                <w:lang w:eastAsia="zh-CN"/>
              </w:rPr>
              <w:t>全部知识产权、</w:t>
            </w:r>
            <w:r>
              <w:rPr>
                <w:rFonts w:hint="eastAsia" w:ascii="宋体" w:hAnsi="宋体" w:eastAsia="宋体" w:cs="宋体"/>
                <w:snapToGrid w:val="0"/>
                <w:color w:val="auto"/>
                <w:kern w:val="0"/>
                <w:sz w:val="24"/>
                <w:szCs w:val="24"/>
                <w:highlight w:val="none"/>
                <w:lang w:eastAsia="en-US"/>
              </w:rPr>
              <w:t>所有</w:t>
            </w:r>
            <w:r>
              <w:rPr>
                <w:rFonts w:hint="eastAsia" w:ascii="宋体" w:hAnsi="宋体" w:eastAsia="宋体" w:cs="宋体"/>
                <w:snapToGrid w:val="0"/>
                <w:color w:val="auto"/>
                <w:kern w:val="0"/>
                <w:sz w:val="24"/>
                <w:szCs w:val="24"/>
                <w:highlight w:val="none"/>
                <w:lang w:eastAsia="zh-CN"/>
              </w:rPr>
              <w:t>权均归采购人独家所有</w:t>
            </w:r>
            <w:r>
              <w:rPr>
                <w:rFonts w:hint="eastAsia" w:ascii="宋体" w:hAnsi="宋体" w:eastAsia="宋体" w:cs="宋体"/>
                <w:snapToGrid w:val="0"/>
                <w:color w:val="auto"/>
                <w:kern w:val="0"/>
                <w:sz w:val="24"/>
                <w:szCs w:val="24"/>
                <w:highlight w:val="none"/>
                <w:lang w:eastAsia="en-US"/>
              </w:rPr>
              <w:t>，</w:t>
            </w:r>
            <w:r>
              <w:rPr>
                <w:rFonts w:hint="eastAsia" w:ascii="宋体" w:hAnsi="宋体" w:eastAsia="宋体" w:cs="宋体"/>
                <w:snapToGrid w:val="0"/>
                <w:color w:val="auto"/>
                <w:kern w:val="0"/>
                <w:sz w:val="24"/>
                <w:szCs w:val="24"/>
                <w:highlight w:val="none"/>
                <w:lang w:eastAsia="zh-CN"/>
              </w:rPr>
              <w:t>中标人仅可为履行本合同义务的目的在必要范围内使用该等</w:t>
            </w:r>
            <w:r>
              <w:rPr>
                <w:rFonts w:hint="eastAsia" w:ascii="宋体" w:hAnsi="宋体" w:eastAsia="宋体" w:cs="宋体"/>
                <w:snapToGrid w:val="0"/>
                <w:color w:val="auto"/>
                <w:kern w:val="0"/>
                <w:sz w:val="24"/>
                <w:szCs w:val="24"/>
                <w:highlight w:val="none"/>
                <w:lang w:eastAsia="en-US"/>
              </w:rPr>
              <w:t>资料</w:t>
            </w:r>
            <w:r>
              <w:rPr>
                <w:rFonts w:hint="eastAsia" w:ascii="宋体" w:hAnsi="宋体" w:eastAsia="宋体" w:cs="宋体"/>
                <w:snapToGrid w:val="0"/>
                <w:color w:val="auto"/>
                <w:kern w:val="0"/>
                <w:sz w:val="24"/>
                <w:szCs w:val="24"/>
                <w:highlight w:val="none"/>
                <w:lang w:eastAsia="zh-CN"/>
              </w:rPr>
              <w:t>，</w:t>
            </w:r>
            <w:r>
              <w:rPr>
                <w:rFonts w:hint="eastAsia" w:ascii="宋体" w:hAnsi="宋体" w:eastAsia="宋体" w:cs="宋体"/>
                <w:snapToGrid w:val="0"/>
                <w:color w:val="auto"/>
                <w:kern w:val="0"/>
                <w:sz w:val="24"/>
                <w:szCs w:val="24"/>
                <w:highlight w:val="none"/>
                <w:lang w:eastAsia="en-US"/>
              </w:rPr>
              <w:t>不</w:t>
            </w:r>
            <w:r>
              <w:rPr>
                <w:rFonts w:hint="eastAsia" w:ascii="宋体" w:hAnsi="宋体" w:eastAsia="宋体" w:cs="宋体"/>
                <w:snapToGrid w:val="0"/>
                <w:color w:val="auto"/>
                <w:kern w:val="0"/>
                <w:sz w:val="24"/>
                <w:szCs w:val="24"/>
                <w:highlight w:val="none"/>
                <w:lang w:eastAsia="zh-CN"/>
              </w:rPr>
              <w:t>得</w:t>
            </w:r>
            <w:r>
              <w:rPr>
                <w:rFonts w:hint="eastAsia" w:ascii="宋体" w:hAnsi="宋体" w:eastAsia="宋体" w:cs="宋体"/>
                <w:snapToGrid w:val="0"/>
                <w:color w:val="auto"/>
                <w:kern w:val="0"/>
                <w:sz w:val="24"/>
                <w:szCs w:val="24"/>
                <w:highlight w:val="none"/>
                <w:lang w:eastAsia="en-US"/>
              </w:rPr>
              <w:t>泄露、外传</w:t>
            </w:r>
            <w:r>
              <w:rPr>
                <w:rFonts w:hint="eastAsia" w:ascii="宋体" w:hAnsi="宋体" w:eastAsia="宋体" w:cs="宋体"/>
                <w:snapToGrid w:val="0"/>
                <w:color w:val="auto"/>
                <w:kern w:val="0"/>
                <w:sz w:val="24"/>
                <w:szCs w:val="24"/>
                <w:highlight w:val="none"/>
                <w:lang w:eastAsia="zh-CN"/>
              </w:rPr>
              <w:t>或许可任何第三方使用</w:t>
            </w:r>
            <w:r>
              <w:rPr>
                <w:rFonts w:hint="eastAsia" w:ascii="宋体" w:hAnsi="宋体" w:eastAsia="宋体" w:cs="宋体"/>
                <w:snapToGrid w:val="0"/>
                <w:color w:val="auto"/>
                <w:kern w:val="0"/>
                <w:sz w:val="24"/>
                <w:szCs w:val="24"/>
                <w:highlight w:val="none"/>
                <w:lang w:eastAsia="en-US"/>
              </w:rPr>
              <w:t>，</w:t>
            </w:r>
            <w:r>
              <w:rPr>
                <w:rFonts w:hint="eastAsia" w:ascii="宋体" w:hAnsi="宋体" w:eastAsia="宋体" w:cs="宋体"/>
                <w:snapToGrid w:val="0"/>
                <w:color w:val="auto"/>
                <w:kern w:val="0"/>
                <w:sz w:val="24"/>
                <w:szCs w:val="24"/>
                <w:highlight w:val="none"/>
                <w:lang w:eastAsia="zh-CN"/>
              </w:rPr>
              <w:t>不得用于本合同以外的其他用途，因中标人泄露、不当使用产生的所有责任</w:t>
            </w:r>
            <w:r>
              <w:rPr>
                <w:rFonts w:hint="eastAsia" w:ascii="宋体" w:hAnsi="宋体" w:eastAsia="宋体" w:cs="宋体"/>
                <w:snapToGrid w:val="0"/>
                <w:color w:val="auto"/>
                <w:kern w:val="0"/>
                <w:sz w:val="24"/>
                <w:szCs w:val="24"/>
                <w:highlight w:val="none"/>
                <w:lang w:eastAsia="en-US"/>
              </w:rPr>
              <w:t>由</w:t>
            </w:r>
            <w:r>
              <w:rPr>
                <w:rFonts w:hint="eastAsia" w:ascii="宋体" w:hAnsi="宋体" w:eastAsia="宋体" w:cs="宋体"/>
                <w:snapToGrid w:val="0"/>
                <w:color w:val="auto"/>
                <w:kern w:val="0"/>
                <w:sz w:val="24"/>
                <w:szCs w:val="24"/>
                <w:highlight w:val="none"/>
                <w:lang w:eastAsia="zh-CN"/>
              </w:rPr>
              <w:t>中标人承担</w:t>
            </w:r>
            <w:r>
              <w:rPr>
                <w:rFonts w:hint="eastAsia" w:ascii="宋体" w:hAnsi="宋体" w:eastAsia="宋体" w:cs="宋体"/>
                <w:snapToGrid w:val="0"/>
                <w:color w:val="auto"/>
                <w:kern w:val="0"/>
                <w:sz w:val="24"/>
                <w:szCs w:val="24"/>
                <w:highlight w:val="none"/>
                <w:lang w:eastAsia="en-US"/>
              </w:rPr>
              <w:t>。</w:t>
            </w:r>
          </w:p>
          <w:p w14:paraId="008AD5BA">
            <w:pPr>
              <w:pageBreakBefore w:val="0"/>
              <w:widowControl/>
              <w:kinsoku w:val="0"/>
              <w:wordWrap/>
              <w:overflowPunct/>
              <w:autoSpaceDE w:val="0"/>
              <w:autoSpaceDN w:val="0"/>
              <w:bidi w:val="0"/>
              <w:adjustRightInd w:val="0"/>
              <w:snapToGrid w:val="0"/>
              <w:spacing w:before="78" w:line="360" w:lineRule="auto"/>
              <w:ind w:left="7" w:leftChars="0" w:right="105" w:firstLine="408" w:firstLineChars="170"/>
              <w:jc w:val="left"/>
              <w:textAlignment w:val="baseline"/>
              <w:rPr>
                <w:rFonts w:hint="eastAsia" w:ascii="宋体" w:hAnsi="宋体" w:eastAsia="宋体" w:cs="宋体"/>
                <w:snapToGrid w:val="0"/>
                <w:color w:val="auto"/>
                <w:kern w:val="0"/>
                <w:sz w:val="24"/>
                <w:szCs w:val="24"/>
                <w:highlight w:val="none"/>
                <w:lang w:eastAsia="en-US"/>
              </w:rPr>
            </w:pPr>
            <w:r>
              <w:rPr>
                <w:rFonts w:hint="eastAsia" w:ascii="宋体" w:hAnsi="宋体" w:eastAsia="宋体" w:cs="宋体"/>
                <w:snapToGrid w:val="0"/>
                <w:color w:val="auto"/>
                <w:kern w:val="0"/>
                <w:sz w:val="24"/>
                <w:szCs w:val="24"/>
                <w:highlight w:val="none"/>
                <w:lang w:eastAsia="en-US"/>
              </w:rPr>
              <w:t>2.服务期结束后结清余款前，</w:t>
            </w:r>
            <w:r>
              <w:rPr>
                <w:rFonts w:hint="eastAsia" w:ascii="宋体" w:hAnsi="宋体" w:eastAsia="宋体" w:cs="宋体"/>
                <w:snapToGrid w:val="0"/>
                <w:color w:val="auto"/>
                <w:kern w:val="0"/>
                <w:sz w:val="24"/>
                <w:szCs w:val="24"/>
                <w:highlight w:val="none"/>
                <w:lang w:eastAsia="zh-CN"/>
              </w:rPr>
              <w:t>中标人</w:t>
            </w:r>
            <w:r>
              <w:rPr>
                <w:rFonts w:hint="eastAsia" w:ascii="宋体" w:hAnsi="宋体" w:eastAsia="宋体" w:cs="宋体"/>
                <w:snapToGrid w:val="0"/>
                <w:color w:val="auto"/>
                <w:kern w:val="0"/>
                <w:sz w:val="24"/>
                <w:szCs w:val="24"/>
                <w:highlight w:val="none"/>
                <w:lang w:eastAsia="en-US"/>
              </w:rPr>
              <w:t>要出具服务期间得到采购方服务对象的评价的材料和完整方案数据总结等方面的报告。</w:t>
            </w:r>
          </w:p>
          <w:p w14:paraId="13C1CDF9">
            <w:pPr>
              <w:pageBreakBefore w:val="0"/>
              <w:widowControl/>
              <w:kinsoku w:val="0"/>
              <w:wordWrap/>
              <w:overflowPunct/>
              <w:autoSpaceDE w:val="0"/>
              <w:autoSpaceDN w:val="0"/>
              <w:bidi w:val="0"/>
              <w:adjustRightInd w:val="0"/>
              <w:snapToGrid w:val="0"/>
              <w:spacing w:before="78" w:line="360" w:lineRule="auto"/>
              <w:ind w:left="7" w:leftChars="0" w:right="105" w:firstLine="408" w:firstLineChars="170"/>
              <w:jc w:val="left"/>
              <w:textAlignment w:val="baseline"/>
              <w:rPr>
                <w:rFonts w:hint="eastAsia" w:ascii="宋体" w:hAnsi="宋体" w:eastAsia="宋体" w:cs="宋体"/>
                <w:color w:val="auto"/>
                <w:spacing w:val="14"/>
                <w:sz w:val="24"/>
                <w:szCs w:val="24"/>
                <w:highlight w:val="none"/>
              </w:rPr>
            </w:pPr>
            <w:r>
              <w:rPr>
                <w:rFonts w:hint="eastAsia" w:ascii="宋体" w:hAnsi="宋体" w:eastAsia="宋体" w:cs="宋体"/>
                <w:snapToGrid w:val="0"/>
                <w:color w:val="auto"/>
                <w:kern w:val="0"/>
                <w:sz w:val="24"/>
                <w:szCs w:val="24"/>
                <w:highlight w:val="none"/>
                <w:lang w:eastAsia="en-US"/>
              </w:rPr>
              <w:t>3.</w:t>
            </w:r>
            <w:r>
              <w:rPr>
                <w:rFonts w:hint="eastAsia" w:ascii="宋体" w:hAnsi="宋体" w:eastAsia="宋体" w:cs="宋体"/>
                <w:snapToGrid w:val="0"/>
                <w:color w:val="auto"/>
                <w:kern w:val="0"/>
                <w:sz w:val="24"/>
                <w:szCs w:val="24"/>
                <w:highlight w:val="none"/>
                <w:lang w:eastAsia="zh-CN"/>
              </w:rPr>
              <w:t>中标人</w:t>
            </w:r>
            <w:r>
              <w:rPr>
                <w:rFonts w:hint="eastAsia" w:ascii="宋体" w:hAnsi="宋体" w:eastAsia="宋体" w:cs="宋体"/>
                <w:snapToGrid w:val="0"/>
                <w:color w:val="auto"/>
                <w:kern w:val="0"/>
                <w:sz w:val="24"/>
                <w:szCs w:val="24"/>
                <w:highlight w:val="none"/>
                <w:lang w:eastAsia="en-US"/>
              </w:rPr>
              <w:t>应保证</w:t>
            </w:r>
            <w:r>
              <w:rPr>
                <w:rFonts w:hint="eastAsia" w:ascii="宋体" w:hAnsi="宋体" w:eastAsia="宋体" w:cs="宋体"/>
                <w:snapToGrid w:val="0"/>
                <w:color w:val="auto"/>
                <w:kern w:val="0"/>
                <w:sz w:val="24"/>
                <w:szCs w:val="24"/>
                <w:highlight w:val="none"/>
                <w:lang w:eastAsia="zh-CN"/>
              </w:rPr>
              <w:t>采购人</w:t>
            </w:r>
            <w:r>
              <w:rPr>
                <w:rFonts w:hint="eastAsia" w:ascii="宋体" w:hAnsi="宋体" w:eastAsia="宋体" w:cs="宋体"/>
                <w:snapToGrid w:val="0"/>
                <w:color w:val="auto"/>
                <w:kern w:val="0"/>
                <w:sz w:val="24"/>
                <w:szCs w:val="24"/>
                <w:highlight w:val="none"/>
                <w:lang w:eastAsia="en-US"/>
              </w:rPr>
              <w:t>在使用该货物（服务）或其任何一部分时不受第三方提出侵犯其专利权、商标权和设计权的起诉。如果任何第三方提出侵权指控或赔偿要求，</w:t>
            </w:r>
            <w:r>
              <w:rPr>
                <w:rFonts w:hint="eastAsia" w:ascii="宋体" w:hAnsi="宋体" w:eastAsia="宋体" w:cs="宋体"/>
                <w:snapToGrid w:val="0"/>
                <w:color w:val="auto"/>
                <w:kern w:val="0"/>
                <w:sz w:val="24"/>
                <w:szCs w:val="24"/>
                <w:highlight w:val="none"/>
                <w:lang w:eastAsia="zh-CN"/>
              </w:rPr>
              <w:t>中标人</w:t>
            </w:r>
            <w:r>
              <w:rPr>
                <w:rFonts w:hint="eastAsia" w:ascii="宋体" w:hAnsi="宋体" w:eastAsia="宋体" w:cs="宋体"/>
                <w:snapToGrid w:val="0"/>
                <w:color w:val="auto"/>
                <w:kern w:val="0"/>
                <w:sz w:val="24"/>
                <w:szCs w:val="24"/>
                <w:highlight w:val="none"/>
                <w:lang w:eastAsia="en-US"/>
              </w:rPr>
              <w:t>必须与第三方交涉，并承担发生和可能发生的一切损失、费用和法律责任。</w:t>
            </w:r>
          </w:p>
        </w:tc>
      </w:tr>
      <w:tr w14:paraId="793F8F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5" w:hRule="atLeast"/>
        </w:trPr>
        <w:tc>
          <w:tcPr>
            <w:tcW w:w="680" w:type="dxa"/>
            <w:vAlign w:val="center"/>
          </w:tcPr>
          <w:p w14:paraId="0ED1DB32">
            <w:pPr>
              <w:pStyle w:val="7"/>
              <w:spacing w:before="78" w:line="360" w:lineRule="auto"/>
              <w:ind w:left="290" w:left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p>
        </w:tc>
        <w:tc>
          <w:tcPr>
            <w:tcW w:w="1514" w:type="dxa"/>
            <w:vAlign w:val="center"/>
          </w:tcPr>
          <w:p w14:paraId="0E3788B8">
            <w:pPr>
              <w:pStyle w:val="7"/>
              <w:spacing w:before="78" w:line="360" w:lineRule="auto"/>
              <w:ind w:left="0" w:leftChars="0" w:firstLine="0" w:firstLineChars="0"/>
              <w:jc w:val="center"/>
              <w:rPr>
                <w:rFonts w:hint="eastAsia" w:ascii="宋体" w:hAnsi="宋体" w:eastAsia="宋体" w:cs="宋体"/>
                <w:color w:val="auto"/>
                <w:spacing w:val="-8"/>
                <w:sz w:val="24"/>
                <w:szCs w:val="24"/>
                <w:highlight w:val="none"/>
              </w:rPr>
            </w:pPr>
            <w:r>
              <w:rPr>
                <w:rFonts w:hint="eastAsia" w:ascii="宋体" w:hAnsi="宋体" w:eastAsia="宋体" w:cs="宋体"/>
                <w:color w:val="auto"/>
                <w:spacing w:val="-8"/>
                <w:sz w:val="24"/>
                <w:szCs w:val="24"/>
                <w:highlight w:val="none"/>
              </w:rPr>
              <w:t>违约责任</w:t>
            </w:r>
          </w:p>
          <w:p w14:paraId="3505DCA5">
            <w:pPr>
              <w:pStyle w:val="7"/>
              <w:spacing w:before="78" w:line="360" w:lineRule="auto"/>
              <w:ind w:left="0" w:leftChars="0" w:firstLine="0" w:firstLineChars="0"/>
              <w:jc w:val="center"/>
              <w:rPr>
                <w:rFonts w:hint="eastAsia" w:ascii="宋体" w:hAnsi="宋体" w:eastAsia="宋体" w:cs="宋体"/>
                <w:color w:val="auto"/>
                <w:spacing w:val="-8"/>
                <w:sz w:val="24"/>
                <w:szCs w:val="24"/>
                <w:highlight w:val="none"/>
              </w:rPr>
            </w:pPr>
          </w:p>
        </w:tc>
        <w:tc>
          <w:tcPr>
            <w:tcW w:w="6890" w:type="dxa"/>
            <w:vAlign w:val="top"/>
          </w:tcPr>
          <w:p w14:paraId="23FDF850">
            <w:pPr>
              <w:widowControl/>
              <w:kinsoku w:val="0"/>
              <w:autoSpaceDE w:val="0"/>
              <w:autoSpaceDN w:val="0"/>
              <w:adjustRightInd w:val="0"/>
              <w:snapToGrid w:val="0"/>
              <w:spacing w:before="181" w:line="360" w:lineRule="auto"/>
              <w:ind w:left="7" w:leftChars="0" w:right="105" w:firstLine="404" w:firstLineChars="170"/>
              <w:jc w:val="left"/>
              <w:textAlignment w:val="baseline"/>
              <w:rPr>
                <w:rFonts w:hint="eastAsia" w:ascii="宋体" w:hAnsi="宋体" w:eastAsia="宋体" w:cs="宋体"/>
                <w:snapToGrid w:val="0"/>
                <w:color w:val="auto"/>
                <w:spacing w:val="-3"/>
                <w:kern w:val="0"/>
                <w:sz w:val="24"/>
                <w:szCs w:val="24"/>
                <w:highlight w:val="none"/>
                <w:lang w:val="en-US" w:eastAsia="zh-CN"/>
              </w:rPr>
            </w:pPr>
            <w:r>
              <w:rPr>
                <w:rFonts w:hint="eastAsia" w:ascii="宋体" w:hAnsi="宋体" w:eastAsia="宋体" w:cs="宋体"/>
                <w:snapToGrid w:val="0"/>
                <w:color w:val="auto"/>
                <w:spacing w:val="-1"/>
                <w:kern w:val="0"/>
                <w:sz w:val="24"/>
                <w:szCs w:val="24"/>
                <w:highlight w:val="none"/>
                <w:lang w:eastAsia="en-US"/>
              </w:rPr>
              <w:t>1.</w:t>
            </w:r>
            <w:r>
              <w:rPr>
                <w:rFonts w:hint="eastAsia" w:ascii="宋体" w:hAnsi="宋体" w:eastAsia="宋体" w:cs="宋体"/>
                <w:snapToGrid w:val="0"/>
                <w:color w:val="auto"/>
                <w:spacing w:val="-1"/>
                <w:kern w:val="0"/>
                <w:sz w:val="24"/>
                <w:szCs w:val="24"/>
                <w:highlight w:val="none"/>
                <w:lang w:eastAsia="zh-CN"/>
              </w:rPr>
              <w:t>中标人</w:t>
            </w:r>
            <w:r>
              <w:rPr>
                <w:rFonts w:hint="eastAsia" w:ascii="宋体" w:hAnsi="宋体" w:eastAsia="宋体" w:cs="宋体"/>
                <w:snapToGrid w:val="0"/>
                <w:color w:val="auto"/>
                <w:spacing w:val="-1"/>
                <w:kern w:val="0"/>
                <w:sz w:val="24"/>
                <w:szCs w:val="24"/>
                <w:highlight w:val="none"/>
                <w:lang w:eastAsia="en-US"/>
              </w:rPr>
              <w:t>应按</w:t>
            </w:r>
            <w:r>
              <w:rPr>
                <w:rFonts w:hint="eastAsia" w:ascii="宋体" w:hAnsi="宋体" w:eastAsia="宋体" w:cs="宋体"/>
                <w:snapToGrid w:val="0"/>
                <w:color w:val="auto"/>
                <w:spacing w:val="-1"/>
                <w:kern w:val="0"/>
                <w:sz w:val="24"/>
                <w:szCs w:val="24"/>
                <w:highlight w:val="none"/>
                <w:lang w:val="en-US" w:eastAsia="zh-CN"/>
              </w:rPr>
              <w:t>本</w:t>
            </w:r>
            <w:r>
              <w:rPr>
                <w:rFonts w:hint="eastAsia" w:ascii="宋体" w:hAnsi="宋体" w:eastAsia="宋体" w:cs="宋体"/>
                <w:snapToGrid w:val="0"/>
                <w:color w:val="auto"/>
                <w:spacing w:val="-1"/>
                <w:kern w:val="0"/>
                <w:sz w:val="24"/>
                <w:szCs w:val="24"/>
                <w:highlight w:val="none"/>
                <w:lang w:eastAsia="en-US"/>
              </w:rPr>
              <w:t>合同约定内容</w:t>
            </w:r>
            <w:r>
              <w:rPr>
                <w:rFonts w:hint="eastAsia" w:ascii="宋体" w:hAnsi="宋体" w:eastAsia="宋体" w:cs="宋体"/>
                <w:snapToGrid w:val="0"/>
                <w:color w:val="auto"/>
                <w:spacing w:val="-1"/>
                <w:kern w:val="0"/>
                <w:sz w:val="24"/>
                <w:szCs w:val="24"/>
                <w:highlight w:val="none"/>
                <w:lang w:val="en-US" w:eastAsia="zh-CN"/>
              </w:rPr>
              <w:t>履行义务</w:t>
            </w:r>
            <w:r>
              <w:rPr>
                <w:rFonts w:hint="eastAsia" w:ascii="宋体" w:hAnsi="宋体" w:eastAsia="宋体" w:cs="宋体"/>
                <w:snapToGrid w:val="0"/>
                <w:color w:val="auto"/>
                <w:spacing w:val="-1"/>
                <w:kern w:val="0"/>
                <w:sz w:val="24"/>
                <w:szCs w:val="24"/>
                <w:highlight w:val="none"/>
                <w:lang w:eastAsia="en-US"/>
              </w:rPr>
              <w:t>，</w:t>
            </w:r>
            <w:r>
              <w:rPr>
                <w:rFonts w:hint="eastAsia" w:ascii="宋体" w:hAnsi="宋体" w:eastAsia="宋体" w:cs="宋体"/>
                <w:snapToGrid w:val="0"/>
                <w:color w:val="auto"/>
                <w:spacing w:val="-1"/>
                <w:kern w:val="0"/>
                <w:sz w:val="24"/>
                <w:szCs w:val="24"/>
                <w:highlight w:val="none"/>
                <w:lang w:eastAsia="zh-CN"/>
              </w:rPr>
              <w:t>具体包括但不限于未按期完成服务、服务质量验收不合格、违反第五条约定的任何义务、未按采购人要求提交报告或资料等。如中标人存在上述任何违约情形</w:t>
            </w:r>
            <w:r>
              <w:rPr>
                <w:rFonts w:hint="eastAsia" w:ascii="宋体" w:hAnsi="宋体" w:eastAsia="宋体" w:cs="宋体"/>
                <w:snapToGrid w:val="0"/>
                <w:color w:val="auto"/>
                <w:spacing w:val="-1"/>
                <w:kern w:val="0"/>
                <w:sz w:val="24"/>
                <w:szCs w:val="24"/>
                <w:highlight w:val="none"/>
                <w:lang w:eastAsia="en-US"/>
              </w:rPr>
              <w:t>，</w:t>
            </w:r>
            <w:r>
              <w:rPr>
                <w:rFonts w:hint="eastAsia" w:ascii="宋体" w:hAnsi="宋体" w:eastAsia="宋体" w:cs="宋体"/>
                <w:snapToGrid w:val="0"/>
                <w:color w:val="auto"/>
                <w:spacing w:val="-1"/>
                <w:kern w:val="0"/>
                <w:sz w:val="24"/>
                <w:szCs w:val="24"/>
                <w:highlight w:val="none"/>
                <w:lang w:eastAsia="zh-CN"/>
              </w:rPr>
              <w:t>采购人</w:t>
            </w:r>
            <w:r>
              <w:rPr>
                <w:rFonts w:hint="eastAsia" w:ascii="宋体" w:hAnsi="宋体" w:eastAsia="宋体" w:cs="宋体"/>
                <w:snapToGrid w:val="0"/>
                <w:color w:val="auto"/>
                <w:spacing w:val="-1"/>
                <w:kern w:val="0"/>
                <w:sz w:val="24"/>
                <w:szCs w:val="24"/>
                <w:highlight w:val="none"/>
                <w:lang w:eastAsia="en-US"/>
              </w:rPr>
              <w:t>有权</w:t>
            </w:r>
            <w:r>
              <w:rPr>
                <w:rFonts w:hint="eastAsia" w:ascii="宋体" w:hAnsi="宋体" w:eastAsia="宋体" w:cs="宋体"/>
                <w:snapToGrid w:val="0"/>
                <w:color w:val="auto"/>
                <w:spacing w:val="-1"/>
                <w:kern w:val="0"/>
                <w:sz w:val="24"/>
                <w:szCs w:val="24"/>
                <w:highlight w:val="none"/>
                <w:lang w:eastAsia="zh-CN"/>
              </w:rPr>
              <w:t>要求中标人限期整改；逾期未整改或整改仍不符合要求的，采购人有权</w:t>
            </w:r>
            <w:r>
              <w:rPr>
                <w:rFonts w:hint="eastAsia" w:ascii="宋体" w:hAnsi="宋体" w:eastAsia="宋体" w:cs="宋体"/>
                <w:snapToGrid w:val="0"/>
                <w:color w:val="auto"/>
                <w:spacing w:val="-1"/>
                <w:kern w:val="0"/>
                <w:sz w:val="24"/>
                <w:szCs w:val="24"/>
                <w:highlight w:val="none"/>
                <w:lang w:val="en-US" w:eastAsia="zh-CN"/>
              </w:rPr>
              <w:t>单方</w:t>
            </w:r>
            <w:r>
              <w:rPr>
                <w:rFonts w:hint="eastAsia" w:ascii="宋体" w:hAnsi="宋体" w:eastAsia="宋体" w:cs="宋体"/>
                <w:snapToGrid w:val="0"/>
                <w:color w:val="auto"/>
                <w:spacing w:val="-1"/>
                <w:kern w:val="0"/>
                <w:sz w:val="24"/>
                <w:szCs w:val="24"/>
                <w:highlight w:val="none"/>
                <w:lang w:eastAsia="en-US"/>
              </w:rPr>
              <w:t>解除本合同</w:t>
            </w:r>
            <w:r>
              <w:rPr>
                <w:rFonts w:hint="eastAsia" w:ascii="宋体" w:hAnsi="宋体" w:eastAsia="宋体" w:cs="宋体"/>
                <w:snapToGrid w:val="0"/>
                <w:color w:val="auto"/>
                <w:spacing w:val="-1"/>
                <w:kern w:val="0"/>
                <w:sz w:val="24"/>
                <w:szCs w:val="24"/>
                <w:highlight w:val="none"/>
                <w:lang w:eastAsia="zh-CN"/>
              </w:rPr>
              <w:t>。</w:t>
            </w:r>
            <w:r>
              <w:rPr>
                <w:rFonts w:hint="eastAsia" w:ascii="宋体" w:hAnsi="宋体" w:eastAsia="宋体" w:cs="宋体"/>
                <w:snapToGrid w:val="0"/>
                <w:color w:val="auto"/>
                <w:spacing w:val="-1"/>
                <w:kern w:val="0"/>
                <w:sz w:val="24"/>
                <w:szCs w:val="24"/>
                <w:highlight w:val="none"/>
                <w:lang w:val="en-US" w:eastAsia="zh-CN"/>
              </w:rPr>
              <w:t>本</w:t>
            </w:r>
            <w:r>
              <w:rPr>
                <w:rFonts w:hint="eastAsia" w:ascii="宋体" w:hAnsi="宋体" w:eastAsia="宋体" w:cs="宋体"/>
                <w:snapToGrid w:val="0"/>
                <w:color w:val="auto"/>
                <w:spacing w:val="-1"/>
                <w:kern w:val="0"/>
                <w:sz w:val="24"/>
                <w:szCs w:val="24"/>
                <w:highlight w:val="none"/>
                <w:lang w:eastAsia="en-US"/>
              </w:rPr>
              <w:t>合同</w:t>
            </w:r>
            <w:r>
              <w:rPr>
                <w:rFonts w:hint="eastAsia" w:ascii="宋体" w:hAnsi="宋体" w:eastAsia="宋体" w:cs="宋体"/>
                <w:snapToGrid w:val="0"/>
                <w:color w:val="auto"/>
                <w:spacing w:val="-3"/>
                <w:kern w:val="0"/>
                <w:sz w:val="24"/>
                <w:szCs w:val="24"/>
                <w:highlight w:val="none"/>
                <w:lang w:eastAsia="en-US"/>
              </w:rPr>
              <w:t>解除后，</w:t>
            </w:r>
            <w:r>
              <w:rPr>
                <w:rFonts w:hint="eastAsia" w:ascii="宋体" w:hAnsi="宋体" w:eastAsia="宋体" w:cs="宋体"/>
                <w:snapToGrid w:val="0"/>
                <w:color w:val="auto"/>
                <w:spacing w:val="-3"/>
                <w:kern w:val="0"/>
                <w:sz w:val="24"/>
                <w:szCs w:val="24"/>
                <w:highlight w:val="none"/>
                <w:lang w:eastAsia="zh-CN"/>
              </w:rPr>
              <w:t>中标人应</w:t>
            </w:r>
            <w:r>
              <w:rPr>
                <w:rFonts w:hint="eastAsia" w:ascii="宋体" w:hAnsi="宋体" w:eastAsia="宋体" w:cs="宋体"/>
                <w:snapToGrid w:val="0"/>
                <w:color w:val="auto"/>
                <w:spacing w:val="-3"/>
                <w:kern w:val="0"/>
                <w:sz w:val="24"/>
                <w:szCs w:val="24"/>
                <w:highlight w:val="none"/>
                <w:lang w:eastAsia="en-US"/>
              </w:rPr>
              <w:t>向</w:t>
            </w:r>
            <w:r>
              <w:rPr>
                <w:rFonts w:hint="eastAsia" w:ascii="宋体" w:hAnsi="宋体" w:eastAsia="宋体" w:cs="宋体"/>
                <w:snapToGrid w:val="0"/>
                <w:color w:val="auto"/>
                <w:spacing w:val="-3"/>
                <w:kern w:val="0"/>
                <w:sz w:val="24"/>
                <w:szCs w:val="24"/>
                <w:highlight w:val="none"/>
                <w:lang w:eastAsia="zh-CN"/>
              </w:rPr>
              <w:t>采购人</w:t>
            </w:r>
            <w:r>
              <w:rPr>
                <w:rFonts w:hint="eastAsia" w:ascii="宋体" w:hAnsi="宋体" w:eastAsia="宋体" w:cs="宋体"/>
                <w:snapToGrid w:val="0"/>
                <w:color w:val="auto"/>
                <w:spacing w:val="-3"/>
                <w:kern w:val="0"/>
                <w:sz w:val="24"/>
                <w:szCs w:val="24"/>
                <w:highlight w:val="none"/>
                <w:lang w:eastAsia="en-US"/>
              </w:rPr>
              <w:t>退回未完成事项</w:t>
            </w:r>
            <w:r>
              <w:rPr>
                <w:rFonts w:hint="eastAsia" w:ascii="宋体" w:hAnsi="宋体" w:eastAsia="宋体" w:cs="宋体"/>
                <w:snapToGrid w:val="0"/>
                <w:color w:val="auto"/>
                <w:spacing w:val="-3"/>
                <w:kern w:val="0"/>
                <w:sz w:val="24"/>
                <w:szCs w:val="24"/>
                <w:highlight w:val="none"/>
                <w:lang w:eastAsia="zh-CN"/>
              </w:rPr>
              <w:t>对应</w:t>
            </w:r>
            <w:r>
              <w:rPr>
                <w:rFonts w:hint="eastAsia" w:ascii="宋体" w:hAnsi="宋体" w:eastAsia="宋体" w:cs="宋体"/>
                <w:snapToGrid w:val="0"/>
                <w:color w:val="auto"/>
                <w:spacing w:val="-3"/>
                <w:kern w:val="0"/>
                <w:sz w:val="24"/>
                <w:szCs w:val="24"/>
                <w:highlight w:val="none"/>
                <w:lang w:eastAsia="en-US"/>
              </w:rPr>
              <w:t>价款</w:t>
            </w:r>
            <w:r>
              <w:rPr>
                <w:rFonts w:hint="eastAsia" w:ascii="宋体" w:hAnsi="宋体" w:eastAsia="宋体" w:cs="宋体"/>
                <w:snapToGrid w:val="0"/>
                <w:color w:val="auto"/>
                <w:spacing w:val="-3"/>
                <w:kern w:val="0"/>
                <w:sz w:val="24"/>
                <w:szCs w:val="24"/>
                <w:highlight w:val="none"/>
                <w:lang w:eastAsia="zh-CN"/>
              </w:rPr>
              <w:t>，</w:t>
            </w:r>
            <w:r>
              <w:rPr>
                <w:rFonts w:hint="eastAsia" w:ascii="宋体" w:hAnsi="宋体" w:eastAsia="宋体" w:cs="宋体"/>
                <w:snapToGrid w:val="0"/>
                <w:color w:val="auto"/>
                <w:spacing w:val="-3"/>
                <w:kern w:val="0"/>
                <w:sz w:val="24"/>
                <w:szCs w:val="24"/>
                <w:highlight w:val="none"/>
                <w:lang w:val="en-US" w:eastAsia="zh-CN"/>
              </w:rPr>
              <w:t>并按本合同总价款的30%向采购人支付违约金。</w:t>
            </w:r>
          </w:p>
          <w:p w14:paraId="0DB99093">
            <w:pPr>
              <w:widowControl/>
              <w:kinsoku w:val="0"/>
              <w:autoSpaceDE w:val="0"/>
              <w:autoSpaceDN w:val="0"/>
              <w:adjustRightInd w:val="0"/>
              <w:snapToGrid w:val="0"/>
              <w:spacing w:before="181" w:line="360" w:lineRule="auto"/>
              <w:ind w:left="7" w:leftChars="0" w:right="105" w:firstLine="408" w:firstLineChars="170"/>
              <w:jc w:val="left"/>
              <w:textAlignment w:val="baseline"/>
              <w:rPr>
                <w:rFonts w:hint="default" w:ascii="宋体" w:hAnsi="宋体" w:eastAsia="宋体" w:cs="宋体"/>
                <w:snapToGrid w:val="0"/>
                <w:color w:val="auto"/>
                <w:kern w:val="0"/>
                <w:sz w:val="24"/>
                <w:szCs w:val="24"/>
                <w:highlight w:val="none"/>
                <w:lang w:val="en-US" w:eastAsia="zh-CN"/>
              </w:rPr>
            </w:pPr>
            <w:r>
              <w:rPr>
                <w:rFonts w:hint="eastAsia" w:ascii="宋体" w:hAnsi="宋体" w:eastAsia="宋体" w:cs="宋体"/>
                <w:snapToGrid w:val="0"/>
                <w:color w:val="auto"/>
                <w:kern w:val="0"/>
                <w:sz w:val="24"/>
                <w:szCs w:val="24"/>
                <w:highlight w:val="none"/>
                <w:lang w:eastAsia="en-US"/>
              </w:rPr>
              <w:t>2.如</w:t>
            </w:r>
            <w:r>
              <w:rPr>
                <w:rFonts w:hint="eastAsia" w:ascii="宋体" w:hAnsi="宋体" w:eastAsia="宋体" w:cs="宋体"/>
                <w:snapToGrid w:val="0"/>
                <w:color w:val="auto"/>
                <w:kern w:val="0"/>
                <w:sz w:val="24"/>
                <w:szCs w:val="24"/>
                <w:highlight w:val="none"/>
                <w:lang w:eastAsia="zh-CN"/>
              </w:rPr>
              <w:t>采购人</w:t>
            </w:r>
            <w:r>
              <w:rPr>
                <w:rFonts w:hint="eastAsia" w:ascii="宋体" w:hAnsi="宋体" w:eastAsia="宋体" w:cs="宋体"/>
                <w:snapToGrid w:val="0"/>
                <w:color w:val="auto"/>
                <w:kern w:val="0"/>
                <w:sz w:val="24"/>
                <w:szCs w:val="24"/>
                <w:highlight w:val="none"/>
                <w:lang w:eastAsia="en-US"/>
              </w:rPr>
              <w:t>未能在本合同约定时间内支付款项</w:t>
            </w:r>
            <w:r>
              <w:rPr>
                <w:rFonts w:hint="eastAsia" w:ascii="宋体" w:hAnsi="宋体" w:eastAsia="宋体" w:cs="宋体"/>
                <w:snapToGrid w:val="0"/>
                <w:color w:val="auto"/>
                <w:spacing w:val="-1"/>
                <w:kern w:val="0"/>
                <w:sz w:val="24"/>
                <w:szCs w:val="24"/>
                <w:highlight w:val="none"/>
                <w:lang w:eastAsia="en-US"/>
              </w:rPr>
              <w:t>，每延迟一天，将执行周期予以</w:t>
            </w:r>
            <w:r>
              <w:rPr>
                <w:rFonts w:hint="eastAsia" w:ascii="宋体" w:hAnsi="宋体" w:eastAsia="宋体" w:cs="宋体"/>
                <w:snapToGrid w:val="0"/>
                <w:color w:val="auto"/>
                <w:spacing w:val="-8"/>
                <w:kern w:val="0"/>
                <w:sz w:val="24"/>
                <w:szCs w:val="24"/>
                <w:highlight w:val="none"/>
                <w:lang w:eastAsia="en-US"/>
              </w:rPr>
              <w:t>相应顺延</w:t>
            </w:r>
            <w:r>
              <w:rPr>
                <w:rFonts w:hint="eastAsia" w:ascii="宋体" w:hAnsi="宋体" w:eastAsia="宋体" w:cs="宋体"/>
                <w:snapToGrid w:val="0"/>
                <w:color w:val="auto"/>
                <w:spacing w:val="-8"/>
                <w:kern w:val="0"/>
                <w:sz w:val="24"/>
                <w:szCs w:val="24"/>
                <w:highlight w:val="none"/>
                <w:lang w:eastAsia="zh-CN"/>
              </w:rPr>
              <w:t>。</w:t>
            </w:r>
            <w:r>
              <w:rPr>
                <w:rFonts w:hint="eastAsia" w:ascii="宋体" w:hAnsi="宋体" w:eastAsia="宋体" w:cs="宋体"/>
                <w:snapToGrid w:val="0"/>
                <w:color w:val="auto"/>
                <w:spacing w:val="-8"/>
                <w:kern w:val="0"/>
                <w:sz w:val="24"/>
                <w:szCs w:val="24"/>
                <w:highlight w:val="none"/>
                <w:lang w:val="en-US" w:eastAsia="zh-CN"/>
              </w:rPr>
              <w:t>如因财政或上级主管单位转款的原因导致不能及时付款的除外。</w:t>
            </w:r>
          </w:p>
          <w:p w14:paraId="37821A19">
            <w:pPr>
              <w:widowControl/>
              <w:kinsoku w:val="0"/>
              <w:autoSpaceDE w:val="0"/>
              <w:autoSpaceDN w:val="0"/>
              <w:adjustRightInd w:val="0"/>
              <w:snapToGrid w:val="0"/>
              <w:spacing w:before="180" w:line="360" w:lineRule="auto"/>
              <w:ind w:left="7" w:leftChars="0" w:firstLine="404" w:firstLineChars="170"/>
              <w:jc w:val="left"/>
              <w:textAlignment w:val="baseline"/>
              <w:rPr>
                <w:rFonts w:hint="eastAsia" w:ascii="宋体" w:hAnsi="宋体" w:eastAsia="宋体" w:cs="宋体"/>
                <w:color w:val="auto"/>
                <w:spacing w:val="-8"/>
                <w:sz w:val="24"/>
                <w:szCs w:val="24"/>
                <w:highlight w:val="none"/>
              </w:rPr>
            </w:pPr>
            <w:r>
              <w:rPr>
                <w:rFonts w:hint="eastAsia" w:ascii="宋体" w:hAnsi="宋体" w:eastAsia="宋体" w:cs="宋体"/>
                <w:snapToGrid w:val="0"/>
                <w:color w:val="auto"/>
                <w:spacing w:val="-1"/>
                <w:kern w:val="0"/>
                <w:sz w:val="24"/>
                <w:szCs w:val="24"/>
                <w:highlight w:val="none"/>
                <w:lang w:eastAsia="en-US"/>
              </w:rPr>
              <w:t>3.上述违约责任尚不足以弥补守约方直接经济损失的，应补足直接经济损失</w:t>
            </w:r>
            <w:r>
              <w:rPr>
                <w:rFonts w:hint="eastAsia" w:ascii="宋体" w:hAnsi="宋体" w:eastAsia="宋体" w:cs="宋体"/>
                <w:snapToGrid w:val="0"/>
                <w:color w:val="auto"/>
                <w:spacing w:val="-1"/>
                <w:kern w:val="0"/>
                <w:sz w:val="24"/>
                <w:szCs w:val="24"/>
                <w:highlight w:val="none"/>
                <w:lang w:eastAsia="zh-CN"/>
              </w:rPr>
              <w:t>。</w:t>
            </w:r>
          </w:p>
        </w:tc>
      </w:tr>
    </w:tbl>
    <w:p w14:paraId="7FAE2F0D">
      <w:pPr>
        <w:pageBreakBefore w:val="0"/>
        <w:widowControl w:val="0"/>
        <w:wordWrap/>
        <w:overflowPunct/>
        <w:topLinePunct w:val="0"/>
        <w:bidi w:val="0"/>
        <w:spacing w:line="249" w:lineRule="auto"/>
        <w:rPr>
          <w:color w:val="auto"/>
          <w:spacing w:val="0"/>
          <w:position w:val="0"/>
          <w:highlight w:val="none"/>
          <w:lang w:eastAsia="zh-CN"/>
        </w:rPr>
      </w:pPr>
    </w:p>
    <w:p w14:paraId="1894936E">
      <w:pPr>
        <w:pageBreakBefore w:val="0"/>
        <w:widowControl w:val="0"/>
        <w:wordWrap/>
        <w:overflowPunct/>
        <w:topLinePunct w:val="0"/>
        <w:bidi w:val="0"/>
        <w:spacing w:line="249" w:lineRule="auto"/>
        <w:rPr>
          <w:rFonts w:hint="default"/>
          <w:color w:val="auto"/>
          <w:spacing w:val="0"/>
          <w:position w:val="0"/>
          <w:highlight w:val="none"/>
          <w:lang w:val="en-US" w:eastAsia="zh-CN"/>
        </w:rPr>
      </w:pPr>
      <w:r>
        <w:rPr>
          <w:rFonts w:hint="eastAsia"/>
          <w:color w:val="auto"/>
          <w:spacing w:val="0"/>
          <w:position w:val="0"/>
          <w:highlight w:val="none"/>
          <w:lang w:val="en-US" w:eastAsia="zh-CN"/>
        </w:rPr>
        <w:t>以上商务条件必须完全响应，否则作无效投标处理</w:t>
      </w:r>
    </w:p>
    <w:p w14:paraId="356A5DBF">
      <w:pPr>
        <w:pageBreakBefore w:val="0"/>
        <w:widowControl w:val="0"/>
        <w:wordWrap/>
        <w:overflowPunct/>
        <w:topLinePunct w:val="0"/>
        <w:bidi w:val="0"/>
        <w:spacing w:line="249" w:lineRule="auto"/>
        <w:rPr>
          <w:color w:val="auto"/>
          <w:spacing w:val="0"/>
          <w:position w:val="0"/>
          <w:highlight w:val="none"/>
          <w:lang w:eastAsia="zh-CN"/>
        </w:rPr>
      </w:pPr>
    </w:p>
    <w:p w14:paraId="2BC93BE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48C1">
    <w:pPr>
      <w:pStyle w:val="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8F6EF1">
                          <w:pPr>
                            <w:pStyle w:val="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5B8F6EF1">
                    <w:pPr>
                      <w:pStyle w:val="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40432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2026-06-24T06:47:49Z</dcterms:created>
  <dc:creator>qk</dc:creator>
  <cp:lastModifiedBy>倔强</cp:lastModifiedBy>
  <dcterms:modified xsi:type="dcterms:W3CDTF">2026-06-24T06:47:54Z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7082C6FFED7D4A9A89E6C12843A6E448_12</vt:lpwstr>
  </property>
</Properties>
</file>