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95ED27">
      <w:pPr>
        <w:pStyle w:val="2"/>
        <w:rPr>
          <w:rFonts w:hint="eastAsia" w:ascii="仿宋" w:hAnsi="仿宋" w:eastAsia="仿宋" w:cs="仿宋"/>
          <w:sz w:val="30"/>
          <w:szCs w:val="30"/>
        </w:rPr>
      </w:pPr>
      <w:r>
        <w:rPr>
          <w:rFonts w:hint="eastAsia" w:ascii="仿宋" w:hAnsi="仿宋" w:eastAsia="仿宋" w:cs="仿宋"/>
          <w:sz w:val="30"/>
          <w:szCs w:val="30"/>
        </w:rPr>
        <w:t>一、</w:t>
      </w:r>
      <w:bookmarkStart w:id="0" w:name="OLE_LINK12"/>
      <w:r>
        <w:rPr>
          <w:rFonts w:hint="eastAsia" w:ascii="仿宋" w:hAnsi="仿宋" w:eastAsia="仿宋" w:cs="仿宋"/>
          <w:sz w:val="30"/>
          <w:szCs w:val="30"/>
        </w:rPr>
        <w:t>项目基本情况</w:t>
      </w:r>
    </w:p>
    <w:p w14:paraId="40B7AE4F">
      <w:pPr>
        <w:spacing w:line="240" w:lineRule="auto"/>
        <w:rPr>
          <w:rFonts w:hint="eastAsia" w:ascii="仿宋" w:hAnsi="仿宋" w:eastAsia="仿宋" w:cs="仿宋"/>
          <w:szCs w:val="24"/>
        </w:rPr>
      </w:pPr>
      <w:r>
        <w:rPr>
          <w:rFonts w:hint="eastAsia" w:ascii="仿宋" w:hAnsi="仿宋" w:eastAsia="仿宋" w:cs="仿宋"/>
          <w:szCs w:val="24"/>
          <w:highlight w:val="none"/>
        </w:rPr>
        <w:t>项目编号：</w:t>
      </w:r>
      <w:r>
        <w:rPr>
          <w:rFonts w:hint="eastAsia" w:ascii="仿宋" w:hAnsi="仿宋" w:eastAsia="仿宋" w:cs="仿宋"/>
          <w:szCs w:val="24"/>
        </w:rPr>
        <w:t>赣洪政采JXGH2026-JA-005</w:t>
      </w:r>
      <w:r>
        <w:rPr>
          <w:rFonts w:hint="eastAsia" w:ascii="仿宋" w:hAnsi="仿宋" w:eastAsia="仿宋" w:cs="仿宋"/>
          <w:szCs w:val="24"/>
        </w:rPr>
        <w:tab/>
      </w:r>
    </w:p>
    <w:p w14:paraId="61A6EEEE">
      <w:pPr>
        <w:spacing w:line="240" w:lineRule="auto"/>
        <w:ind w:left="1080" w:hanging="1080" w:hangingChars="450"/>
        <w:rPr>
          <w:rFonts w:hint="eastAsia" w:ascii="仿宋" w:hAnsi="仿宋" w:eastAsia="仿宋" w:cs="仿宋"/>
          <w:szCs w:val="24"/>
        </w:rPr>
      </w:pPr>
      <w:r>
        <w:rPr>
          <w:rFonts w:hint="eastAsia" w:ascii="仿宋" w:hAnsi="仿宋" w:eastAsia="仿宋" w:cs="仿宋"/>
          <w:szCs w:val="24"/>
        </w:rPr>
        <w:t>项目名称：泰和县民政局社会救助服务阵地购买第三方运营管理服务项目</w:t>
      </w:r>
    </w:p>
    <w:p w14:paraId="5C28FF52">
      <w:pPr>
        <w:spacing w:line="240" w:lineRule="auto"/>
        <w:rPr>
          <w:rFonts w:hint="eastAsia" w:ascii="仿宋" w:hAnsi="仿宋" w:eastAsia="仿宋" w:cs="仿宋"/>
          <w:szCs w:val="24"/>
        </w:rPr>
      </w:pPr>
      <w:r>
        <w:rPr>
          <w:rFonts w:hint="eastAsia" w:ascii="仿宋" w:hAnsi="仿宋" w:eastAsia="仿宋" w:cs="仿宋"/>
          <w:szCs w:val="24"/>
        </w:rPr>
        <w:t>预算金额</w:t>
      </w:r>
      <w:bookmarkStart w:id="1" w:name="OLE_LINK92"/>
      <w:bookmarkStart w:id="2" w:name="OLE_LINK91"/>
      <w:r>
        <w:rPr>
          <w:rFonts w:hint="eastAsia" w:ascii="仿宋" w:hAnsi="仿宋" w:eastAsia="仿宋" w:cs="仿宋"/>
          <w:szCs w:val="24"/>
        </w:rPr>
        <w:t>：</w:t>
      </w:r>
      <w:r>
        <w:rPr>
          <w:rFonts w:hint="eastAsia" w:ascii="仿宋" w:hAnsi="仿宋" w:eastAsia="仿宋" w:cs="仿宋"/>
          <w:szCs w:val="24"/>
          <w:lang w:val="en-US" w:eastAsia="zh-CN"/>
        </w:rPr>
        <w:t>400000</w:t>
      </w:r>
      <w:r>
        <w:rPr>
          <w:rFonts w:hint="eastAsia" w:ascii="仿宋" w:hAnsi="仿宋" w:eastAsia="仿宋" w:cs="仿宋"/>
          <w:szCs w:val="24"/>
        </w:rPr>
        <w:t xml:space="preserve">元/年      </w:t>
      </w:r>
      <w:bookmarkEnd w:id="1"/>
      <w:bookmarkEnd w:id="2"/>
    </w:p>
    <w:p w14:paraId="2BD7C4FB">
      <w:pPr>
        <w:spacing w:line="240" w:lineRule="auto"/>
        <w:rPr>
          <w:rFonts w:hint="eastAsia" w:ascii="仿宋" w:hAnsi="仿宋" w:eastAsia="仿宋" w:cs="仿宋"/>
          <w:szCs w:val="24"/>
        </w:rPr>
      </w:pPr>
      <w:r>
        <w:rPr>
          <w:rFonts w:hint="eastAsia" w:ascii="仿宋" w:hAnsi="仿宋" w:eastAsia="仿宋" w:cs="仿宋"/>
          <w:szCs w:val="24"/>
        </w:rPr>
        <w:t xml:space="preserve">最高限价：379500元/年    </w:t>
      </w:r>
    </w:p>
    <w:p w14:paraId="0FACA302">
      <w:pPr>
        <w:spacing w:after="156" w:afterLines="50" w:line="240" w:lineRule="auto"/>
        <w:rPr>
          <w:rFonts w:hint="eastAsia" w:ascii="仿宋" w:hAnsi="仿宋" w:eastAsia="仿宋" w:cs="仿宋"/>
          <w:szCs w:val="24"/>
        </w:rPr>
      </w:pPr>
      <w:r>
        <w:rPr>
          <w:rFonts w:hint="eastAsia" w:ascii="仿宋" w:hAnsi="仿宋" w:eastAsia="仿宋" w:cs="仿宋"/>
          <w:szCs w:val="24"/>
        </w:rPr>
        <w:t>采购需求：</w:t>
      </w:r>
    </w:p>
    <w:tbl>
      <w:tblPr>
        <w:tblStyle w:val="7"/>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1"/>
        <w:gridCol w:w="2007"/>
        <w:gridCol w:w="1215"/>
        <w:gridCol w:w="850"/>
        <w:gridCol w:w="1733"/>
        <w:gridCol w:w="1442"/>
      </w:tblGrid>
      <w:tr w14:paraId="0AFDD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3" w:hRule="atLeast"/>
          <w:jc w:val="center"/>
        </w:trPr>
        <w:tc>
          <w:tcPr>
            <w:tcW w:w="1791" w:type="dxa"/>
            <w:vAlign w:val="center"/>
          </w:tcPr>
          <w:p w14:paraId="6CF644B0">
            <w:pPr>
              <w:pStyle w:val="10"/>
              <w:jc w:val="center"/>
              <w:rPr>
                <w:rFonts w:hint="eastAsia" w:ascii="仿宋" w:hAnsi="仿宋" w:eastAsia="仿宋" w:cs="仿宋"/>
                <w:color w:val="auto"/>
                <w:kern w:val="2"/>
                <w:sz w:val="24"/>
                <w:szCs w:val="24"/>
              </w:rPr>
            </w:pPr>
            <w:bookmarkStart w:id="3" w:name="OLE_LINK73"/>
            <w:bookmarkStart w:id="4" w:name="_Toc24421"/>
            <w:r>
              <w:rPr>
                <w:rFonts w:hint="eastAsia" w:ascii="仿宋" w:hAnsi="仿宋" w:eastAsia="仿宋" w:cs="仿宋"/>
                <w:color w:val="auto"/>
                <w:spacing w:val="0"/>
                <w:position w:val="0"/>
                <w:sz w:val="24"/>
                <w:szCs w:val="24"/>
                <w:highlight w:val="none"/>
              </w:rPr>
              <w:t>采购</w:t>
            </w:r>
            <w:r>
              <w:rPr>
                <w:rFonts w:hint="eastAsia" w:ascii="仿宋" w:hAnsi="仿宋" w:eastAsia="仿宋" w:cs="仿宋"/>
                <w:color w:val="auto"/>
                <w:spacing w:val="0"/>
                <w:position w:val="0"/>
                <w:sz w:val="24"/>
                <w:szCs w:val="24"/>
                <w:highlight w:val="none"/>
                <w:lang w:val="en-US" w:eastAsia="zh-CN"/>
              </w:rPr>
              <w:t>条目</w:t>
            </w:r>
            <w:r>
              <w:rPr>
                <w:rFonts w:hint="eastAsia" w:ascii="仿宋" w:hAnsi="仿宋" w:eastAsia="仿宋" w:cs="仿宋"/>
                <w:color w:val="auto"/>
                <w:spacing w:val="0"/>
                <w:position w:val="0"/>
                <w:sz w:val="24"/>
                <w:szCs w:val="24"/>
                <w:highlight w:val="none"/>
              </w:rPr>
              <w:t>编号</w:t>
            </w:r>
          </w:p>
        </w:tc>
        <w:tc>
          <w:tcPr>
            <w:tcW w:w="2007" w:type="dxa"/>
            <w:vAlign w:val="center"/>
          </w:tcPr>
          <w:p w14:paraId="3EB60049">
            <w:pPr>
              <w:pStyle w:val="2"/>
              <w:rPr>
                <w:rFonts w:hint="eastAsia" w:ascii="仿宋" w:hAnsi="仿宋" w:eastAsia="仿宋" w:cs="仿宋"/>
                <w:b w:val="0"/>
                <w:sz w:val="24"/>
                <w:szCs w:val="24"/>
              </w:rPr>
            </w:pPr>
            <w:bookmarkStart w:id="5" w:name="_Toc166508171"/>
            <w:r>
              <w:rPr>
                <w:rFonts w:hint="eastAsia" w:ascii="仿宋" w:hAnsi="仿宋" w:eastAsia="仿宋" w:cs="仿宋"/>
                <w:b w:val="0"/>
                <w:sz w:val="24"/>
                <w:szCs w:val="24"/>
              </w:rPr>
              <w:t>采购服务名称</w:t>
            </w:r>
            <w:bookmarkEnd w:id="5"/>
          </w:p>
        </w:tc>
        <w:tc>
          <w:tcPr>
            <w:tcW w:w="1215" w:type="dxa"/>
            <w:vAlign w:val="center"/>
          </w:tcPr>
          <w:p w14:paraId="6735BD2B">
            <w:pPr>
              <w:pStyle w:val="11"/>
              <w:shd w:val="clear" w:color="auto" w:fill="FFFFFF"/>
              <w:ind w:firstLine="0" w:firstLineChars="0"/>
              <w:jc w:val="center"/>
              <w:rPr>
                <w:rFonts w:hint="eastAsia" w:ascii="仿宋" w:hAnsi="仿宋" w:eastAsia="仿宋" w:cs="仿宋"/>
                <w:sz w:val="24"/>
              </w:rPr>
            </w:pPr>
            <w:bookmarkStart w:id="6" w:name="_Toc5550"/>
            <w:bookmarkStart w:id="7" w:name="_Toc32737"/>
            <w:r>
              <w:rPr>
                <w:rFonts w:hint="eastAsia" w:ascii="仿宋" w:hAnsi="仿宋" w:eastAsia="仿宋" w:cs="仿宋"/>
                <w:sz w:val="24"/>
              </w:rPr>
              <w:t>采购需求</w:t>
            </w:r>
          </w:p>
        </w:tc>
        <w:tc>
          <w:tcPr>
            <w:tcW w:w="850" w:type="dxa"/>
            <w:vAlign w:val="center"/>
          </w:tcPr>
          <w:p w14:paraId="13A713DC">
            <w:pPr>
              <w:pStyle w:val="2"/>
              <w:rPr>
                <w:rFonts w:hint="eastAsia" w:ascii="仿宋" w:hAnsi="仿宋" w:eastAsia="仿宋" w:cs="仿宋"/>
                <w:b w:val="0"/>
                <w:sz w:val="24"/>
                <w:szCs w:val="24"/>
              </w:rPr>
            </w:pPr>
            <w:bookmarkStart w:id="8" w:name="_Toc166508172"/>
            <w:r>
              <w:rPr>
                <w:rFonts w:hint="eastAsia" w:ascii="仿宋" w:hAnsi="仿宋" w:eastAsia="仿宋" w:cs="仿宋"/>
                <w:b w:val="0"/>
                <w:sz w:val="24"/>
                <w:szCs w:val="24"/>
              </w:rPr>
              <w:t>数量</w:t>
            </w:r>
            <w:bookmarkEnd w:id="6"/>
            <w:bookmarkEnd w:id="7"/>
            <w:bookmarkEnd w:id="8"/>
          </w:p>
        </w:tc>
        <w:tc>
          <w:tcPr>
            <w:tcW w:w="1733" w:type="dxa"/>
            <w:vAlign w:val="center"/>
          </w:tcPr>
          <w:p w14:paraId="0BB18E5B">
            <w:pPr>
              <w:pStyle w:val="2"/>
              <w:ind w:firstLine="120" w:firstLineChars="50"/>
              <w:rPr>
                <w:rFonts w:hint="eastAsia" w:ascii="仿宋" w:hAnsi="仿宋" w:eastAsia="仿宋" w:cs="仿宋"/>
                <w:b w:val="0"/>
                <w:sz w:val="24"/>
                <w:szCs w:val="24"/>
              </w:rPr>
            </w:pPr>
            <w:bookmarkStart w:id="9" w:name="_Toc166508173"/>
            <w:r>
              <w:rPr>
                <w:rFonts w:hint="eastAsia" w:ascii="仿宋" w:hAnsi="仿宋" w:eastAsia="仿宋" w:cs="仿宋"/>
                <w:b w:val="0"/>
                <w:sz w:val="24"/>
                <w:szCs w:val="24"/>
              </w:rPr>
              <w:t>预算金额</w:t>
            </w:r>
            <w:bookmarkEnd w:id="9"/>
          </w:p>
          <w:p w14:paraId="35AEEBB6">
            <w:pPr>
              <w:pStyle w:val="2"/>
              <w:ind w:firstLine="120" w:firstLineChars="50"/>
              <w:rPr>
                <w:rFonts w:hint="eastAsia" w:ascii="仿宋" w:hAnsi="仿宋" w:eastAsia="仿宋" w:cs="仿宋"/>
                <w:b w:val="0"/>
                <w:sz w:val="24"/>
                <w:szCs w:val="24"/>
              </w:rPr>
            </w:pPr>
            <w:bookmarkStart w:id="10" w:name="_Toc166508174"/>
            <w:r>
              <w:rPr>
                <w:rFonts w:hint="eastAsia" w:ascii="仿宋" w:hAnsi="仿宋" w:eastAsia="仿宋" w:cs="仿宋"/>
                <w:b w:val="0"/>
                <w:sz w:val="24"/>
                <w:szCs w:val="24"/>
              </w:rPr>
              <w:t>（元）</w:t>
            </w:r>
            <w:bookmarkEnd w:id="10"/>
          </w:p>
        </w:tc>
        <w:tc>
          <w:tcPr>
            <w:tcW w:w="1442" w:type="dxa"/>
            <w:vAlign w:val="center"/>
          </w:tcPr>
          <w:p w14:paraId="129576DE">
            <w:pPr>
              <w:widowControl/>
              <w:jc w:val="center"/>
              <w:textAlignment w:val="center"/>
              <w:rPr>
                <w:rFonts w:hint="eastAsia" w:ascii="仿宋" w:hAnsi="仿宋" w:eastAsia="仿宋" w:cs="仿宋"/>
                <w:szCs w:val="24"/>
              </w:rPr>
            </w:pPr>
            <w:r>
              <w:rPr>
                <w:rFonts w:hint="eastAsia" w:ascii="仿宋" w:hAnsi="仿宋" w:eastAsia="仿宋" w:cs="仿宋"/>
                <w:szCs w:val="24"/>
              </w:rPr>
              <w:t>评标办法</w:t>
            </w:r>
          </w:p>
        </w:tc>
      </w:tr>
      <w:tr w14:paraId="23A4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5" w:hRule="atLeast"/>
          <w:jc w:val="center"/>
        </w:trPr>
        <w:tc>
          <w:tcPr>
            <w:tcW w:w="1791" w:type="dxa"/>
            <w:vAlign w:val="center"/>
          </w:tcPr>
          <w:p w14:paraId="4806700C">
            <w:pPr>
              <w:pStyle w:val="10"/>
              <w:jc w:val="center"/>
              <w:rPr>
                <w:rFonts w:hint="eastAsia" w:ascii="仿宋" w:hAnsi="仿宋" w:eastAsia="仿宋" w:cs="仿宋"/>
                <w:color w:val="auto"/>
                <w:kern w:val="2"/>
                <w:sz w:val="24"/>
                <w:szCs w:val="24"/>
                <w:lang w:val="en-US" w:eastAsia="zh-CN"/>
              </w:rPr>
            </w:pPr>
            <w:r>
              <w:rPr>
                <w:rFonts w:hint="eastAsia" w:ascii="仿宋" w:hAnsi="仿宋" w:eastAsia="仿宋" w:cs="仿宋"/>
                <w:color w:val="auto"/>
                <w:kern w:val="2"/>
                <w:sz w:val="24"/>
                <w:szCs w:val="24"/>
                <w:lang w:val="en-US" w:eastAsia="zh-CN"/>
              </w:rPr>
              <w:t>吉购2026F000214201</w:t>
            </w:r>
          </w:p>
        </w:tc>
        <w:tc>
          <w:tcPr>
            <w:tcW w:w="2007" w:type="dxa"/>
            <w:vAlign w:val="center"/>
          </w:tcPr>
          <w:p w14:paraId="3A05487D">
            <w:pPr>
              <w:widowControl/>
              <w:jc w:val="center"/>
              <w:rPr>
                <w:rFonts w:hint="eastAsia" w:ascii="仿宋" w:hAnsi="仿宋" w:eastAsia="仿宋" w:cs="仿宋"/>
                <w:szCs w:val="24"/>
              </w:rPr>
            </w:pPr>
            <w:r>
              <w:rPr>
                <w:rFonts w:hint="eastAsia" w:ascii="仿宋" w:hAnsi="仿宋" w:eastAsia="仿宋" w:cs="仿宋"/>
                <w:szCs w:val="24"/>
              </w:rPr>
              <w:t>泰和县民政局社会救助服务阵地购买第三方运营管理服务项目</w:t>
            </w:r>
          </w:p>
        </w:tc>
        <w:tc>
          <w:tcPr>
            <w:tcW w:w="1215" w:type="dxa"/>
            <w:vAlign w:val="center"/>
          </w:tcPr>
          <w:p w14:paraId="77BAABDD">
            <w:pPr>
              <w:widowControl/>
              <w:jc w:val="center"/>
              <w:rPr>
                <w:rFonts w:hint="eastAsia" w:ascii="仿宋" w:hAnsi="仿宋" w:eastAsia="仿宋" w:cs="仿宋"/>
                <w:szCs w:val="24"/>
              </w:rPr>
            </w:pPr>
            <w:r>
              <w:rPr>
                <w:rFonts w:hint="eastAsia" w:ascii="仿宋" w:hAnsi="仿宋" w:eastAsia="仿宋" w:cs="仿宋"/>
                <w:szCs w:val="24"/>
              </w:rPr>
              <w:t>详见文件第五章</w:t>
            </w:r>
          </w:p>
        </w:tc>
        <w:tc>
          <w:tcPr>
            <w:tcW w:w="850" w:type="dxa"/>
            <w:vAlign w:val="center"/>
          </w:tcPr>
          <w:p w14:paraId="4F602FED">
            <w:pPr>
              <w:widowControl/>
              <w:jc w:val="center"/>
              <w:textAlignment w:val="center"/>
              <w:rPr>
                <w:rFonts w:hint="eastAsia" w:ascii="仿宋" w:hAnsi="仿宋" w:eastAsia="仿宋" w:cs="仿宋"/>
                <w:szCs w:val="24"/>
              </w:rPr>
            </w:pPr>
            <w:r>
              <w:rPr>
                <w:rFonts w:hint="eastAsia" w:ascii="仿宋" w:hAnsi="仿宋" w:eastAsia="仿宋" w:cs="仿宋"/>
                <w:szCs w:val="24"/>
              </w:rPr>
              <w:t>一项</w:t>
            </w:r>
          </w:p>
        </w:tc>
        <w:tc>
          <w:tcPr>
            <w:tcW w:w="1733" w:type="dxa"/>
            <w:vAlign w:val="center"/>
          </w:tcPr>
          <w:p w14:paraId="381B6DA4">
            <w:pPr>
              <w:jc w:val="center"/>
              <w:rPr>
                <w:rFonts w:hint="eastAsia" w:ascii="仿宋" w:hAnsi="仿宋" w:eastAsia="仿宋" w:cs="仿宋"/>
                <w:szCs w:val="24"/>
              </w:rPr>
            </w:pPr>
            <w:r>
              <w:rPr>
                <w:rFonts w:hint="eastAsia" w:ascii="仿宋" w:hAnsi="仿宋" w:eastAsia="仿宋" w:cs="仿宋"/>
                <w:szCs w:val="24"/>
                <w:lang w:val="en-US" w:eastAsia="zh-CN"/>
              </w:rPr>
              <w:t>400000</w:t>
            </w:r>
            <w:r>
              <w:rPr>
                <w:rFonts w:hint="eastAsia" w:ascii="仿宋" w:hAnsi="仿宋" w:eastAsia="仿宋" w:cs="仿宋"/>
                <w:szCs w:val="24"/>
              </w:rPr>
              <w:t>元/年</w:t>
            </w:r>
          </w:p>
          <w:p w14:paraId="0F49FE8E">
            <w:pPr>
              <w:jc w:val="center"/>
              <w:rPr>
                <w:rFonts w:hint="eastAsia" w:ascii="仿宋" w:hAnsi="仿宋" w:eastAsia="仿宋" w:cs="仿宋"/>
                <w:szCs w:val="24"/>
              </w:rPr>
            </w:pPr>
          </w:p>
        </w:tc>
        <w:tc>
          <w:tcPr>
            <w:tcW w:w="1442" w:type="dxa"/>
            <w:vAlign w:val="center"/>
          </w:tcPr>
          <w:p w14:paraId="24B73620">
            <w:pPr>
              <w:widowControl/>
              <w:jc w:val="center"/>
              <w:rPr>
                <w:rFonts w:hint="eastAsia" w:ascii="仿宋" w:hAnsi="仿宋" w:eastAsia="仿宋" w:cs="仿宋"/>
                <w:szCs w:val="24"/>
              </w:rPr>
            </w:pPr>
            <w:r>
              <w:rPr>
                <w:rFonts w:hint="eastAsia" w:ascii="仿宋" w:hAnsi="仿宋" w:eastAsia="仿宋" w:cs="仿宋"/>
                <w:szCs w:val="24"/>
              </w:rPr>
              <w:t>综合评分法</w:t>
            </w:r>
          </w:p>
        </w:tc>
      </w:tr>
      <w:bookmarkEnd w:id="3"/>
      <w:bookmarkEnd w:id="4"/>
    </w:tbl>
    <w:p w14:paraId="6B870E66">
      <w:pPr>
        <w:spacing w:line="240" w:lineRule="auto"/>
        <w:rPr>
          <w:rFonts w:hint="eastAsia" w:ascii="仿宋" w:hAnsi="仿宋" w:eastAsia="仿宋" w:cs="仿宋"/>
        </w:rPr>
      </w:pPr>
    </w:p>
    <w:tbl>
      <w:tblPr>
        <w:tblStyle w:val="7"/>
        <w:tblpPr w:leftFromText="180" w:rightFromText="180" w:vertAnchor="text" w:tblpX="10597" w:tblpY="-2163"/>
        <w:tblOverlap w:val="never"/>
        <w:tblW w:w="398" w:type="dxa"/>
        <w:tblInd w:w="0" w:type="dxa"/>
        <w:tblLayout w:type="fixed"/>
        <w:tblCellMar>
          <w:top w:w="0" w:type="dxa"/>
          <w:left w:w="108" w:type="dxa"/>
          <w:bottom w:w="0" w:type="dxa"/>
          <w:right w:w="108" w:type="dxa"/>
        </w:tblCellMar>
      </w:tblPr>
      <w:tblGrid>
        <w:gridCol w:w="398"/>
      </w:tblGrid>
      <w:tr w14:paraId="3763090A">
        <w:tblPrEx>
          <w:tblCellMar>
            <w:top w:w="0" w:type="dxa"/>
            <w:left w:w="108" w:type="dxa"/>
            <w:bottom w:w="0" w:type="dxa"/>
            <w:right w:w="108" w:type="dxa"/>
          </w:tblCellMar>
        </w:tblPrEx>
        <w:trPr>
          <w:trHeight w:val="30" w:hRule="atLeast"/>
        </w:trPr>
        <w:tc>
          <w:tcPr>
            <w:tcW w:w="398" w:type="dxa"/>
          </w:tcPr>
          <w:p w14:paraId="3740434F">
            <w:pPr>
              <w:spacing w:line="240" w:lineRule="auto"/>
              <w:ind w:left="480"/>
              <w:rPr>
                <w:rFonts w:hint="eastAsia" w:ascii="仿宋" w:hAnsi="仿宋" w:eastAsia="仿宋" w:cs="仿宋"/>
                <w:b/>
                <w:szCs w:val="24"/>
              </w:rPr>
            </w:pPr>
          </w:p>
        </w:tc>
      </w:tr>
    </w:tbl>
    <w:p w14:paraId="6D5E8837">
      <w:pPr>
        <w:pStyle w:val="3"/>
        <w:kinsoku w:val="0"/>
        <w:autoSpaceDE w:val="0"/>
        <w:autoSpaceDN w:val="0"/>
        <w:spacing w:line="460" w:lineRule="exact"/>
        <w:ind w:firstLine="0" w:firstLineChars="0"/>
        <w:jc w:val="both"/>
        <w:textAlignment w:val="baseline"/>
        <w:rPr>
          <w:rFonts w:hint="eastAsia" w:ascii="仿宋" w:hAnsi="仿宋" w:eastAsia="仿宋" w:cs="仿宋"/>
          <w:kern w:val="2"/>
          <w:sz w:val="24"/>
          <w:szCs w:val="24"/>
          <w:lang w:val="en-US" w:eastAsia="zh-CN" w:bidi="ar-SA"/>
        </w:rPr>
      </w:pPr>
      <w:r>
        <w:rPr>
          <w:rFonts w:hint="eastAsia" w:ascii="仿宋" w:hAnsi="仿宋" w:eastAsia="仿宋" w:cs="仿宋"/>
          <w:szCs w:val="24"/>
          <w:highlight w:val="none"/>
        </w:rPr>
        <w:t>合同履行期限</w:t>
      </w:r>
      <w:r>
        <w:rPr>
          <w:rFonts w:hint="eastAsia" w:ascii="仿宋" w:hAnsi="仿宋" w:eastAsia="仿宋" w:cs="仿宋"/>
          <w:kern w:val="2"/>
          <w:sz w:val="24"/>
          <w:szCs w:val="24"/>
          <w:lang w:val="en-US" w:eastAsia="zh-CN" w:bidi="ar-SA"/>
        </w:rPr>
        <w:t>：</w:t>
      </w:r>
      <w:bookmarkStart w:id="11" w:name="OLE_LINK124"/>
      <w:bookmarkStart w:id="12" w:name="OLE_LINK123"/>
      <w:bookmarkStart w:id="13" w:name="_Toc19010"/>
      <w:bookmarkStart w:id="14" w:name="_Toc28359003"/>
      <w:bookmarkStart w:id="15" w:name="_Toc35393791"/>
      <w:bookmarkStart w:id="16" w:name="_Toc28359080"/>
      <w:bookmarkStart w:id="17" w:name="_Toc35393622"/>
      <w:r>
        <w:rPr>
          <w:rFonts w:hint="eastAsia" w:ascii="仿宋" w:hAnsi="仿宋" w:eastAsia="仿宋" w:cs="仿宋"/>
          <w:kern w:val="2"/>
          <w:sz w:val="24"/>
          <w:szCs w:val="24"/>
          <w:lang w:val="en-US" w:eastAsia="zh-CN" w:bidi="ar-SA"/>
        </w:rPr>
        <w:t>自合同签订之日起1年；</w:t>
      </w:r>
    </w:p>
    <w:bookmarkEnd w:id="0"/>
    <w:p w14:paraId="39B4756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eastAsia" w:ascii="仿宋" w:hAnsi="仿宋" w:eastAsia="仿宋" w:cs="仿宋"/>
        </w:rPr>
      </w:pPr>
      <w:r>
        <w:rPr>
          <w:rFonts w:hint="eastAsia" w:ascii="仿宋" w:hAnsi="仿宋" w:eastAsia="仿宋" w:cs="仿宋"/>
          <w:color w:val="auto"/>
          <w:spacing w:val="0"/>
          <w:position w:val="0"/>
          <w:sz w:val="24"/>
          <w:szCs w:val="24"/>
          <w:highlight w:val="none"/>
          <w:lang w:eastAsia="zh-CN"/>
        </w:rPr>
        <w:t>本项目</w:t>
      </w:r>
      <w:r>
        <w:rPr>
          <w:rFonts w:hint="eastAsia" w:ascii="仿宋" w:hAnsi="仿宋" w:eastAsia="仿宋" w:cs="仿宋"/>
          <w:color w:val="auto"/>
          <w:spacing w:val="0"/>
          <w:position w:val="0"/>
          <w:sz w:val="24"/>
          <w:szCs w:val="24"/>
          <w:highlight w:val="none"/>
          <w:lang w:val="en-US" w:eastAsia="zh-CN"/>
        </w:rPr>
        <w:t>是否</w:t>
      </w:r>
      <w:r>
        <w:rPr>
          <w:rFonts w:hint="eastAsia" w:ascii="仿宋" w:hAnsi="仿宋" w:eastAsia="仿宋" w:cs="仿宋"/>
          <w:color w:val="auto"/>
          <w:spacing w:val="0"/>
          <w:position w:val="0"/>
          <w:sz w:val="24"/>
          <w:szCs w:val="24"/>
          <w:highlight w:val="none"/>
          <w:lang w:eastAsia="zh-CN"/>
        </w:rPr>
        <w:t>接受联合体</w:t>
      </w:r>
      <w:r>
        <w:rPr>
          <w:rFonts w:hint="eastAsia" w:ascii="仿宋" w:hAnsi="仿宋" w:eastAsia="仿宋" w:cs="仿宋"/>
          <w:color w:val="auto"/>
          <w:spacing w:val="0"/>
          <w:position w:val="0"/>
          <w:sz w:val="24"/>
          <w:szCs w:val="24"/>
          <w:highlight w:val="none"/>
          <w:lang w:val="en-US" w:eastAsia="zh-CN"/>
        </w:rPr>
        <w:t>磋商</w:t>
      </w:r>
      <w:r>
        <w:rPr>
          <w:rFonts w:hint="eastAsia" w:ascii="仿宋" w:hAnsi="仿宋" w:eastAsia="仿宋" w:cs="仿宋"/>
          <w:color w:val="auto"/>
          <w:spacing w:val="0"/>
          <w:position w:val="0"/>
          <w:sz w:val="24"/>
          <w:szCs w:val="24"/>
          <w:highlight w:val="none"/>
          <w:lang w:eastAsia="zh-CN"/>
        </w:rPr>
        <w:t>：</w:t>
      </w:r>
      <w:r>
        <w:rPr>
          <w:rFonts w:hint="eastAsia" w:ascii="仿宋" w:hAnsi="仿宋" w:eastAsia="仿宋" w:cs="仿宋"/>
          <w:color w:val="auto"/>
          <w:spacing w:val="0"/>
          <w:position w:val="0"/>
          <w:sz w:val="24"/>
          <w:szCs w:val="24"/>
          <w:highlight w:val="none"/>
          <w:lang w:val="en-US" w:eastAsia="zh-CN"/>
        </w:rPr>
        <w:t>否</w:t>
      </w:r>
      <w:bookmarkEnd w:id="11"/>
      <w:bookmarkEnd w:id="12"/>
    </w:p>
    <w:p w14:paraId="5B09AF9C">
      <w:pPr>
        <w:pStyle w:val="2"/>
        <w:rPr>
          <w:rFonts w:hint="eastAsia" w:ascii="仿宋" w:hAnsi="仿宋" w:eastAsia="仿宋" w:cs="仿宋"/>
        </w:rPr>
      </w:pPr>
      <w:bookmarkStart w:id="18" w:name="_Toc166508175"/>
      <w:r>
        <w:rPr>
          <w:rFonts w:hint="eastAsia" w:ascii="仿宋" w:hAnsi="仿宋" w:eastAsia="仿宋" w:cs="仿宋"/>
        </w:rPr>
        <w:t>二、申请人的资格要求</w:t>
      </w:r>
      <w:bookmarkEnd w:id="13"/>
      <w:bookmarkEnd w:id="14"/>
      <w:bookmarkEnd w:id="15"/>
      <w:bookmarkEnd w:id="16"/>
      <w:bookmarkEnd w:id="17"/>
      <w:bookmarkEnd w:id="18"/>
      <w:bookmarkStart w:id="19" w:name="OLE_LINK59"/>
      <w:bookmarkStart w:id="20" w:name="OLE_LINK79"/>
    </w:p>
    <w:p w14:paraId="1DA2EBC9">
      <w:pPr>
        <w:spacing w:line="240" w:lineRule="auto"/>
        <w:rPr>
          <w:rFonts w:hint="eastAsia" w:ascii="仿宋" w:hAnsi="仿宋" w:eastAsia="仿宋" w:cs="仿宋"/>
          <w:szCs w:val="24"/>
        </w:rPr>
      </w:pPr>
      <w:bookmarkStart w:id="21" w:name="OLE_LINK100"/>
      <w:bookmarkStart w:id="22" w:name="OLE_LINK99"/>
      <w:bookmarkStart w:id="23" w:name="OLE_LINK22"/>
      <w:r>
        <w:rPr>
          <w:rFonts w:hint="eastAsia" w:ascii="仿宋" w:hAnsi="仿宋" w:eastAsia="仿宋" w:cs="仿宋"/>
          <w:szCs w:val="24"/>
        </w:rPr>
        <w:t>1.</w:t>
      </w:r>
      <w:bookmarkStart w:id="24" w:name="OLE_LINK60"/>
      <w:bookmarkStart w:id="25" w:name="OLE_LINK55"/>
      <w:bookmarkStart w:id="26" w:name="OLE_LINK54"/>
      <w:r>
        <w:rPr>
          <w:rFonts w:hint="eastAsia" w:ascii="仿宋" w:hAnsi="仿宋" w:eastAsia="仿宋" w:cs="仿宋"/>
          <w:szCs w:val="24"/>
        </w:rPr>
        <w:t>满足《中华人民共和国政府采购法》第二十二条规定；</w:t>
      </w:r>
    </w:p>
    <w:p w14:paraId="0E3C3804">
      <w:pPr>
        <w:spacing w:line="240" w:lineRule="auto"/>
        <w:rPr>
          <w:rFonts w:hint="eastAsia" w:ascii="仿宋" w:hAnsi="仿宋" w:eastAsia="仿宋" w:cs="仿宋"/>
          <w:szCs w:val="24"/>
          <w:lang w:eastAsia="zh-CN"/>
        </w:rPr>
      </w:pPr>
      <w:r>
        <w:rPr>
          <w:rFonts w:hint="eastAsia" w:ascii="仿宋" w:hAnsi="仿宋" w:eastAsia="仿宋" w:cs="仿宋"/>
          <w:szCs w:val="24"/>
        </w:rPr>
        <w:t>（1）具有独立承担民事责任的能力</w:t>
      </w:r>
      <w:r>
        <w:rPr>
          <w:rFonts w:hint="eastAsia" w:ascii="仿宋" w:hAnsi="仿宋" w:eastAsia="仿宋" w:cs="仿宋"/>
          <w:szCs w:val="24"/>
          <w:lang w:eastAsia="zh-CN"/>
        </w:rPr>
        <w:t>；</w:t>
      </w:r>
    </w:p>
    <w:p w14:paraId="373DBB8F">
      <w:pPr>
        <w:spacing w:line="240" w:lineRule="auto"/>
        <w:rPr>
          <w:rFonts w:hint="eastAsia" w:ascii="仿宋" w:hAnsi="仿宋" w:eastAsia="仿宋" w:cs="仿宋"/>
          <w:szCs w:val="24"/>
          <w:lang w:eastAsia="zh-CN"/>
        </w:rPr>
      </w:pPr>
      <w:r>
        <w:rPr>
          <w:rFonts w:hint="eastAsia" w:ascii="仿宋" w:hAnsi="仿宋" w:eastAsia="仿宋" w:cs="仿宋"/>
          <w:szCs w:val="24"/>
        </w:rPr>
        <w:t>（2）具有良好的商业信誉和健全的财务会计制度</w:t>
      </w:r>
      <w:r>
        <w:rPr>
          <w:rFonts w:hint="eastAsia" w:ascii="仿宋" w:hAnsi="仿宋" w:eastAsia="仿宋" w:cs="仿宋"/>
          <w:szCs w:val="24"/>
          <w:lang w:eastAsia="zh-CN"/>
        </w:rPr>
        <w:t>；</w:t>
      </w:r>
    </w:p>
    <w:p w14:paraId="56512913">
      <w:pPr>
        <w:spacing w:line="240" w:lineRule="auto"/>
        <w:rPr>
          <w:rFonts w:hint="eastAsia" w:ascii="仿宋" w:hAnsi="仿宋" w:eastAsia="仿宋" w:cs="仿宋"/>
          <w:szCs w:val="24"/>
          <w:lang w:eastAsia="zh-CN"/>
        </w:rPr>
      </w:pPr>
      <w:r>
        <w:rPr>
          <w:rFonts w:hint="eastAsia" w:ascii="仿宋" w:hAnsi="仿宋" w:eastAsia="仿宋" w:cs="仿宋"/>
          <w:szCs w:val="24"/>
        </w:rPr>
        <w:t>（3）具有履行合同所必须的设备和专业技术能力</w:t>
      </w:r>
      <w:r>
        <w:rPr>
          <w:rFonts w:hint="eastAsia" w:ascii="仿宋" w:hAnsi="仿宋" w:eastAsia="仿宋" w:cs="仿宋"/>
          <w:szCs w:val="24"/>
          <w:lang w:eastAsia="zh-CN"/>
        </w:rPr>
        <w:t>；</w:t>
      </w:r>
    </w:p>
    <w:p w14:paraId="02A1ACBA">
      <w:pPr>
        <w:spacing w:line="240" w:lineRule="auto"/>
        <w:rPr>
          <w:rFonts w:hint="eastAsia" w:ascii="仿宋" w:hAnsi="仿宋" w:eastAsia="仿宋" w:cs="仿宋"/>
          <w:b/>
          <w:bCs/>
          <w:szCs w:val="24"/>
          <w:lang w:eastAsia="zh-CN"/>
        </w:rPr>
      </w:pPr>
      <w:r>
        <w:rPr>
          <w:rFonts w:hint="eastAsia" w:ascii="仿宋" w:hAnsi="仿宋" w:eastAsia="仿宋" w:cs="仿宋"/>
          <w:szCs w:val="24"/>
        </w:rPr>
        <w:t>（4）有依法缴纳税收和社会保障资金的良好记录</w:t>
      </w:r>
      <w:r>
        <w:rPr>
          <w:rFonts w:hint="eastAsia" w:ascii="仿宋" w:hAnsi="仿宋" w:eastAsia="仿宋" w:cs="仿宋"/>
          <w:szCs w:val="24"/>
          <w:lang w:eastAsia="zh-CN"/>
        </w:rPr>
        <w:t>；</w:t>
      </w:r>
    </w:p>
    <w:p w14:paraId="0F6C017D">
      <w:pPr>
        <w:spacing w:line="240" w:lineRule="auto"/>
        <w:rPr>
          <w:rFonts w:hint="eastAsia" w:ascii="仿宋" w:hAnsi="仿宋" w:eastAsia="仿宋" w:cs="仿宋"/>
          <w:szCs w:val="24"/>
          <w:lang w:eastAsia="zh-CN"/>
        </w:rPr>
      </w:pPr>
      <w:r>
        <w:rPr>
          <w:rFonts w:hint="eastAsia" w:ascii="仿宋" w:hAnsi="仿宋" w:eastAsia="仿宋" w:cs="仿宋"/>
          <w:szCs w:val="24"/>
        </w:rPr>
        <w:t>（5）参加政府采购活动前三年内,在经营活动中没有重大违法记录</w:t>
      </w:r>
      <w:r>
        <w:rPr>
          <w:rFonts w:hint="eastAsia" w:ascii="仿宋" w:hAnsi="仿宋" w:eastAsia="仿宋" w:cs="仿宋"/>
          <w:szCs w:val="24"/>
          <w:lang w:eastAsia="zh-CN"/>
        </w:rPr>
        <w:t>；</w:t>
      </w:r>
    </w:p>
    <w:p w14:paraId="3D81C871">
      <w:pPr>
        <w:spacing w:line="240" w:lineRule="auto"/>
        <w:rPr>
          <w:rFonts w:hint="eastAsia" w:ascii="仿宋" w:hAnsi="仿宋" w:eastAsia="仿宋" w:cs="仿宋"/>
          <w:szCs w:val="24"/>
        </w:rPr>
      </w:pPr>
      <w:r>
        <w:rPr>
          <w:rFonts w:hint="eastAsia" w:ascii="仿宋" w:hAnsi="仿宋" w:eastAsia="仿宋" w:cs="仿宋"/>
          <w:szCs w:val="24"/>
        </w:rPr>
        <w:t>（6）法律、行政法规规定的其他条件。</w:t>
      </w:r>
    </w:p>
    <w:p w14:paraId="36F37217">
      <w:pPr>
        <w:pStyle w:val="6"/>
        <w:shd w:val="clear" w:color="auto" w:fill="FFFFFF"/>
        <w:spacing w:before="0" w:beforeAutospacing="0" w:after="0" w:afterAutospacing="0" w:line="348" w:lineRule="atLeast"/>
        <w:textAlignment w:val="baseline"/>
        <w:rPr>
          <w:rFonts w:hint="eastAsia" w:ascii="仿宋" w:hAnsi="仿宋" w:eastAsia="仿宋" w:cs="仿宋"/>
          <w:kern w:val="2"/>
        </w:rPr>
      </w:pPr>
      <w:bookmarkStart w:id="27" w:name="_Toc28359081"/>
      <w:bookmarkStart w:id="28" w:name="_Toc28359004"/>
      <w:r>
        <w:rPr>
          <w:rFonts w:hint="eastAsia" w:ascii="仿宋" w:hAnsi="仿宋" w:eastAsia="仿宋" w:cs="仿宋"/>
          <w:kern w:val="2"/>
        </w:rPr>
        <w:t>①单位负责人为同一人或者存在直接控股、管理关系的不同投标人，不得参加同一合同项下的采购活动；</w:t>
      </w:r>
    </w:p>
    <w:p w14:paraId="346CAA6F">
      <w:pPr>
        <w:pStyle w:val="6"/>
        <w:shd w:val="clear" w:color="auto" w:fill="FFFFFF"/>
        <w:spacing w:before="0" w:beforeAutospacing="0" w:after="0" w:afterAutospacing="0" w:line="348" w:lineRule="atLeast"/>
        <w:textAlignment w:val="baseline"/>
        <w:rPr>
          <w:rFonts w:hint="eastAsia" w:ascii="仿宋" w:hAnsi="仿宋" w:eastAsia="仿宋" w:cs="仿宋"/>
          <w:kern w:val="2"/>
        </w:rPr>
      </w:pPr>
      <w:r>
        <w:rPr>
          <w:rFonts w:hint="eastAsia" w:ascii="仿宋" w:hAnsi="仿宋" w:eastAsia="仿宋" w:cs="仿宋"/>
          <w:kern w:val="2"/>
        </w:rPr>
        <w:t>②为采购项目提供整体设计、规范编制或者项目管理、监理、检测等服务的投标人不得参加该采购项目的采购活动；</w:t>
      </w:r>
    </w:p>
    <w:p w14:paraId="47D32224">
      <w:pPr>
        <w:pStyle w:val="6"/>
        <w:shd w:val="clear" w:color="auto" w:fill="FFFFFF"/>
        <w:spacing w:before="0" w:beforeAutospacing="0" w:after="0" w:afterAutospacing="0" w:line="348" w:lineRule="atLeast"/>
        <w:textAlignment w:val="baseline"/>
        <w:rPr>
          <w:rFonts w:hint="eastAsia" w:ascii="仿宋" w:hAnsi="仿宋" w:eastAsia="仿宋" w:cs="仿宋"/>
          <w:kern w:val="2"/>
          <w:lang w:eastAsia="zh-CN"/>
        </w:rPr>
      </w:pPr>
      <w:r>
        <w:rPr>
          <w:rFonts w:hint="eastAsia" w:ascii="仿宋" w:hAnsi="仿宋" w:eastAsia="仿宋" w:cs="仿宋"/>
          <w:kern w:val="2"/>
        </w:rPr>
        <w:t>③</w:t>
      </w:r>
      <w:r>
        <w:rPr>
          <w:rFonts w:hint="eastAsia" w:ascii="仿宋" w:hAnsi="仿宋" w:eastAsia="仿宋" w:cs="仿宋"/>
          <w:kern w:val="2"/>
          <w:lang w:val="en-US" w:eastAsia="zh-CN"/>
        </w:rPr>
        <w:t>供应商</w:t>
      </w:r>
      <w:r>
        <w:rPr>
          <w:rFonts w:hint="eastAsia" w:ascii="仿宋" w:hAnsi="仿宋" w:eastAsia="仿宋" w:cs="仿宋"/>
          <w:kern w:val="2"/>
        </w:rPr>
        <w:t>被“信用中国”网站列入失信被执行人和重大税收违法案件当事人名单的、被“中国政府采购网”网站列入政府采购严重违法失信行为记录名单（处罚期限尚未届满的），不得参与本项目的政府采购活动</w:t>
      </w:r>
      <w:r>
        <w:rPr>
          <w:rFonts w:hint="eastAsia" w:ascii="仿宋" w:hAnsi="仿宋" w:eastAsia="仿宋" w:cs="仿宋"/>
          <w:kern w:val="2"/>
          <w:lang w:eastAsia="zh-CN"/>
        </w:rPr>
        <w:t>；</w:t>
      </w:r>
    </w:p>
    <w:p w14:paraId="09D1934D">
      <w:pPr>
        <w:snapToGrid w:val="0"/>
        <w:spacing w:line="276" w:lineRule="auto"/>
        <w:rPr>
          <w:rFonts w:hint="eastAsia" w:ascii="仿宋" w:hAnsi="仿宋" w:eastAsia="仿宋" w:cs="仿宋"/>
          <w:szCs w:val="24"/>
        </w:rPr>
      </w:pPr>
      <w:r>
        <w:rPr>
          <w:rFonts w:hint="eastAsia" w:ascii="仿宋" w:hAnsi="仿宋" w:eastAsia="仿宋" w:cs="仿宋"/>
          <w:szCs w:val="24"/>
        </w:rPr>
        <w:t>④根据《&lt;中华人民共和国政府采购法实施条例&gt;释义》，银行、保险、石油石化、电力、电信等有行业特殊情况的，取得营业执照的分支机构可以以分公司名义参与投标，招标文件中涉及的“法定代表人”在前述行业中即对应为“分支机构负责人”。</w:t>
      </w:r>
    </w:p>
    <w:p w14:paraId="480CAABE">
      <w:pPr>
        <w:pStyle w:val="6"/>
        <w:shd w:val="clear" w:color="auto" w:fill="FFFFFF"/>
        <w:spacing w:before="0" w:beforeAutospacing="0" w:after="0" w:afterAutospacing="0" w:line="348" w:lineRule="atLeast"/>
        <w:textAlignment w:val="baseline"/>
        <w:rPr>
          <w:rFonts w:hint="eastAsia" w:ascii="仿宋" w:hAnsi="仿宋" w:eastAsia="仿宋" w:cs="仿宋"/>
          <w:kern w:val="2"/>
        </w:rPr>
      </w:pPr>
      <w:bookmarkStart w:id="29" w:name="_Toc35393792"/>
      <w:bookmarkStart w:id="30" w:name="_Toc35393623"/>
      <w:r>
        <w:rPr>
          <w:rFonts w:hint="eastAsia" w:ascii="仿宋" w:hAnsi="仿宋" w:eastAsia="仿宋" w:cs="仿宋"/>
          <w:kern w:val="2"/>
        </w:rPr>
        <w:t>2.落实政府采购政策需满足的资格要求：</w:t>
      </w:r>
    </w:p>
    <w:p w14:paraId="28FF1696">
      <w:pPr>
        <w:pStyle w:val="6"/>
        <w:shd w:val="clear" w:color="auto" w:fill="FFFFFF"/>
        <w:spacing w:before="0" w:beforeAutospacing="0" w:after="0" w:afterAutospacing="0" w:line="348" w:lineRule="atLeast"/>
        <w:textAlignment w:val="baseline"/>
        <w:rPr>
          <w:rFonts w:hint="eastAsia" w:ascii="仿宋" w:hAnsi="仿宋" w:eastAsia="仿宋" w:cs="仿宋"/>
          <w:bCs/>
          <w:kern w:val="2"/>
          <w:szCs w:val="20"/>
          <w:lang w:eastAsia="zh-CN"/>
        </w:rPr>
      </w:pPr>
      <w:r>
        <w:rPr>
          <w:rFonts w:hint="eastAsia" w:ascii="仿宋" w:hAnsi="仿宋" w:eastAsia="仿宋" w:cs="仿宋"/>
          <w:kern w:val="2"/>
        </w:rPr>
        <w:t>（1）本项目①属</w:t>
      </w:r>
      <w:r>
        <w:rPr>
          <w:rFonts w:hint="eastAsia" w:ascii="仿宋" w:hAnsi="仿宋" w:eastAsia="仿宋" w:cs="仿宋"/>
          <w:bCs/>
          <w:kern w:val="2"/>
          <w:szCs w:val="20"/>
        </w:rPr>
        <w:t>性为服务，采购标的所属行业为其他未列明行业。②本项目不专门面向中小企业采购</w:t>
      </w:r>
      <w:r>
        <w:rPr>
          <w:rFonts w:hint="eastAsia" w:ascii="仿宋" w:hAnsi="仿宋" w:eastAsia="仿宋" w:cs="仿宋"/>
          <w:bCs/>
          <w:kern w:val="2"/>
          <w:szCs w:val="20"/>
          <w:lang w:eastAsia="zh-CN"/>
        </w:rPr>
        <w:t>；</w:t>
      </w:r>
    </w:p>
    <w:p w14:paraId="5D1250FB">
      <w:pPr>
        <w:pStyle w:val="6"/>
        <w:shd w:val="clear" w:color="auto" w:fill="FFFFFF"/>
        <w:spacing w:before="0" w:beforeAutospacing="0" w:after="0" w:afterAutospacing="0" w:line="348" w:lineRule="atLeast"/>
        <w:textAlignment w:val="baseline"/>
        <w:rPr>
          <w:rFonts w:hint="eastAsia" w:ascii="仿宋" w:hAnsi="仿宋" w:eastAsia="仿宋" w:cs="仿宋"/>
          <w:color w:val="000000"/>
          <w:kern w:val="2"/>
          <w:sz w:val="24"/>
          <w:szCs w:val="24"/>
          <w:lang w:val="en-US" w:eastAsia="zh-CN" w:bidi="ar-SA"/>
        </w:rPr>
      </w:pPr>
      <w:r>
        <w:rPr>
          <w:rFonts w:hint="eastAsia" w:ascii="仿宋" w:hAnsi="仿宋" w:eastAsia="仿宋" w:cs="仿宋"/>
          <w:bCs/>
          <w:kern w:val="2"/>
          <w:szCs w:val="20"/>
        </w:rPr>
        <w:t>（2）本</w:t>
      </w:r>
      <w:r>
        <w:rPr>
          <w:rFonts w:hint="eastAsia" w:ascii="仿宋" w:hAnsi="仿宋" w:eastAsia="仿宋" w:cs="仿宋"/>
          <w:color w:val="000000"/>
          <w:kern w:val="2"/>
          <w:sz w:val="24"/>
          <w:szCs w:val="24"/>
          <w:lang w:val="en-US" w:eastAsia="zh-CN" w:bidi="ar-SA"/>
        </w:rPr>
        <w:t>项目采购落实小微企业、监狱企业、残疾人福利性单位、节能、环保产品等政府采购政策，具体详见招标文件。</w:t>
      </w:r>
    </w:p>
    <w:bookmarkEnd w:id="19"/>
    <w:bookmarkEnd w:id="21"/>
    <w:bookmarkEnd w:id="22"/>
    <w:p w14:paraId="04A64982">
      <w:pPr>
        <w:kinsoku w:val="0"/>
        <w:autoSpaceDE w:val="0"/>
        <w:autoSpaceDN w:val="0"/>
        <w:spacing w:line="460" w:lineRule="exact"/>
        <w:jc w:val="both"/>
        <w:textAlignment w:val="baseline"/>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3、特定资格条件：响应供应商需在泰和县境内设有办公场所。</w:t>
      </w:r>
    </w:p>
    <w:p w14:paraId="60FADC5A">
      <w:pPr>
        <w:pStyle w:val="6"/>
        <w:shd w:val="clear" w:color="auto" w:fill="FFFFFF"/>
        <w:spacing w:before="0" w:beforeAutospacing="0" w:after="0" w:afterAutospacing="0" w:line="348" w:lineRule="atLeast"/>
        <w:textAlignment w:val="baseline"/>
        <w:rPr>
          <w:rFonts w:hint="eastAsia" w:ascii="仿宋" w:hAnsi="仿宋" w:eastAsia="仿宋" w:cs="仿宋"/>
          <w:color w:val="000000"/>
          <w:kern w:val="2"/>
          <w:sz w:val="24"/>
          <w:szCs w:val="24"/>
          <w:lang w:val="en-US" w:eastAsia="zh-CN" w:bidi="ar-SA"/>
        </w:rPr>
      </w:pPr>
    </w:p>
    <w:bookmarkEnd w:id="20"/>
    <w:bookmarkEnd w:id="23"/>
    <w:bookmarkEnd w:id="24"/>
    <w:bookmarkEnd w:id="25"/>
    <w:bookmarkEnd w:id="26"/>
    <w:p w14:paraId="45778095">
      <w:pPr>
        <w:pStyle w:val="2"/>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三、获取磋商文件</w:t>
      </w:r>
      <w:bookmarkEnd w:id="27"/>
      <w:bookmarkEnd w:id="28"/>
      <w:bookmarkEnd w:id="29"/>
      <w:bookmarkEnd w:id="30"/>
      <w:r>
        <w:rPr>
          <w:rFonts w:hint="eastAsia" w:ascii="仿宋" w:hAnsi="仿宋" w:eastAsia="仿宋" w:cs="仿宋"/>
          <w:color w:val="000000"/>
          <w:kern w:val="2"/>
          <w:sz w:val="24"/>
          <w:szCs w:val="24"/>
          <w:lang w:val="en-US" w:eastAsia="zh-CN" w:bidi="ar-SA"/>
        </w:rPr>
        <w:t>：</w:t>
      </w:r>
    </w:p>
    <w:p w14:paraId="12BE1C2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000000"/>
          <w:kern w:val="2"/>
          <w:sz w:val="24"/>
          <w:szCs w:val="24"/>
          <w:lang w:val="en-US" w:eastAsia="zh-CN" w:bidi="ar-SA"/>
        </w:rPr>
        <w:t>时间：</w:t>
      </w:r>
      <w:r>
        <w:rPr>
          <w:rFonts w:hint="eastAsia" w:ascii="仿宋" w:hAnsi="仿宋" w:eastAsia="仿宋" w:cs="仿宋"/>
          <w:color w:val="auto"/>
          <w:spacing w:val="0"/>
          <w:position w:val="0"/>
          <w:sz w:val="24"/>
          <w:szCs w:val="24"/>
          <w:highlight w:val="none"/>
          <w:u w:val="single"/>
          <w:lang w:eastAsia="zh-CN"/>
        </w:rPr>
        <w:t>202</w:t>
      </w:r>
      <w:r>
        <w:rPr>
          <w:rFonts w:hint="eastAsia" w:ascii="仿宋" w:hAnsi="仿宋" w:eastAsia="仿宋" w:cs="仿宋"/>
          <w:color w:val="auto"/>
          <w:spacing w:val="0"/>
          <w:position w:val="0"/>
          <w:sz w:val="24"/>
          <w:szCs w:val="24"/>
          <w:highlight w:val="none"/>
          <w:u w:val="single"/>
          <w:lang w:val="en-US" w:eastAsia="zh-CN"/>
        </w:rPr>
        <w:t>6</w:t>
      </w:r>
      <w:r>
        <w:rPr>
          <w:rFonts w:hint="eastAsia" w:ascii="仿宋" w:hAnsi="仿宋" w:eastAsia="仿宋" w:cs="仿宋"/>
          <w:color w:val="auto"/>
          <w:spacing w:val="0"/>
          <w:position w:val="0"/>
          <w:sz w:val="24"/>
          <w:szCs w:val="24"/>
          <w:highlight w:val="none"/>
          <w:u w:val="none"/>
          <w:lang w:eastAsia="zh-CN"/>
        </w:rPr>
        <w:t>年</w:t>
      </w:r>
      <w:r>
        <w:rPr>
          <w:rFonts w:hint="eastAsia" w:ascii="仿宋" w:hAnsi="仿宋" w:eastAsia="仿宋" w:cs="仿宋"/>
          <w:color w:val="auto"/>
          <w:spacing w:val="0"/>
          <w:position w:val="0"/>
          <w:sz w:val="24"/>
          <w:szCs w:val="24"/>
          <w:highlight w:val="none"/>
          <w:u w:val="single"/>
          <w:lang w:val="en-US" w:eastAsia="zh-CN"/>
        </w:rPr>
        <w:t xml:space="preserve"> 6</w:t>
      </w:r>
      <w:r>
        <w:rPr>
          <w:rFonts w:hint="eastAsia" w:ascii="仿宋" w:hAnsi="仿宋" w:eastAsia="仿宋" w:cs="仿宋"/>
          <w:color w:val="auto"/>
          <w:spacing w:val="0"/>
          <w:position w:val="0"/>
          <w:sz w:val="24"/>
          <w:szCs w:val="24"/>
          <w:highlight w:val="none"/>
          <w:u w:val="none"/>
          <w:lang w:eastAsia="zh-CN"/>
        </w:rPr>
        <w:t>月</w:t>
      </w:r>
      <w:r>
        <w:rPr>
          <w:rFonts w:hint="eastAsia" w:ascii="仿宋" w:hAnsi="仿宋" w:eastAsia="仿宋" w:cs="仿宋"/>
          <w:color w:val="auto"/>
          <w:spacing w:val="0"/>
          <w:position w:val="0"/>
          <w:sz w:val="24"/>
          <w:szCs w:val="24"/>
          <w:highlight w:val="none"/>
          <w:u w:val="none"/>
          <w:lang w:val="en-US" w:eastAsia="zh-CN"/>
        </w:rPr>
        <w:t xml:space="preserve"> </w:t>
      </w:r>
      <w:r>
        <w:rPr>
          <w:rFonts w:hint="eastAsia" w:ascii="仿宋" w:hAnsi="仿宋" w:eastAsia="仿宋" w:cs="仿宋"/>
          <w:color w:val="auto"/>
          <w:spacing w:val="0"/>
          <w:position w:val="0"/>
          <w:sz w:val="24"/>
          <w:szCs w:val="24"/>
          <w:highlight w:val="none"/>
          <w:u w:val="single"/>
          <w:lang w:val="en-US" w:eastAsia="zh-CN"/>
        </w:rPr>
        <w:t xml:space="preserve"> 26 </w:t>
      </w:r>
      <w:r>
        <w:rPr>
          <w:rFonts w:hint="eastAsia" w:ascii="仿宋" w:hAnsi="仿宋" w:eastAsia="仿宋" w:cs="仿宋"/>
          <w:color w:val="auto"/>
          <w:spacing w:val="0"/>
          <w:position w:val="0"/>
          <w:sz w:val="24"/>
          <w:szCs w:val="24"/>
          <w:highlight w:val="none"/>
          <w:u w:val="none"/>
          <w:lang w:eastAsia="zh-CN"/>
        </w:rPr>
        <w:t>日</w:t>
      </w:r>
      <w:r>
        <w:rPr>
          <w:rFonts w:hint="eastAsia" w:ascii="仿宋" w:hAnsi="仿宋" w:eastAsia="仿宋" w:cs="仿宋"/>
          <w:color w:val="auto"/>
          <w:spacing w:val="0"/>
          <w:position w:val="0"/>
          <w:sz w:val="24"/>
          <w:szCs w:val="24"/>
          <w:highlight w:val="none"/>
          <w:u w:val="single"/>
          <w:lang w:val="en-US" w:eastAsia="zh-CN"/>
        </w:rPr>
        <w:t xml:space="preserve"> 00</w:t>
      </w:r>
      <w:r>
        <w:rPr>
          <w:rFonts w:hint="eastAsia" w:ascii="仿宋" w:hAnsi="仿宋" w:eastAsia="仿宋" w:cs="仿宋"/>
          <w:color w:val="auto"/>
          <w:spacing w:val="0"/>
          <w:position w:val="0"/>
          <w:sz w:val="24"/>
          <w:szCs w:val="24"/>
          <w:highlight w:val="none"/>
          <w:u w:val="none"/>
          <w:lang w:val="en-US" w:eastAsia="zh-CN"/>
        </w:rPr>
        <w:t>:</w:t>
      </w:r>
      <w:r>
        <w:rPr>
          <w:rFonts w:hint="eastAsia" w:ascii="仿宋" w:hAnsi="仿宋" w:eastAsia="仿宋" w:cs="仿宋"/>
          <w:color w:val="auto"/>
          <w:spacing w:val="0"/>
          <w:position w:val="0"/>
          <w:sz w:val="24"/>
          <w:szCs w:val="24"/>
          <w:highlight w:val="none"/>
          <w:u w:val="single"/>
          <w:lang w:val="en-US" w:eastAsia="zh-CN"/>
        </w:rPr>
        <w:t xml:space="preserve"> 00 </w:t>
      </w:r>
      <w:r>
        <w:rPr>
          <w:rFonts w:hint="eastAsia" w:ascii="仿宋" w:hAnsi="仿宋" w:eastAsia="仿宋" w:cs="仿宋"/>
          <w:color w:val="auto"/>
          <w:spacing w:val="0"/>
          <w:position w:val="0"/>
          <w:sz w:val="24"/>
          <w:szCs w:val="24"/>
          <w:highlight w:val="none"/>
          <w:u w:val="none"/>
          <w:lang w:eastAsia="zh-CN"/>
        </w:rPr>
        <w:t>至</w:t>
      </w:r>
      <w:r>
        <w:rPr>
          <w:rFonts w:hint="eastAsia" w:ascii="仿宋" w:hAnsi="仿宋" w:eastAsia="仿宋" w:cs="仿宋"/>
          <w:color w:val="auto"/>
          <w:spacing w:val="0"/>
          <w:position w:val="0"/>
          <w:sz w:val="24"/>
          <w:szCs w:val="24"/>
          <w:highlight w:val="none"/>
          <w:u w:val="single"/>
          <w:lang w:eastAsia="zh-CN"/>
        </w:rPr>
        <w:t>202</w:t>
      </w:r>
      <w:r>
        <w:rPr>
          <w:rFonts w:hint="eastAsia" w:ascii="仿宋" w:hAnsi="仿宋" w:eastAsia="仿宋" w:cs="仿宋"/>
          <w:color w:val="auto"/>
          <w:spacing w:val="0"/>
          <w:position w:val="0"/>
          <w:sz w:val="24"/>
          <w:szCs w:val="24"/>
          <w:highlight w:val="none"/>
          <w:u w:val="single"/>
          <w:lang w:val="en-US" w:eastAsia="zh-CN"/>
        </w:rPr>
        <w:t>6</w:t>
      </w:r>
      <w:r>
        <w:rPr>
          <w:rFonts w:hint="eastAsia" w:ascii="仿宋" w:hAnsi="仿宋" w:eastAsia="仿宋" w:cs="仿宋"/>
          <w:color w:val="auto"/>
          <w:spacing w:val="0"/>
          <w:position w:val="0"/>
          <w:sz w:val="24"/>
          <w:szCs w:val="24"/>
          <w:highlight w:val="none"/>
          <w:u w:val="none"/>
          <w:lang w:eastAsia="zh-CN"/>
        </w:rPr>
        <w:t>年</w:t>
      </w:r>
      <w:r>
        <w:rPr>
          <w:rFonts w:hint="eastAsia" w:ascii="仿宋" w:hAnsi="仿宋" w:eastAsia="仿宋" w:cs="仿宋"/>
          <w:color w:val="auto"/>
          <w:spacing w:val="0"/>
          <w:position w:val="0"/>
          <w:sz w:val="24"/>
          <w:szCs w:val="24"/>
          <w:highlight w:val="none"/>
          <w:u w:val="single"/>
          <w:lang w:val="en-US" w:eastAsia="zh-CN"/>
        </w:rPr>
        <w:t xml:space="preserve"> 7</w:t>
      </w:r>
      <w:r>
        <w:rPr>
          <w:rFonts w:hint="eastAsia" w:ascii="仿宋" w:hAnsi="仿宋" w:eastAsia="仿宋" w:cs="仿宋"/>
          <w:color w:val="auto"/>
          <w:spacing w:val="0"/>
          <w:position w:val="0"/>
          <w:sz w:val="24"/>
          <w:szCs w:val="24"/>
          <w:highlight w:val="none"/>
          <w:u w:val="none"/>
          <w:lang w:eastAsia="zh-CN"/>
        </w:rPr>
        <w:t>月</w:t>
      </w:r>
      <w:r>
        <w:rPr>
          <w:rFonts w:hint="eastAsia" w:ascii="仿宋" w:hAnsi="仿宋" w:eastAsia="仿宋" w:cs="仿宋"/>
          <w:color w:val="auto"/>
          <w:spacing w:val="0"/>
          <w:position w:val="0"/>
          <w:sz w:val="24"/>
          <w:szCs w:val="24"/>
          <w:highlight w:val="none"/>
          <w:u w:val="single"/>
          <w:lang w:val="en-US" w:eastAsia="zh-CN"/>
        </w:rPr>
        <w:t xml:space="preserve"> 8 </w:t>
      </w:r>
      <w:r>
        <w:rPr>
          <w:rFonts w:hint="eastAsia" w:ascii="仿宋" w:hAnsi="仿宋" w:eastAsia="仿宋" w:cs="仿宋"/>
          <w:color w:val="auto"/>
          <w:spacing w:val="0"/>
          <w:position w:val="0"/>
          <w:sz w:val="24"/>
          <w:szCs w:val="24"/>
          <w:highlight w:val="none"/>
          <w:u w:val="none"/>
          <w:lang w:eastAsia="zh-CN"/>
        </w:rPr>
        <w:t>日</w:t>
      </w:r>
      <w:r>
        <w:rPr>
          <w:rFonts w:hint="eastAsia" w:ascii="仿宋" w:hAnsi="仿宋" w:eastAsia="仿宋" w:cs="仿宋"/>
          <w:color w:val="auto"/>
          <w:spacing w:val="0"/>
          <w:position w:val="0"/>
          <w:sz w:val="24"/>
          <w:szCs w:val="24"/>
          <w:highlight w:val="none"/>
          <w:u w:val="single"/>
          <w:lang w:val="en-US" w:eastAsia="zh-CN"/>
        </w:rPr>
        <w:t xml:space="preserve"> 00</w:t>
      </w:r>
      <w:r>
        <w:rPr>
          <w:rFonts w:hint="eastAsia" w:ascii="仿宋" w:hAnsi="仿宋" w:eastAsia="仿宋" w:cs="仿宋"/>
          <w:color w:val="auto"/>
          <w:spacing w:val="0"/>
          <w:position w:val="0"/>
          <w:sz w:val="24"/>
          <w:szCs w:val="24"/>
          <w:highlight w:val="none"/>
          <w:u w:val="none"/>
          <w:lang w:val="en-US" w:eastAsia="zh-CN"/>
        </w:rPr>
        <w:t>：</w:t>
      </w:r>
      <w:r>
        <w:rPr>
          <w:rFonts w:hint="eastAsia" w:ascii="仿宋" w:hAnsi="仿宋" w:eastAsia="仿宋" w:cs="仿宋"/>
          <w:color w:val="auto"/>
          <w:spacing w:val="0"/>
          <w:position w:val="0"/>
          <w:sz w:val="24"/>
          <w:szCs w:val="24"/>
          <w:highlight w:val="none"/>
          <w:u w:val="single"/>
          <w:lang w:val="en-US" w:eastAsia="zh-CN"/>
        </w:rPr>
        <w:t>00</w:t>
      </w:r>
      <w:r>
        <w:rPr>
          <w:rFonts w:hint="eastAsia" w:ascii="仿宋" w:hAnsi="仿宋" w:eastAsia="仿宋" w:cs="仿宋"/>
          <w:color w:val="auto"/>
          <w:spacing w:val="0"/>
          <w:position w:val="0"/>
          <w:sz w:val="24"/>
          <w:szCs w:val="24"/>
          <w:highlight w:val="none"/>
          <w:u w:val="none"/>
          <w:lang w:eastAsia="zh-CN"/>
        </w:rPr>
        <w:t>前</w:t>
      </w:r>
      <w:r>
        <w:rPr>
          <w:rFonts w:hint="eastAsia" w:ascii="仿宋" w:hAnsi="仿宋" w:eastAsia="仿宋" w:cs="仿宋"/>
          <w:color w:val="auto"/>
          <w:spacing w:val="0"/>
          <w:position w:val="0"/>
          <w:sz w:val="24"/>
          <w:szCs w:val="24"/>
          <w:highlight w:val="none"/>
          <w:lang w:eastAsia="zh-CN"/>
        </w:rPr>
        <w:t>（北京时间）</w:t>
      </w:r>
    </w:p>
    <w:p w14:paraId="713A9473">
      <w:pPr>
        <w:spacing w:line="240" w:lineRule="auto"/>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地点：</w:t>
      </w:r>
      <w:bookmarkStart w:id="31" w:name="OLE_LINK97"/>
      <w:bookmarkStart w:id="32" w:name="OLE_LINK75"/>
      <w:bookmarkStart w:id="33" w:name="OLE_LINK76"/>
      <w:r>
        <w:rPr>
          <w:rFonts w:hint="eastAsia" w:ascii="仿宋" w:hAnsi="仿宋" w:eastAsia="仿宋" w:cs="仿宋"/>
          <w:color w:val="000000"/>
          <w:kern w:val="2"/>
          <w:sz w:val="24"/>
          <w:szCs w:val="24"/>
          <w:lang w:val="en-US" w:eastAsia="zh-CN" w:bidi="ar-SA"/>
        </w:rPr>
        <w:t>江西省公共资源交易网</w:t>
      </w:r>
      <w:bookmarkEnd w:id="31"/>
      <w:bookmarkEnd w:id="32"/>
      <w:bookmarkEnd w:id="33"/>
      <w:r>
        <w:rPr>
          <w:rFonts w:hint="eastAsia" w:ascii="仿宋" w:hAnsi="仿宋" w:eastAsia="仿宋" w:cs="仿宋"/>
          <w:color w:val="000000"/>
          <w:kern w:val="2"/>
          <w:sz w:val="24"/>
          <w:szCs w:val="24"/>
          <w:lang w:val="en-US" w:eastAsia="zh-CN" w:bidi="ar-SA"/>
        </w:rPr>
        <w:t>（网址：http://jxsggzy.cn/web/）</w:t>
      </w:r>
    </w:p>
    <w:p w14:paraId="6F5DE561">
      <w:pPr>
        <w:spacing w:line="240" w:lineRule="auto"/>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方式：网上报名和下载磋商文件。（详见其他补充事宜）</w:t>
      </w:r>
    </w:p>
    <w:p w14:paraId="00359FC5">
      <w:pPr>
        <w:spacing w:line="240" w:lineRule="auto"/>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售价：0元/份</w:t>
      </w:r>
    </w:p>
    <w:p w14:paraId="200FFB65">
      <w:pPr>
        <w:pStyle w:val="2"/>
        <w:rPr>
          <w:rFonts w:hint="eastAsia" w:ascii="仿宋" w:hAnsi="仿宋" w:eastAsia="仿宋" w:cs="仿宋"/>
          <w:color w:val="000000"/>
          <w:kern w:val="2"/>
          <w:sz w:val="24"/>
          <w:szCs w:val="24"/>
          <w:lang w:val="en-US" w:eastAsia="zh-CN" w:bidi="ar-SA"/>
        </w:rPr>
      </w:pPr>
      <w:bookmarkStart w:id="34" w:name="_Toc28359005"/>
      <w:bookmarkStart w:id="35" w:name="_Toc28359082"/>
      <w:bookmarkStart w:id="36" w:name="_Toc35393624"/>
      <w:bookmarkStart w:id="37" w:name="_Toc35393793"/>
      <w:bookmarkStart w:id="38" w:name="_Toc166508176"/>
      <w:bookmarkStart w:id="39" w:name="_Toc1617"/>
      <w:r>
        <w:rPr>
          <w:rFonts w:hint="eastAsia" w:ascii="仿宋" w:hAnsi="仿宋" w:eastAsia="仿宋" w:cs="仿宋"/>
          <w:color w:val="000000"/>
          <w:kern w:val="2"/>
          <w:sz w:val="24"/>
          <w:szCs w:val="24"/>
          <w:lang w:val="en-US" w:eastAsia="zh-CN" w:bidi="ar-SA"/>
        </w:rPr>
        <w:t>四、提交响应文件</w:t>
      </w:r>
      <w:bookmarkEnd w:id="34"/>
      <w:bookmarkEnd w:id="35"/>
      <w:r>
        <w:rPr>
          <w:rFonts w:hint="eastAsia" w:ascii="仿宋" w:hAnsi="仿宋" w:eastAsia="仿宋" w:cs="仿宋"/>
          <w:color w:val="000000"/>
          <w:kern w:val="2"/>
          <w:sz w:val="24"/>
          <w:szCs w:val="24"/>
          <w:lang w:val="en-US" w:eastAsia="zh-CN" w:bidi="ar-SA"/>
        </w:rPr>
        <w:t>截止时间、磋商开启时间和地点</w:t>
      </w:r>
      <w:bookmarkEnd w:id="36"/>
      <w:bookmarkEnd w:id="37"/>
      <w:bookmarkEnd w:id="38"/>
      <w:bookmarkEnd w:id="39"/>
    </w:p>
    <w:p w14:paraId="489A14B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color w:val="auto"/>
          <w:spacing w:val="0"/>
          <w:kern w:val="2"/>
          <w:position w:val="0"/>
          <w:sz w:val="24"/>
          <w:szCs w:val="24"/>
          <w:highlight w:val="none"/>
          <w:lang w:val="en-US" w:eastAsia="zh-CN" w:bidi="ar-SA"/>
        </w:rPr>
      </w:pPr>
      <w:r>
        <w:rPr>
          <w:rFonts w:hint="eastAsia" w:ascii="仿宋" w:hAnsi="仿宋" w:eastAsia="仿宋" w:cs="仿宋"/>
          <w:color w:val="000000"/>
          <w:kern w:val="2"/>
          <w:sz w:val="24"/>
          <w:szCs w:val="24"/>
          <w:u w:val="single"/>
          <w:lang w:val="en-US" w:eastAsia="zh-CN" w:bidi="ar-SA"/>
        </w:rPr>
        <w:t xml:space="preserve">2026 </w:t>
      </w:r>
      <w:r>
        <w:rPr>
          <w:rFonts w:hint="eastAsia" w:ascii="仿宋" w:hAnsi="仿宋" w:eastAsia="仿宋" w:cs="仿宋"/>
          <w:color w:val="000000"/>
          <w:kern w:val="2"/>
          <w:sz w:val="24"/>
          <w:szCs w:val="24"/>
          <w:lang w:val="en-US" w:eastAsia="zh-CN" w:bidi="ar-SA"/>
        </w:rPr>
        <w:t>年</w:t>
      </w:r>
      <w:r>
        <w:rPr>
          <w:rFonts w:hint="eastAsia" w:ascii="仿宋" w:hAnsi="仿宋" w:eastAsia="仿宋" w:cs="仿宋"/>
          <w:color w:val="000000"/>
          <w:kern w:val="2"/>
          <w:sz w:val="24"/>
          <w:szCs w:val="24"/>
          <w:u w:val="single"/>
          <w:lang w:val="en-US" w:eastAsia="zh-CN" w:bidi="ar-SA"/>
        </w:rPr>
        <w:t xml:space="preserve"> 7 </w:t>
      </w:r>
      <w:r>
        <w:rPr>
          <w:rFonts w:hint="eastAsia" w:ascii="仿宋" w:hAnsi="仿宋" w:eastAsia="仿宋" w:cs="仿宋"/>
          <w:color w:val="000000"/>
          <w:kern w:val="2"/>
          <w:sz w:val="24"/>
          <w:szCs w:val="24"/>
          <w:lang w:val="en-US" w:eastAsia="zh-CN" w:bidi="ar-SA"/>
        </w:rPr>
        <w:t>月</w:t>
      </w:r>
      <w:r>
        <w:rPr>
          <w:rFonts w:hint="eastAsia" w:ascii="仿宋" w:hAnsi="仿宋" w:eastAsia="仿宋" w:cs="仿宋"/>
          <w:color w:val="000000"/>
          <w:kern w:val="2"/>
          <w:sz w:val="24"/>
          <w:szCs w:val="24"/>
          <w:u w:val="single"/>
          <w:lang w:val="en-US" w:eastAsia="zh-CN" w:bidi="ar-SA"/>
        </w:rPr>
        <w:t xml:space="preserve"> 8</w:t>
      </w:r>
      <w:r>
        <w:rPr>
          <w:rFonts w:hint="eastAsia" w:ascii="仿宋" w:hAnsi="仿宋" w:eastAsia="仿宋" w:cs="仿宋"/>
          <w:color w:val="000000"/>
          <w:kern w:val="2"/>
          <w:sz w:val="24"/>
          <w:szCs w:val="24"/>
          <w:lang w:val="en-US" w:eastAsia="zh-CN" w:bidi="ar-SA"/>
        </w:rPr>
        <w:t xml:space="preserve">日 </w:t>
      </w:r>
      <w:r>
        <w:rPr>
          <w:rFonts w:hint="eastAsia" w:ascii="仿宋" w:hAnsi="仿宋" w:eastAsia="仿宋" w:cs="仿宋"/>
          <w:color w:val="000000"/>
          <w:kern w:val="2"/>
          <w:sz w:val="24"/>
          <w:szCs w:val="24"/>
          <w:u w:val="single"/>
          <w:lang w:val="en-US" w:eastAsia="zh-CN" w:bidi="ar-SA"/>
        </w:rPr>
        <w:t xml:space="preserve">09 </w:t>
      </w:r>
      <w:r>
        <w:rPr>
          <w:rFonts w:hint="eastAsia" w:ascii="仿宋" w:hAnsi="仿宋" w:eastAsia="仿宋" w:cs="仿宋"/>
          <w:color w:val="000000"/>
          <w:kern w:val="2"/>
          <w:sz w:val="24"/>
          <w:szCs w:val="24"/>
          <w:lang w:val="en-US" w:eastAsia="zh-CN" w:bidi="ar-SA"/>
        </w:rPr>
        <w:t>点</w:t>
      </w:r>
      <w:r>
        <w:rPr>
          <w:rFonts w:hint="eastAsia" w:ascii="仿宋" w:hAnsi="仿宋" w:eastAsia="仿宋" w:cs="仿宋"/>
          <w:color w:val="000000"/>
          <w:kern w:val="2"/>
          <w:sz w:val="24"/>
          <w:szCs w:val="24"/>
          <w:u w:val="single"/>
          <w:lang w:val="en-US" w:eastAsia="zh-CN" w:bidi="ar-SA"/>
        </w:rPr>
        <w:t>30</w:t>
      </w:r>
      <w:r>
        <w:rPr>
          <w:rFonts w:hint="eastAsia" w:ascii="仿宋" w:hAnsi="仿宋" w:eastAsia="仿宋" w:cs="仿宋"/>
          <w:color w:val="000000"/>
          <w:kern w:val="2"/>
          <w:sz w:val="24"/>
          <w:szCs w:val="24"/>
          <w:lang w:val="en-US" w:eastAsia="zh-CN" w:bidi="ar-SA"/>
        </w:rPr>
        <w:t>分（北京时间）</w:t>
      </w:r>
    </w:p>
    <w:p w14:paraId="569DB3F6">
      <w:pP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地点：</w:t>
      </w:r>
      <w:bookmarkStart w:id="40" w:name="OLE_LINK52"/>
      <w:bookmarkStart w:id="41" w:name="OLE_LINK98"/>
      <w:bookmarkStart w:id="42" w:name="OLE_LINK53"/>
      <w:r>
        <w:rPr>
          <w:rFonts w:hint="eastAsia" w:ascii="仿宋" w:hAnsi="仿宋" w:eastAsia="仿宋" w:cs="仿宋"/>
          <w:color w:val="auto"/>
          <w:spacing w:val="0"/>
          <w:position w:val="0"/>
          <w:sz w:val="24"/>
          <w:szCs w:val="24"/>
          <w:highlight w:val="none"/>
          <w:u w:val="single"/>
          <w:lang w:val="en-US" w:eastAsia="zh-CN"/>
        </w:rPr>
        <w:t xml:space="preserve"> </w:t>
      </w:r>
      <w:r>
        <w:rPr>
          <w:rFonts w:hint="eastAsia" w:ascii="仿宋" w:hAnsi="仿宋" w:eastAsia="仿宋" w:cs="仿宋"/>
          <w:color w:val="auto"/>
          <w:sz w:val="24"/>
          <w:szCs w:val="24"/>
          <w:highlight w:val="none"/>
          <w:u w:val="single"/>
          <w:lang w:eastAsia="zh-CN"/>
        </w:rPr>
        <w:t xml:space="preserve">江西省公共资源交易网-不见面开标大厅 </w:t>
      </w:r>
    </w:p>
    <w:bookmarkEnd w:id="40"/>
    <w:bookmarkEnd w:id="41"/>
    <w:bookmarkEnd w:id="42"/>
    <w:p w14:paraId="7B0DC34C">
      <w:pPr>
        <w:pStyle w:val="5"/>
        <w:ind w:firstLine="480"/>
        <w:rPr>
          <w:rFonts w:hint="eastAsia" w:ascii="仿宋" w:hAnsi="仿宋" w:eastAsia="仿宋" w:cs="仿宋"/>
          <w:color w:val="000000"/>
          <w:kern w:val="2"/>
          <w:sz w:val="24"/>
          <w:szCs w:val="24"/>
          <w:lang w:val="en-US" w:eastAsia="zh-CN" w:bidi="ar-SA"/>
        </w:rPr>
      </w:pPr>
    </w:p>
    <w:p w14:paraId="5A0A4021">
      <w:pPr>
        <w:pStyle w:val="2"/>
        <w:rPr>
          <w:rFonts w:hint="eastAsia" w:ascii="仿宋" w:hAnsi="仿宋" w:eastAsia="仿宋" w:cs="仿宋"/>
          <w:color w:val="000000"/>
          <w:kern w:val="2"/>
          <w:sz w:val="24"/>
          <w:szCs w:val="24"/>
          <w:lang w:val="en-US" w:eastAsia="zh-CN" w:bidi="ar-SA"/>
        </w:rPr>
      </w:pPr>
      <w:bookmarkStart w:id="43" w:name="_Toc28359084"/>
      <w:bookmarkStart w:id="44" w:name="_Toc28359007"/>
      <w:bookmarkStart w:id="45" w:name="_Toc35393794"/>
      <w:bookmarkStart w:id="46" w:name="_Toc35393625"/>
      <w:bookmarkStart w:id="47" w:name="_Toc166508177"/>
      <w:bookmarkStart w:id="48" w:name="_Toc50"/>
      <w:r>
        <w:rPr>
          <w:rFonts w:hint="eastAsia" w:ascii="仿宋" w:hAnsi="仿宋" w:eastAsia="仿宋" w:cs="仿宋"/>
          <w:color w:val="000000"/>
          <w:kern w:val="2"/>
          <w:sz w:val="24"/>
          <w:szCs w:val="24"/>
          <w:lang w:val="en-US" w:eastAsia="zh-CN" w:bidi="ar-SA"/>
        </w:rPr>
        <w:t>五、公告期限</w:t>
      </w:r>
      <w:bookmarkEnd w:id="43"/>
      <w:bookmarkEnd w:id="44"/>
      <w:bookmarkEnd w:id="45"/>
      <w:bookmarkEnd w:id="46"/>
      <w:bookmarkEnd w:id="47"/>
      <w:bookmarkEnd w:id="48"/>
    </w:p>
    <w:p w14:paraId="564B2633">
      <w:pP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自本公告发布之日起 3个工作日。</w:t>
      </w:r>
    </w:p>
    <w:p w14:paraId="1C05682B">
      <w:pPr>
        <w:pStyle w:val="3"/>
        <w:rPr>
          <w:rFonts w:hint="eastAsia" w:ascii="仿宋" w:hAnsi="仿宋" w:eastAsia="仿宋" w:cs="仿宋"/>
          <w:color w:val="000000"/>
          <w:kern w:val="2"/>
          <w:sz w:val="24"/>
          <w:szCs w:val="24"/>
          <w:lang w:val="en-US" w:eastAsia="zh-CN" w:bidi="ar-SA"/>
        </w:rPr>
      </w:pPr>
    </w:p>
    <w:p w14:paraId="1679F3D8">
      <w:pPr>
        <w:pStyle w:val="2"/>
        <w:rPr>
          <w:rFonts w:hint="eastAsia" w:ascii="仿宋" w:hAnsi="仿宋" w:eastAsia="仿宋" w:cs="仿宋"/>
          <w:color w:val="000000"/>
          <w:kern w:val="2"/>
          <w:sz w:val="24"/>
          <w:szCs w:val="24"/>
          <w:lang w:val="en-US" w:eastAsia="zh-CN" w:bidi="ar-SA"/>
        </w:rPr>
      </w:pPr>
      <w:bookmarkStart w:id="49" w:name="_Toc25873"/>
      <w:bookmarkStart w:id="50" w:name="_Toc35393626"/>
      <w:bookmarkStart w:id="51" w:name="_Toc166508178"/>
      <w:bookmarkStart w:id="52" w:name="_Toc35393795"/>
      <w:r>
        <w:rPr>
          <w:rFonts w:hint="eastAsia" w:ascii="仿宋" w:hAnsi="仿宋" w:eastAsia="仿宋" w:cs="仿宋"/>
          <w:color w:val="000000"/>
          <w:kern w:val="2"/>
          <w:sz w:val="24"/>
          <w:szCs w:val="24"/>
          <w:lang w:val="en-US" w:eastAsia="zh-CN" w:bidi="ar-SA"/>
        </w:rPr>
        <w:t>六、其他补充事宜</w:t>
      </w:r>
      <w:bookmarkEnd w:id="49"/>
      <w:bookmarkEnd w:id="50"/>
      <w:bookmarkEnd w:id="51"/>
      <w:bookmarkEnd w:id="52"/>
      <w:bookmarkStart w:id="53" w:name="OLE_LINK101"/>
      <w:bookmarkStart w:id="54" w:name="OLE_LINK102"/>
      <w:bookmarkStart w:id="55" w:name="OLE_LINK58"/>
    </w:p>
    <w:p w14:paraId="5F8C5E1D">
      <w:pPr>
        <w:jc w:val="both"/>
        <w:rPr>
          <w:rStyle w:val="9"/>
          <w:rFonts w:hint="eastAsia" w:ascii="仿宋" w:hAnsi="仿宋" w:eastAsia="仿宋" w:cs="仿宋"/>
          <w:color w:val="auto"/>
          <w:szCs w:val="24"/>
        </w:rPr>
      </w:pPr>
      <w:bookmarkStart w:id="56" w:name="_Hlk212196438"/>
      <w:r>
        <w:rPr>
          <w:rFonts w:hint="eastAsia" w:ascii="仿宋" w:hAnsi="仿宋" w:eastAsia="仿宋" w:cs="仿宋"/>
          <w:color w:val="000000"/>
          <w:kern w:val="2"/>
          <w:sz w:val="24"/>
          <w:szCs w:val="24"/>
          <w:lang w:val="en-US" w:eastAsia="zh-CN" w:bidi="ar-SA"/>
        </w:rPr>
        <w:t>1.潜在供应商必须在江西省公共资源交</w:t>
      </w:r>
      <w:r>
        <w:rPr>
          <w:rFonts w:hint="eastAsia" w:ascii="仿宋" w:hAnsi="仿宋" w:eastAsia="仿宋" w:cs="仿宋"/>
          <w:szCs w:val="24"/>
        </w:rPr>
        <w:t>易网（网址：http://jxsggzy.cn/web/）注册并办理江西省CA数字证书和电子签章。具体要求详见“江西省政府采购网”（网址：</w:t>
      </w:r>
      <w:r>
        <w:rPr>
          <w:rFonts w:hint="eastAsia" w:ascii="仿宋" w:hAnsi="仿宋" w:eastAsia="仿宋" w:cs="仿宋"/>
        </w:rPr>
        <w:fldChar w:fldCharType="begin"/>
      </w:r>
      <w:r>
        <w:rPr>
          <w:rFonts w:hint="eastAsia" w:ascii="仿宋" w:hAnsi="仿宋" w:eastAsia="仿宋" w:cs="仿宋"/>
        </w:rPr>
        <w:instrText xml:space="preserve"> HYPERLINK "http://www.ccgp-jiangxi.gov.cn/web/）。" </w:instrText>
      </w:r>
      <w:r>
        <w:rPr>
          <w:rFonts w:hint="eastAsia" w:ascii="仿宋" w:hAnsi="仿宋" w:eastAsia="仿宋" w:cs="仿宋"/>
        </w:rPr>
        <w:fldChar w:fldCharType="separate"/>
      </w:r>
      <w:r>
        <w:rPr>
          <w:rStyle w:val="9"/>
          <w:rFonts w:hint="eastAsia" w:ascii="仿宋" w:hAnsi="仿宋" w:eastAsia="仿宋" w:cs="仿宋"/>
        </w:rPr>
        <w:t>http://www.ccgp-jiangxi.gov.cn/web/）。</w:t>
      </w:r>
      <w:r>
        <w:rPr>
          <w:rStyle w:val="9"/>
          <w:rFonts w:hint="eastAsia" w:ascii="仿宋" w:hAnsi="仿宋" w:eastAsia="仿宋" w:cs="仿宋"/>
        </w:rPr>
        <w:fldChar w:fldCharType="end"/>
      </w:r>
    </w:p>
    <w:p w14:paraId="270364AA">
      <w:pPr>
        <w:rPr>
          <w:rFonts w:hint="eastAsia" w:ascii="仿宋" w:hAnsi="仿宋" w:eastAsia="仿宋" w:cs="仿宋"/>
        </w:rPr>
      </w:pPr>
      <w:r>
        <w:rPr>
          <w:rFonts w:hint="eastAsia" w:ascii="仿宋" w:hAnsi="仿宋" w:eastAsia="仿宋" w:cs="仿宋"/>
        </w:rPr>
        <w:t>2.参与采购活动特别事项：</w:t>
      </w:r>
      <w:bookmarkEnd w:id="53"/>
      <w:bookmarkEnd w:id="54"/>
      <w:bookmarkEnd w:id="56"/>
    </w:p>
    <w:p w14:paraId="48399756">
      <w:pPr>
        <w:rPr>
          <w:rFonts w:hint="eastAsia" w:ascii="仿宋" w:hAnsi="仿宋" w:eastAsia="仿宋" w:cs="仿宋"/>
          <w:szCs w:val="24"/>
        </w:rPr>
      </w:pPr>
      <w:r>
        <w:rPr>
          <w:rFonts w:hint="eastAsia" w:ascii="仿宋" w:hAnsi="仿宋" w:eastAsia="仿宋" w:cs="仿宋"/>
          <w:szCs w:val="24"/>
        </w:rPr>
        <w:t>（1）本项目采用“</w:t>
      </w:r>
      <w:r>
        <w:rPr>
          <w:rFonts w:hint="eastAsia" w:ascii="仿宋" w:hAnsi="仿宋" w:eastAsia="仿宋" w:cs="仿宋"/>
          <w:b/>
          <w:bCs/>
          <w:color w:val="auto"/>
          <w:spacing w:val="0"/>
          <w:position w:val="0"/>
          <w:sz w:val="24"/>
          <w:szCs w:val="24"/>
          <w:highlight w:val="none"/>
          <w:lang w:val="en-US" w:eastAsia="zh-CN"/>
        </w:rPr>
        <w:t>“不见面”磋商方式</w:t>
      </w:r>
      <w:r>
        <w:rPr>
          <w:rFonts w:hint="eastAsia" w:ascii="仿宋" w:hAnsi="仿宋" w:eastAsia="仿宋" w:cs="仿宋"/>
          <w:szCs w:val="24"/>
        </w:rPr>
        <w:t>，各响应企业的法定代表人或授权委托人无需到</w:t>
      </w:r>
      <w:r>
        <w:rPr>
          <w:rFonts w:hint="eastAsia" w:ascii="仿宋" w:hAnsi="仿宋" w:eastAsia="仿宋" w:cs="仿宋"/>
          <w:szCs w:val="24"/>
          <w:lang w:val="en-US" w:eastAsia="zh-CN"/>
        </w:rPr>
        <w:t>磋商</w:t>
      </w:r>
      <w:r>
        <w:rPr>
          <w:rFonts w:hint="eastAsia" w:ascii="仿宋" w:hAnsi="仿宋" w:eastAsia="仿宋" w:cs="仿宋"/>
          <w:szCs w:val="24"/>
        </w:rPr>
        <w:t>现场参与本项目开标活动。但授权委托人必须能够熟练的操作新点系统，因业务不熟悉而导致的一切后果由响应企业自行承担。一个项目只能有一个授权委托人，授权委托人需将法人代表授权委托书（法人代表参与响应的无需提供授权委托书）、本人身份证的证明材料原件扫描制作到响应文件中。授权委托人在项目开、评标期间必须保持在线状态，随时通过“不见面开标”系统接收</w:t>
      </w:r>
      <w:r>
        <w:rPr>
          <w:rFonts w:hint="eastAsia" w:ascii="仿宋" w:hAnsi="仿宋" w:eastAsia="仿宋" w:cs="仿宋"/>
          <w:szCs w:val="24"/>
          <w:lang w:eastAsia="zh-CN"/>
        </w:rPr>
        <w:t>磋商</w:t>
      </w:r>
      <w:r>
        <w:rPr>
          <w:rFonts w:hint="eastAsia" w:ascii="仿宋" w:hAnsi="仿宋" w:eastAsia="仿宋" w:cs="仿宋"/>
          <w:szCs w:val="24"/>
        </w:rPr>
        <w:t>小组的询标等信息，并在“询标窗口”中对询标内容进行回复（自询标内容发出起 20 分钟内完成回复），否则视为放弃解释说明的权利且完全认可专家的意见。响应人回复询标内容时需将询标内容和回复意见打印并加盖投响应单位公章后扫描上传至“询标窗口”（回复样式以采购代理机构发出的询标函格式为准）。</w:t>
      </w:r>
    </w:p>
    <w:p w14:paraId="646FA651">
      <w:pPr>
        <w:ind w:firstLine="480" w:firstLineChars="200"/>
        <w:rPr>
          <w:rFonts w:hint="eastAsia" w:ascii="仿宋" w:hAnsi="仿宋" w:eastAsia="仿宋" w:cs="仿宋"/>
          <w:szCs w:val="24"/>
        </w:rPr>
      </w:pPr>
      <w:r>
        <w:rPr>
          <w:rFonts w:hint="eastAsia" w:ascii="仿宋" w:hAnsi="仿宋" w:eastAsia="仿宋" w:cs="仿宋"/>
          <w:szCs w:val="24"/>
        </w:rPr>
        <w:t>（2）在响应截止时间前，各响应人必须在不见面开标系统页面进行在线签到，因响应人未签到造成的后果由响应人自行承担。</w:t>
      </w:r>
    </w:p>
    <w:p w14:paraId="2A4C56BB">
      <w:pPr>
        <w:ind w:firstLine="480" w:firstLineChars="200"/>
        <w:rPr>
          <w:rFonts w:hint="eastAsia" w:ascii="仿宋" w:hAnsi="仿宋" w:eastAsia="仿宋" w:cs="仿宋"/>
          <w:szCs w:val="24"/>
        </w:rPr>
      </w:pPr>
      <w:r>
        <w:rPr>
          <w:rFonts w:hint="eastAsia" w:ascii="仿宋" w:hAnsi="仿宋" w:eastAsia="仿宋" w:cs="仿宋"/>
          <w:szCs w:val="24"/>
        </w:rPr>
        <w:t>（3）本项目采用“不见面开标”系统开标，响应企业不需要到场参加</w:t>
      </w:r>
      <w:r>
        <w:rPr>
          <w:rFonts w:hint="eastAsia" w:ascii="仿宋" w:hAnsi="仿宋" w:eastAsia="仿宋" w:cs="仿宋"/>
          <w:szCs w:val="24"/>
          <w:lang w:val="en-US" w:eastAsia="zh-CN"/>
        </w:rPr>
        <w:t>磋商开启</w:t>
      </w:r>
      <w:r>
        <w:rPr>
          <w:rFonts w:hint="eastAsia" w:ascii="仿宋" w:hAnsi="仿宋" w:eastAsia="仿宋" w:cs="仿宋"/>
          <w:szCs w:val="24"/>
        </w:rPr>
        <w:t>会，现场环节（包括但不限于现场签到、递交原件、现场解锁等）全部转为不见面开标系统线上操作。</w:t>
      </w:r>
    </w:p>
    <w:p w14:paraId="4DA80D96">
      <w:pPr>
        <w:ind w:firstLine="480" w:firstLineChars="200"/>
        <w:rPr>
          <w:rFonts w:hint="eastAsia" w:ascii="仿宋" w:hAnsi="仿宋" w:eastAsia="仿宋" w:cs="仿宋"/>
          <w:szCs w:val="24"/>
        </w:rPr>
      </w:pPr>
      <w:r>
        <w:rPr>
          <w:rFonts w:hint="eastAsia" w:ascii="仿宋" w:hAnsi="仿宋" w:eastAsia="仿宋" w:cs="仿宋"/>
          <w:szCs w:val="24"/>
        </w:rPr>
        <w:t xml:space="preserve">（4）响应文件解锁时间：在采购人宣布开始解锁后，所有响应单位在15分钟内必须完成解锁。若在规定时间内响应企业未解锁完成，解锁无效，系统将其响应文件退回，视为无效响应。 </w:t>
      </w:r>
    </w:p>
    <w:p w14:paraId="431E2289">
      <w:pPr>
        <w:ind w:firstLine="480" w:firstLineChars="200"/>
        <w:rPr>
          <w:rFonts w:hint="eastAsia" w:ascii="仿宋" w:hAnsi="仿宋" w:eastAsia="仿宋" w:cs="仿宋"/>
          <w:szCs w:val="24"/>
        </w:rPr>
      </w:pPr>
      <w:r>
        <w:rPr>
          <w:rFonts w:hint="eastAsia" w:ascii="仿宋" w:hAnsi="仿宋" w:eastAsia="仿宋" w:cs="仿宋"/>
          <w:szCs w:val="24"/>
        </w:rPr>
        <w:t xml:space="preserve">（5）响应人对开标过程和评标结果有异议的，可将异议内容以书面形式提出并加盖单位公章后扫描上传至本项目不见面开标大厅“开标异议文字提问”栏中。 </w:t>
      </w:r>
    </w:p>
    <w:p w14:paraId="761FC2F3">
      <w:pPr>
        <w:ind w:firstLine="480" w:firstLineChars="200"/>
        <w:rPr>
          <w:rFonts w:hint="eastAsia" w:ascii="仿宋" w:hAnsi="仿宋" w:eastAsia="仿宋" w:cs="仿宋"/>
          <w:strike w:val="0"/>
          <w:dstrike w:val="0"/>
          <w:szCs w:val="24"/>
        </w:rPr>
      </w:pPr>
      <w:r>
        <w:rPr>
          <w:rFonts w:hint="eastAsia" w:ascii="仿宋" w:hAnsi="仿宋" w:eastAsia="仿宋" w:cs="仿宋"/>
          <w:strike w:val="0"/>
          <w:dstrike w:val="0"/>
          <w:szCs w:val="24"/>
        </w:rPr>
        <w:t>（6）因</w:t>
      </w:r>
      <w:r>
        <w:rPr>
          <w:rFonts w:hint="eastAsia" w:ascii="仿宋" w:hAnsi="仿宋" w:eastAsia="仿宋" w:cs="仿宋"/>
          <w:strike w:val="0"/>
          <w:dstrike w:val="0"/>
          <w:szCs w:val="24"/>
          <w:lang w:val="en-US" w:eastAsia="zh-CN"/>
        </w:rPr>
        <w:t>磋商</w:t>
      </w:r>
      <w:r>
        <w:rPr>
          <w:rFonts w:hint="eastAsia" w:ascii="仿宋" w:hAnsi="仿宋" w:eastAsia="仿宋" w:cs="仿宋"/>
          <w:strike w:val="0"/>
          <w:dstrike w:val="0"/>
          <w:szCs w:val="24"/>
        </w:rPr>
        <w:t>过程中二次报价需要使用电子签章，各供应商应做好评审前准备，安装好相应程序及软件，确保自己的电脑环境、摄像头、麦克风及网络等状况良好，二次报价</w:t>
      </w:r>
      <w:r>
        <w:rPr>
          <w:rFonts w:hint="eastAsia" w:ascii="仿宋" w:hAnsi="仿宋" w:eastAsia="仿宋" w:cs="仿宋"/>
          <w:strike w:val="0"/>
          <w:dstrike w:val="0"/>
          <w:szCs w:val="24"/>
          <w:lang w:val="en-US" w:eastAsia="zh-CN"/>
        </w:rPr>
        <w:t>不得高于上次报价，</w:t>
      </w:r>
      <w:r>
        <w:rPr>
          <w:rFonts w:hint="eastAsia" w:ascii="仿宋" w:hAnsi="仿宋" w:eastAsia="仿宋" w:cs="仿宋"/>
          <w:strike w:val="0"/>
          <w:dstrike w:val="0"/>
          <w:szCs w:val="24"/>
        </w:rPr>
        <w:t>二次报价时间为20分钟，20钟内未完成二次报价的，视为退出</w:t>
      </w:r>
      <w:r>
        <w:rPr>
          <w:rFonts w:hint="eastAsia" w:ascii="仿宋" w:hAnsi="仿宋" w:eastAsia="仿宋" w:cs="仿宋"/>
          <w:strike w:val="0"/>
          <w:dstrike w:val="0"/>
          <w:szCs w:val="24"/>
          <w:lang w:val="en-US" w:eastAsia="zh-CN"/>
        </w:rPr>
        <w:t>磋商</w:t>
      </w:r>
      <w:r>
        <w:rPr>
          <w:rFonts w:hint="eastAsia" w:ascii="仿宋" w:hAnsi="仿宋" w:eastAsia="仿宋" w:cs="仿宋"/>
          <w:strike w:val="0"/>
          <w:dstrike w:val="0"/>
          <w:szCs w:val="24"/>
        </w:rPr>
        <w:t>。</w:t>
      </w:r>
    </w:p>
    <w:p w14:paraId="3B86D4AC">
      <w:pPr>
        <w:ind w:firstLine="480" w:firstLineChars="200"/>
        <w:rPr>
          <w:rFonts w:hint="eastAsia" w:ascii="仿宋" w:hAnsi="仿宋" w:eastAsia="仿宋" w:cs="仿宋"/>
          <w:szCs w:val="24"/>
        </w:rPr>
      </w:pPr>
      <w:r>
        <w:rPr>
          <w:rFonts w:hint="eastAsia" w:ascii="仿宋" w:hAnsi="仿宋" w:eastAsia="仿宋" w:cs="仿宋"/>
          <w:szCs w:val="24"/>
        </w:rPr>
        <w:t>（7）意外情况的处理：开标场所出现下列情形导致系统无法正常运行，或者无法保证交易过程的公平、公正和信息安全时，采购人、采购代理机构、交易中心免责：</w:t>
      </w:r>
    </w:p>
    <w:p w14:paraId="3E998FA5">
      <w:pPr>
        <w:ind w:firstLine="480" w:firstLineChars="200"/>
        <w:rPr>
          <w:rFonts w:hint="eastAsia" w:ascii="仿宋" w:hAnsi="仿宋" w:eastAsia="仿宋" w:cs="仿宋"/>
          <w:szCs w:val="24"/>
        </w:rPr>
      </w:pPr>
      <w:r>
        <w:rPr>
          <w:rFonts w:hint="eastAsia" w:ascii="仿宋" w:hAnsi="仿宋" w:eastAsia="仿宋" w:cs="仿宋"/>
          <w:szCs w:val="24"/>
        </w:rPr>
        <w:t>①所涉开标项目电子服务、交易系统服务器发生故障而无法访问网站或无法使用系统；</w:t>
      </w:r>
    </w:p>
    <w:p w14:paraId="24287985">
      <w:pPr>
        <w:ind w:firstLine="480" w:firstLineChars="200"/>
        <w:rPr>
          <w:rFonts w:hint="eastAsia" w:ascii="仿宋" w:hAnsi="仿宋" w:eastAsia="仿宋" w:cs="仿宋"/>
          <w:szCs w:val="24"/>
        </w:rPr>
      </w:pPr>
      <w:r>
        <w:rPr>
          <w:rFonts w:hint="eastAsia" w:ascii="仿宋" w:hAnsi="仿宋" w:eastAsia="仿宋" w:cs="仿宋"/>
          <w:szCs w:val="24"/>
        </w:rPr>
        <w:t>②所涉开标项目电子服务、交易系统的软件或网络数据库出现错误，不能进行操作；</w:t>
      </w:r>
    </w:p>
    <w:p w14:paraId="3FCAAF38">
      <w:pPr>
        <w:ind w:firstLine="480" w:firstLineChars="200"/>
        <w:rPr>
          <w:rFonts w:hint="eastAsia" w:ascii="仿宋" w:hAnsi="仿宋" w:eastAsia="仿宋" w:cs="仿宋"/>
          <w:szCs w:val="24"/>
        </w:rPr>
      </w:pPr>
      <w:r>
        <w:rPr>
          <w:rFonts w:hint="eastAsia" w:ascii="仿宋" w:hAnsi="仿宋" w:eastAsia="仿宋" w:cs="仿宋"/>
          <w:szCs w:val="24"/>
        </w:rPr>
        <w:t>③系统存在安全漏洞，有潜在的涉密危险；</w:t>
      </w:r>
    </w:p>
    <w:p w14:paraId="5DB0D142">
      <w:pPr>
        <w:ind w:firstLine="480" w:firstLineChars="200"/>
        <w:rPr>
          <w:rFonts w:hint="eastAsia" w:ascii="仿宋" w:hAnsi="仿宋" w:eastAsia="仿宋" w:cs="仿宋"/>
          <w:szCs w:val="24"/>
        </w:rPr>
      </w:pPr>
      <w:r>
        <w:rPr>
          <w:rFonts w:hint="eastAsia" w:ascii="仿宋" w:hAnsi="仿宋" w:eastAsia="仿宋" w:cs="仿宋"/>
          <w:szCs w:val="24"/>
        </w:rPr>
        <w:t>④运行服务器病毒发作导致系统无法正常运行的；</w:t>
      </w:r>
    </w:p>
    <w:p w14:paraId="6358A99D">
      <w:pPr>
        <w:ind w:firstLine="480" w:firstLineChars="200"/>
        <w:rPr>
          <w:rFonts w:hint="eastAsia" w:ascii="仿宋" w:hAnsi="仿宋" w:eastAsia="仿宋" w:cs="仿宋"/>
          <w:szCs w:val="24"/>
        </w:rPr>
      </w:pPr>
      <w:r>
        <w:rPr>
          <w:rFonts w:hint="eastAsia" w:ascii="仿宋" w:hAnsi="仿宋" w:eastAsia="仿宋" w:cs="仿宋"/>
          <w:szCs w:val="24"/>
        </w:rPr>
        <w:t>⑤电力系统发生故障导致交易系统无法运行的；</w:t>
      </w:r>
    </w:p>
    <w:p w14:paraId="5B6FE7AA">
      <w:pPr>
        <w:ind w:firstLine="480" w:firstLineChars="200"/>
        <w:rPr>
          <w:rFonts w:hint="eastAsia" w:ascii="仿宋" w:hAnsi="仿宋" w:eastAsia="仿宋" w:cs="仿宋"/>
          <w:szCs w:val="24"/>
        </w:rPr>
      </w:pPr>
      <w:r>
        <w:rPr>
          <w:rFonts w:hint="eastAsia" w:ascii="仿宋" w:hAnsi="仿宋" w:eastAsia="仿宋" w:cs="仿宋"/>
          <w:szCs w:val="24"/>
        </w:rPr>
        <w:t>⑥其他不可抗力（地震、洪水等）原因导致开标活动无法正常进行的。出现上述所列情形，不能及时解决的，应由项目实施主体、监管部门和交易中心及时进行协商。可以采取以下办法处理：系统或网络故障在三小时内能排除的，项目不暂停开标，三小时内系统恢复运行后继续实施开标。系统或网络故障在三个小时内未能排除的，项目暂停开标，并在江西省公共资源交易网、吉安政府采购网等网站发布暂停通告，待系统恢复后另行通知开标。</w:t>
      </w:r>
    </w:p>
    <w:p w14:paraId="6F1759B8">
      <w:pPr>
        <w:ind w:firstLine="480" w:firstLineChars="200"/>
        <w:rPr>
          <w:rFonts w:hint="eastAsia" w:ascii="仿宋" w:hAnsi="仿宋" w:eastAsia="仿宋" w:cs="仿宋"/>
          <w:szCs w:val="24"/>
        </w:rPr>
      </w:pPr>
      <w:r>
        <w:rPr>
          <w:rFonts w:hint="eastAsia" w:ascii="仿宋" w:hAnsi="仿宋" w:eastAsia="仿宋" w:cs="仿宋"/>
          <w:szCs w:val="24"/>
        </w:rPr>
        <w:t>（8）响应企业应仔细阅读“吉安不见面开标大厅-响应人操作手册”（下载地址 http://ggzy.jian.gov.cn/zlxz/），如有疑问请联系新点工作人员，联系电话：(0512) 5818 8507。</w:t>
      </w:r>
      <w:r>
        <w:rPr>
          <w:rFonts w:hint="eastAsia" w:ascii="仿宋" w:hAnsi="仿宋" w:eastAsia="仿宋" w:cs="仿宋"/>
          <w:szCs w:val="24"/>
          <w:lang w:val="en-US" w:eastAsia="zh-CN"/>
        </w:rPr>
        <w:t>磋商</w:t>
      </w:r>
      <w:r>
        <w:rPr>
          <w:rFonts w:hint="eastAsia" w:ascii="仿宋" w:hAnsi="仿宋" w:eastAsia="仿宋" w:cs="仿宋"/>
          <w:szCs w:val="24"/>
        </w:rPr>
        <w:t>文件正文中有关上述内容描述若不一致，以</w:t>
      </w:r>
      <w:r>
        <w:rPr>
          <w:rFonts w:hint="eastAsia" w:ascii="仿宋" w:hAnsi="仿宋" w:eastAsia="仿宋" w:cs="仿宋"/>
          <w:szCs w:val="24"/>
          <w:lang w:val="en-US" w:eastAsia="zh-CN"/>
        </w:rPr>
        <w:t>磋商文件</w:t>
      </w:r>
      <w:r>
        <w:rPr>
          <w:rFonts w:hint="eastAsia" w:ascii="仿宋" w:hAnsi="仿宋" w:eastAsia="仿宋" w:cs="仿宋"/>
          <w:szCs w:val="24"/>
        </w:rPr>
        <w:t>要求为准。</w:t>
      </w:r>
    </w:p>
    <w:p w14:paraId="6DD9D66F">
      <w:pPr>
        <w:ind w:firstLine="480" w:firstLineChars="200"/>
        <w:rPr>
          <w:rFonts w:hint="eastAsia" w:ascii="仿宋" w:hAnsi="仿宋" w:eastAsia="仿宋" w:cs="仿宋"/>
          <w:szCs w:val="24"/>
        </w:rPr>
      </w:pPr>
      <w:r>
        <w:rPr>
          <w:rFonts w:hint="eastAsia" w:ascii="仿宋" w:hAnsi="仿宋" w:eastAsia="仿宋" w:cs="仿宋"/>
          <w:szCs w:val="24"/>
        </w:rPr>
        <w:t xml:space="preserve">3.供应商在政府采购项目中存在以下情形之一的，其响应文件无效： </w:t>
      </w:r>
    </w:p>
    <w:p w14:paraId="5904646C">
      <w:pPr>
        <w:ind w:firstLine="480" w:firstLineChars="200"/>
        <w:rPr>
          <w:rFonts w:hint="eastAsia" w:ascii="仿宋" w:hAnsi="仿宋" w:eastAsia="仿宋" w:cs="仿宋"/>
          <w:szCs w:val="24"/>
        </w:rPr>
      </w:pPr>
      <w:r>
        <w:rPr>
          <w:rFonts w:hint="eastAsia" w:ascii="仿宋" w:hAnsi="仿宋" w:eastAsia="仿宋" w:cs="仿宋"/>
          <w:szCs w:val="24"/>
        </w:rPr>
        <w:t xml:space="preserve">（一）不同供应商电子响应文件的创建标识码信息相同的； </w:t>
      </w:r>
    </w:p>
    <w:p w14:paraId="188D6611">
      <w:pPr>
        <w:ind w:firstLine="480" w:firstLineChars="200"/>
        <w:rPr>
          <w:rFonts w:hint="eastAsia" w:ascii="仿宋" w:hAnsi="仿宋" w:eastAsia="仿宋" w:cs="仿宋"/>
          <w:szCs w:val="24"/>
        </w:rPr>
      </w:pPr>
      <w:r>
        <w:rPr>
          <w:rFonts w:hint="eastAsia" w:ascii="仿宋" w:hAnsi="仿宋" w:eastAsia="仿宋" w:cs="仿宋"/>
          <w:szCs w:val="24"/>
        </w:rPr>
        <w:t xml:space="preserve">（二）不同供应商上传或编制电子响应文件的机器码（计算机网卡 MAC 地址、主板序列号、CPU 序列号、硬盘序列号）等硬件信息相同的； </w:t>
      </w:r>
    </w:p>
    <w:p w14:paraId="0391640F">
      <w:pPr>
        <w:ind w:firstLine="480" w:firstLineChars="200"/>
        <w:rPr>
          <w:rFonts w:hint="eastAsia" w:ascii="仿宋" w:hAnsi="仿宋" w:eastAsia="仿宋" w:cs="仿宋"/>
          <w:szCs w:val="24"/>
        </w:rPr>
      </w:pPr>
      <w:r>
        <w:rPr>
          <w:rFonts w:hint="eastAsia" w:ascii="仿宋" w:hAnsi="仿宋" w:eastAsia="仿宋" w:cs="仿宋"/>
          <w:szCs w:val="24"/>
        </w:rPr>
        <w:t xml:space="preserve">（三）不同供应商上传电子响应文件的计算机 IP地址相同且不能提供合理说明的； </w:t>
      </w:r>
    </w:p>
    <w:p w14:paraId="7BB84AAB">
      <w:pPr>
        <w:ind w:firstLine="480" w:firstLineChars="200"/>
        <w:rPr>
          <w:rFonts w:hint="eastAsia" w:ascii="仿宋" w:hAnsi="仿宋" w:eastAsia="仿宋" w:cs="仿宋"/>
          <w:szCs w:val="24"/>
        </w:rPr>
      </w:pPr>
      <w:r>
        <w:rPr>
          <w:rFonts w:hint="eastAsia" w:ascii="仿宋" w:hAnsi="仿宋" w:eastAsia="仿宋" w:cs="仿宋"/>
          <w:szCs w:val="24"/>
        </w:rPr>
        <w:t>（四）政府采购法律法规规定的其他恶意串通、视同串通投标情形的。</w:t>
      </w:r>
    </w:p>
    <w:p w14:paraId="68157D4D">
      <w:pPr>
        <w:pStyle w:val="3"/>
        <w:rPr>
          <w:rFonts w:hint="eastAsia" w:ascii="仿宋" w:hAnsi="仿宋" w:eastAsia="仿宋" w:cs="仿宋"/>
          <w:szCs w:val="20"/>
        </w:rPr>
      </w:pPr>
    </w:p>
    <w:p w14:paraId="1B74E47E">
      <w:pPr>
        <w:pStyle w:val="3"/>
        <w:rPr>
          <w:rFonts w:hint="eastAsia" w:ascii="仿宋" w:hAnsi="仿宋" w:eastAsia="仿宋" w:cs="仿宋"/>
          <w:szCs w:val="24"/>
        </w:rPr>
      </w:pPr>
      <w:r>
        <w:rPr>
          <w:rFonts w:hint="eastAsia" w:ascii="仿宋" w:hAnsi="仿宋" w:eastAsia="仿宋" w:cs="仿宋"/>
          <w:szCs w:val="24"/>
        </w:rPr>
        <w:t>4．出现下列情形之一的，</w:t>
      </w:r>
      <w:r>
        <w:rPr>
          <w:rFonts w:hint="eastAsia" w:ascii="仿宋" w:hAnsi="仿宋" w:eastAsia="仿宋" w:cs="仿宋"/>
          <w:b/>
          <w:szCs w:val="24"/>
        </w:rPr>
        <w:t>视为存在异常低价问题</w:t>
      </w:r>
      <w:r>
        <w:rPr>
          <w:rFonts w:hint="eastAsia" w:ascii="仿宋" w:hAnsi="仿宋" w:eastAsia="仿宋" w:cs="仿宋"/>
          <w:szCs w:val="24"/>
        </w:rPr>
        <w:t>，评审委员会应当启动异常低价投标（响应）审查程序说明</w:t>
      </w:r>
      <w:r>
        <w:rPr>
          <w:rFonts w:hint="eastAsia" w:ascii="仿宋" w:hAnsi="仿宋" w:eastAsia="仿宋" w:cs="仿宋"/>
          <w:szCs w:val="24"/>
          <w:lang w:eastAsia="zh-CN"/>
        </w:rPr>
        <w:t>，</w:t>
      </w:r>
      <w:r>
        <w:rPr>
          <w:rFonts w:hint="eastAsia" w:ascii="仿宋" w:hAnsi="仿宋" w:eastAsia="仿宋" w:cs="仿宋"/>
          <w:szCs w:val="24"/>
          <w:lang w:val="en-US" w:eastAsia="zh-CN"/>
        </w:rPr>
        <w:t>供应商</w:t>
      </w:r>
      <w:r>
        <w:rPr>
          <w:rFonts w:hint="eastAsia" w:ascii="仿宋" w:hAnsi="仿宋" w:eastAsia="仿宋" w:cs="仿宋"/>
          <w:szCs w:val="24"/>
        </w:rPr>
        <w:t>无法证明</w:t>
      </w:r>
      <w:r>
        <w:rPr>
          <w:rFonts w:hint="eastAsia" w:ascii="仿宋" w:hAnsi="仿宋" w:eastAsia="仿宋" w:cs="仿宋"/>
          <w:szCs w:val="24"/>
          <w:lang w:val="en-US" w:eastAsia="zh-CN"/>
        </w:rPr>
        <w:t>其</w:t>
      </w:r>
      <w:r>
        <w:rPr>
          <w:rFonts w:hint="eastAsia" w:ascii="仿宋" w:hAnsi="仿宋" w:eastAsia="仿宋" w:cs="仿宋"/>
          <w:szCs w:val="24"/>
        </w:rPr>
        <w:t>成本合理则</w:t>
      </w:r>
      <w:r>
        <w:rPr>
          <w:rFonts w:hint="eastAsia" w:ascii="仿宋" w:hAnsi="仿宋" w:eastAsia="仿宋" w:cs="仿宋"/>
          <w:szCs w:val="24"/>
          <w:lang w:val="en-US" w:eastAsia="zh-CN"/>
        </w:rPr>
        <w:t>作</w:t>
      </w:r>
      <w:r>
        <w:rPr>
          <w:rFonts w:hint="eastAsia" w:ascii="仿宋" w:hAnsi="仿宋" w:eastAsia="仿宋" w:cs="仿宋"/>
          <w:szCs w:val="24"/>
        </w:rPr>
        <w:t>无效响应</w:t>
      </w:r>
      <w:r>
        <w:rPr>
          <w:rFonts w:hint="eastAsia" w:ascii="仿宋" w:hAnsi="仿宋" w:eastAsia="仿宋" w:cs="仿宋"/>
          <w:szCs w:val="24"/>
          <w:lang w:val="en-US" w:eastAsia="zh-CN"/>
        </w:rPr>
        <w:t>处理</w:t>
      </w:r>
      <w:r>
        <w:rPr>
          <w:rFonts w:hint="eastAsia" w:ascii="仿宋" w:hAnsi="仿宋" w:eastAsia="仿宋" w:cs="仿宋"/>
          <w:szCs w:val="24"/>
        </w:rPr>
        <w:t>:</w:t>
      </w:r>
    </w:p>
    <w:p w14:paraId="6E6E705D">
      <w:pPr>
        <w:pStyle w:val="3"/>
        <w:rPr>
          <w:rFonts w:hint="eastAsia" w:ascii="仿宋" w:hAnsi="仿宋" w:eastAsia="仿宋" w:cs="仿宋"/>
          <w:szCs w:val="24"/>
        </w:rPr>
      </w:pPr>
      <w:r>
        <w:rPr>
          <w:rFonts w:hint="eastAsia" w:ascii="仿宋" w:hAnsi="仿宋" w:eastAsia="仿宋" w:cs="仿宋"/>
          <w:szCs w:val="24"/>
        </w:rPr>
        <w:t>（一）投标（响应）报价低于全部通过符合性审查供应商投标（响应）报价平均值50%的，即投标（响应）报价&lt;全部通过符合性审查供应商投标（响应）报价平均值x50%:</w:t>
      </w:r>
    </w:p>
    <w:p w14:paraId="1DD9A1A3">
      <w:pPr>
        <w:pStyle w:val="3"/>
        <w:rPr>
          <w:rFonts w:hint="eastAsia" w:ascii="仿宋" w:hAnsi="仿宋" w:eastAsia="仿宋" w:cs="仿宋"/>
          <w:szCs w:val="24"/>
        </w:rPr>
      </w:pPr>
      <w:r>
        <w:rPr>
          <w:rFonts w:hint="eastAsia" w:ascii="仿宋" w:hAnsi="仿宋" w:eastAsia="仿宋" w:cs="仿宋"/>
          <w:szCs w:val="24"/>
        </w:rPr>
        <w:t>（二）投标（响应）报价低于通过符合性审查且报价次低供应商投标（响应）报价50%的，即投标（响应）报价&lt;通过符合性审查且报价次低供应商投标（响应）报价x50%；</w:t>
      </w:r>
    </w:p>
    <w:p w14:paraId="411ABBD0">
      <w:pPr>
        <w:pStyle w:val="3"/>
        <w:rPr>
          <w:rFonts w:hint="eastAsia" w:ascii="仿宋" w:hAnsi="仿宋" w:eastAsia="仿宋" w:cs="仿宋"/>
          <w:szCs w:val="24"/>
        </w:rPr>
      </w:pPr>
      <w:r>
        <w:rPr>
          <w:rFonts w:hint="eastAsia" w:ascii="仿宋" w:hAnsi="仿宋" w:eastAsia="仿宋" w:cs="仿宋"/>
          <w:szCs w:val="24"/>
        </w:rPr>
        <w:t>（三）投标（响应）报价低于采购项目最高限价45%的，即投标（响应）报价&lt;采购项目最高限价x45%，项目没有设定最高限价的，采购预算视为最高限价；</w:t>
      </w:r>
    </w:p>
    <w:p w14:paraId="39A3ECFC">
      <w:pPr>
        <w:pStyle w:val="3"/>
        <w:rPr>
          <w:rFonts w:hint="eastAsia" w:ascii="仿宋" w:hAnsi="仿宋" w:eastAsia="仿宋" w:cs="仿宋"/>
          <w:szCs w:val="24"/>
        </w:rPr>
      </w:pPr>
      <w:r>
        <w:rPr>
          <w:rFonts w:hint="eastAsia" w:ascii="仿宋" w:hAnsi="仿宋" w:eastAsia="仿宋" w:cs="仿宋"/>
          <w:szCs w:val="24"/>
        </w:rPr>
        <w:t>（四）评审委员会认为供应商报价过低，有可能影响产品质量或者不能诚信履约的其他情形。</w:t>
      </w:r>
    </w:p>
    <w:p w14:paraId="60C751E4">
      <w:pPr>
        <w:pStyle w:val="3"/>
        <w:rPr>
          <w:rFonts w:hint="eastAsia" w:ascii="仿宋" w:hAnsi="仿宋" w:eastAsia="仿宋" w:cs="仿宋"/>
          <w:szCs w:val="24"/>
        </w:rPr>
      </w:pPr>
      <w:r>
        <w:rPr>
          <w:rFonts w:hint="eastAsia" w:ascii="仿宋" w:hAnsi="仿宋" w:eastAsia="仿宋" w:cs="仿宋"/>
          <w:szCs w:val="24"/>
        </w:rPr>
        <w:t>相关法律法规对供应商报价有规定的，从其规定。</w:t>
      </w:r>
    </w:p>
    <w:p w14:paraId="599D8991">
      <w:pPr>
        <w:pStyle w:val="2"/>
        <w:rPr>
          <w:rFonts w:hint="eastAsia" w:ascii="仿宋" w:hAnsi="仿宋" w:eastAsia="仿宋" w:cs="仿宋"/>
        </w:rPr>
      </w:pPr>
    </w:p>
    <w:bookmarkEnd w:id="55"/>
    <w:p w14:paraId="0BB3758B">
      <w:pPr>
        <w:pStyle w:val="2"/>
        <w:rPr>
          <w:rFonts w:hint="eastAsia" w:ascii="仿宋" w:hAnsi="仿宋" w:eastAsia="仿宋" w:cs="仿宋"/>
          <w:sz w:val="30"/>
          <w:szCs w:val="30"/>
        </w:rPr>
      </w:pPr>
      <w:bookmarkStart w:id="57" w:name="_Toc35393627"/>
      <w:bookmarkStart w:id="58" w:name="_Toc28359085"/>
      <w:bookmarkStart w:id="59" w:name="_Toc166508179"/>
      <w:bookmarkStart w:id="60" w:name="_Toc26847"/>
      <w:bookmarkStart w:id="61" w:name="_Toc35393796"/>
      <w:bookmarkStart w:id="62" w:name="_Toc28359008"/>
      <w:r>
        <w:rPr>
          <w:rFonts w:hint="eastAsia" w:ascii="仿宋" w:hAnsi="仿宋" w:eastAsia="仿宋" w:cs="仿宋"/>
          <w:sz w:val="30"/>
          <w:szCs w:val="30"/>
        </w:rPr>
        <w:t>七、对本次</w:t>
      </w:r>
      <w:r>
        <w:rPr>
          <w:rFonts w:hint="eastAsia" w:ascii="仿宋" w:hAnsi="仿宋" w:eastAsia="仿宋" w:cs="仿宋"/>
          <w:sz w:val="30"/>
          <w:szCs w:val="30"/>
          <w:lang w:val="en-US" w:eastAsia="zh-CN"/>
        </w:rPr>
        <w:t>磋商</w:t>
      </w:r>
      <w:r>
        <w:rPr>
          <w:rFonts w:hint="eastAsia" w:ascii="仿宋" w:hAnsi="仿宋" w:eastAsia="仿宋" w:cs="仿宋"/>
          <w:sz w:val="30"/>
          <w:szCs w:val="30"/>
        </w:rPr>
        <w:t>提出询问，请按以下方式联系。</w:t>
      </w:r>
      <w:bookmarkEnd w:id="57"/>
      <w:bookmarkEnd w:id="58"/>
      <w:bookmarkEnd w:id="59"/>
      <w:bookmarkEnd w:id="60"/>
      <w:bookmarkEnd w:id="61"/>
      <w:bookmarkEnd w:id="62"/>
    </w:p>
    <w:p w14:paraId="7EB0FE41">
      <w:pPr>
        <w:widowControl/>
        <w:spacing w:line="276" w:lineRule="auto"/>
        <w:ind w:firstLine="600" w:firstLineChars="250"/>
        <w:rPr>
          <w:rFonts w:hint="eastAsia" w:ascii="仿宋" w:hAnsi="仿宋" w:eastAsia="仿宋" w:cs="仿宋"/>
          <w:szCs w:val="24"/>
        </w:rPr>
      </w:pPr>
      <w:r>
        <w:rPr>
          <w:rFonts w:hint="eastAsia" w:ascii="仿宋" w:hAnsi="仿宋" w:eastAsia="仿宋" w:cs="仿宋"/>
          <w:szCs w:val="24"/>
        </w:rPr>
        <w:t>1.采购人信息</w:t>
      </w:r>
    </w:p>
    <w:p w14:paraId="6716FC9F">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bookmarkStart w:id="63" w:name="_Toc28359009"/>
      <w:bookmarkStart w:id="64" w:name="_Toc28359086"/>
      <w:r>
        <w:rPr>
          <w:rFonts w:hint="eastAsia" w:ascii="仿宋" w:hAnsi="仿宋" w:eastAsia="仿宋" w:cs="仿宋"/>
          <w:kern w:val="2"/>
        </w:rPr>
        <w:t>名称：</w:t>
      </w:r>
      <w:bookmarkStart w:id="65" w:name="OLE_LINK138"/>
      <w:bookmarkStart w:id="66" w:name="OLE_LINK139"/>
      <w:r>
        <w:rPr>
          <w:rFonts w:hint="eastAsia" w:ascii="仿宋" w:hAnsi="仿宋" w:eastAsia="仿宋" w:cs="仿宋"/>
          <w:kern w:val="2"/>
        </w:rPr>
        <w:t>泰和县民政局</w:t>
      </w:r>
    </w:p>
    <w:bookmarkEnd w:id="65"/>
    <w:bookmarkEnd w:id="66"/>
    <w:p w14:paraId="77E64716">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地址：</w:t>
      </w:r>
      <w:bookmarkStart w:id="67" w:name="OLE_LINK119"/>
      <w:bookmarkStart w:id="68" w:name="OLE_LINK120"/>
      <w:bookmarkStart w:id="69" w:name="OLE_LINK32"/>
      <w:r>
        <w:rPr>
          <w:rFonts w:hint="eastAsia" w:ascii="仿宋" w:hAnsi="仿宋" w:eastAsia="仿宋" w:cs="仿宋"/>
          <w:kern w:val="2"/>
        </w:rPr>
        <w:t xml:space="preserve">江西省吉安市泰和县白凤大道566号 </w:t>
      </w:r>
    </w:p>
    <w:bookmarkEnd w:id="67"/>
    <w:bookmarkEnd w:id="68"/>
    <w:bookmarkEnd w:id="69"/>
    <w:p w14:paraId="58420356">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highlight w:val="none"/>
        </w:rPr>
      </w:pPr>
      <w:r>
        <w:rPr>
          <w:rFonts w:hint="eastAsia" w:ascii="仿宋" w:hAnsi="仿宋" w:eastAsia="仿宋" w:cs="仿宋"/>
          <w:kern w:val="2"/>
          <w:highlight w:val="none"/>
        </w:rPr>
        <w:t>联系人：</w:t>
      </w:r>
      <w:bookmarkStart w:id="70" w:name="OLE_LINK122"/>
      <w:bookmarkStart w:id="71" w:name="OLE_LINK121"/>
      <w:bookmarkStart w:id="72" w:name="OLE_LINK41"/>
      <w:r>
        <w:rPr>
          <w:rFonts w:hint="eastAsia" w:ascii="仿宋" w:hAnsi="仿宋" w:eastAsia="仿宋" w:cs="仿宋"/>
          <w:kern w:val="2"/>
          <w:highlight w:val="none"/>
        </w:rPr>
        <w:t xml:space="preserve"> 曾主任</w:t>
      </w:r>
    </w:p>
    <w:bookmarkEnd w:id="70"/>
    <w:bookmarkEnd w:id="71"/>
    <w:p w14:paraId="7786ED41">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highlight w:val="none"/>
        </w:rPr>
        <w:t>电话:</w:t>
      </w:r>
      <w:bookmarkStart w:id="73" w:name="OLE_LINK51"/>
      <w:bookmarkStart w:id="74" w:name="OLE_LINK56"/>
      <w:bookmarkStart w:id="75" w:name="OLE_LINK93"/>
      <w:bookmarkStart w:id="76" w:name="OLE_LINK67"/>
      <w:bookmarkStart w:id="77" w:name="OLE_LINK39"/>
      <w:bookmarkStart w:id="78" w:name="OLE_LINK64"/>
      <w:bookmarkStart w:id="79" w:name="OLE_LINK71"/>
      <w:r>
        <w:rPr>
          <w:rFonts w:hint="eastAsia" w:ascii="仿宋" w:hAnsi="仿宋" w:eastAsia="仿宋" w:cs="仿宋"/>
          <w:kern w:val="2"/>
          <w:highlight w:val="none"/>
        </w:rPr>
        <w:t>13755437553</w:t>
      </w:r>
    </w:p>
    <w:bookmarkEnd w:id="72"/>
    <w:bookmarkEnd w:id="73"/>
    <w:bookmarkEnd w:id="74"/>
    <w:bookmarkEnd w:id="75"/>
    <w:bookmarkEnd w:id="76"/>
    <w:bookmarkEnd w:id="77"/>
    <w:bookmarkEnd w:id="78"/>
    <w:bookmarkEnd w:id="79"/>
    <w:p w14:paraId="0E48CFDA">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 xml:space="preserve"> 2.采购代理机构信息</w:t>
      </w:r>
    </w:p>
    <w:p w14:paraId="1A5A8DC7">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名称：</w:t>
      </w:r>
      <w:bookmarkStart w:id="80" w:name="OLE_LINK83"/>
      <w:bookmarkStart w:id="81" w:name="OLE_LINK84"/>
      <w:r>
        <w:rPr>
          <w:rFonts w:hint="eastAsia" w:ascii="仿宋" w:hAnsi="仿宋" w:eastAsia="仿宋" w:cs="仿宋"/>
          <w:kern w:val="2"/>
        </w:rPr>
        <w:t>江西省赣洪工程建设监理有限公司</w:t>
      </w:r>
    </w:p>
    <w:bookmarkEnd w:id="80"/>
    <w:bookmarkEnd w:id="81"/>
    <w:p w14:paraId="4D7BB8EE">
      <w:pPr>
        <w:pStyle w:val="6"/>
        <w:shd w:val="clear" w:color="auto" w:fill="FFFFFF"/>
        <w:spacing w:before="0" w:beforeAutospacing="0" w:after="0" w:afterAutospacing="0" w:line="408" w:lineRule="atLeast"/>
        <w:ind w:left="1440" w:leftChars="200" w:hanging="960" w:hangingChars="400"/>
        <w:textAlignment w:val="baseline"/>
        <w:rPr>
          <w:rFonts w:hint="eastAsia" w:ascii="仿宋" w:hAnsi="仿宋" w:eastAsia="仿宋" w:cs="仿宋"/>
          <w:kern w:val="2"/>
        </w:rPr>
      </w:pPr>
      <w:r>
        <w:rPr>
          <w:rFonts w:hint="eastAsia" w:ascii="仿宋" w:hAnsi="仿宋" w:eastAsia="仿宋" w:cs="仿宋"/>
          <w:kern w:val="2"/>
        </w:rPr>
        <w:t>地址：</w:t>
      </w:r>
      <w:bookmarkStart w:id="82" w:name="OLE_LINK140"/>
      <w:bookmarkStart w:id="83" w:name="OLE_LINK94"/>
      <w:r>
        <w:rPr>
          <w:rFonts w:hint="eastAsia" w:ascii="仿宋" w:hAnsi="仿宋" w:eastAsia="仿宋" w:cs="仿宋"/>
          <w:kern w:val="2"/>
        </w:rPr>
        <w:t>江西省南昌市新建区宏图大道58号工控云创产业园2栋1单101</w:t>
      </w:r>
    </w:p>
    <w:p w14:paraId="33E290DB">
      <w:pPr>
        <w:pStyle w:val="6"/>
        <w:shd w:val="clear" w:color="auto" w:fill="FFFFFF"/>
        <w:spacing w:before="0" w:beforeAutospacing="0" w:after="0" w:afterAutospacing="0" w:line="408" w:lineRule="atLeast"/>
        <w:ind w:left="1440" w:leftChars="500" w:hanging="240" w:hangingChars="100"/>
        <w:textAlignment w:val="baseline"/>
        <w:rPr>
          <w:rFonts w:hint="eastAsia" w:ascii="仿宋" w:hAnsi="仿宋" w:eastAsia="仿宋" w:cs="仿宋"/>
          <w:kern w:val="2"/>
          <w:lang w:val="en-US" w:eastAsia="zh-CN"/>
        </w:rPr>
      </w:pPr>
      <w:r>
        <w:rPr>
          <w:rFonts w:hint="eastAsia" w:ascii="仿宋" w:hAnsi="仿宋" w:eastAsia="仿宋" w:cs="仿宋"/>
          <w:kern w:val="2"/>
        </w:rPr>
        <w:t>创霖大楼</w:t>
      </w:r>
      <w:r>
        <w:rPr>
          <w:rFonts w:hint="eastAsia" w:ascii="仿宋" w:hAnsi="仿宋" w:eastAsia="仿宋" w:cs="仿宋"/>
          <w:kern w:val="2"/>
          <w:lang w:val="en-US" w:eastAsia="zh-CN"/>
        </w:rPr>
        <w:t xml:space="preserve">   </w:t>
      </w:r>
    </w:p>
    <w:p w14:paraId="0983669C">
      <w:pPr>
        <w:pStyle w:val="6"/>
        <w:shd w:val="clear" w:color="auto" w:fill="FFFFFF"/>
        <w:spacing w:before="0" w:beforeAutospacing="0" w:after="0" w:afterAutospacing="0" w:line="408" w:lineRule="atLeast"/>
        <w:ind w:left="720" w:leftChars="200" w:hanging="240" w:hangingChars="100"/>
        <w:textAlignment w:val="baseline"/>
        <w:rPr>
          <w:rFonts w:hint="eastAsia" w:ascii="仿宋" w:hAnsi="仿宋" w:eastAsia="仿宋" w:cs="仿宋"/>
          <w:kern w:val="2"/>
        </w:rPr>
      </w:pPr>
      <w:r>
        <w:rPr>
          <w:rFonts w:hint="eastAsia" w:ascii="仿宋" w:hAnsi="仿宋" w:eastAsia="仿宋" w:cs="仿宋"/>
          <w:kern w:val="2"/>
        </w:rPr>
        <w:t>邮编</w:t>
      </w:r>
      <w:r>
        <w:rPr>
          <w:rFonts w:hint="eastAsia" w:ascii="仿宋" w:hAnsi="仿宋" w:eastAsia="仿宋" w:cs="仿宋"/>
          <w:kern w:val="2"/>
          <w:lang w:eastAsia="zh-CN"/>
        </w:rPr>
        <w:t>：</w:t>
      </w:r>
      <w:r>
        <w:rPr>
          <w:rFonts w:hint="eastAsia" w:ascii="仿宋" w:hAnsi="仿宋" w:eastAsia="仿宋" w:cs="仿宋"/>
          <w:kern w:val="2"/>
        </w:rPr>
        <w:t>330100</w:t>
      </w:r>
      <w:bookmarkEnd w:id="82"/>
      <w:bookmarkEnd w:id="83"/>
      <w:r>
        <w:rPr>
          <w:rFonts w:hint="eastAsia" w:ascii="仿宋" w:hAnsi="仿宋" w:eastAsia="仿宋" w:cs="仿宋"/>
          <w:kern w:val="2"/>
          <w:lang w:val="en-US" w:eastAsia="zh-CN"/>
        </w:rPr>
        <w:t xml:space="preserve">     </w:t>
      </w:r>
      <w:bookmarkStart w:id="84" w:name="OLE_LINK108"/>
      <w:bookmarkStart w:id="85" w:name="OLE_LINK109"/>
      <w:bookmarkStart w:id="86" w:name="OLE_LINK131"/>
      <w:bookmarkStart w:id="87" w:name="OLE_LINK82"/>
      <w:bookmarkStart w:id="88" w:name="OLE_LINK66"/>
      <w:bookmarkStart w:id="89" w:name="OLE_LINK110"/>
      <w:bookmarkStart w:id="90" w:name="OLE_LINK141"/>
    </w:p>
    <w:bookmarkEnd w:id="84"/>
    <w:bookmarkEnd w:id="85"/>
    <w:bookmarkEnd w:id="86"/>
    <w:bookmarkEnd w:id="87"/>
    <w:bookmarkEnd w:id="88"/>
    <w:bookmarkEnd w:id="89"/>
    <w:bookmarkEnd w:id="90"/>
    <w:p w14:paraId="1104296B">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3.项目联系方式</w:t>
      </w:r>
    </w:p>
    <w:p w14:paraId="67B5B0EE">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项目联系人：</w:t>
      </w:r>
      <w:bookmarkStart w:id="91" w:name="OLE_LINK69"/>
      <w:bookmarkStart w:id="92" w:name="OLE_LINK134"/>
      <w:bookmarkStart w:id="93" w:name="OLE_LINK68"/>
      <w:bookmarkStart w:id="94" w:name="OLE_LINK88"/>
      <w:bookmarkStart w:id="95" w:name="OLE_LINK142"/>
      <w:bookmarkStart w:id="96" w:name="OLE_LINK95"/>
      <w:r>
        <w:rPr>
          <w:rFonts w:hint="eastAsia" w:ascii="仿宋" w:hAnsi="仿宋" w:eastAsia="仿宋" w:cs="仿宋"/>
          <w:kern w:val="2"/>
        </w:rPr>
        <w:t>李先生</w:t>
      </w:r>
    </w:p>
    <w:bookmarkEnd w:id="91"/>
    <w:bookmarkEnd w:id="92"/>
    <w:bookmarkEnd w:id="93"/>
    <w:bookmarkEnd w:id="94"/>
    <w:bookmarkEnd w:id="95"/>
    <w:bookmarkEnd w:id="96"/>
    <w:p w14:paraId="40518A1B">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rPr>
      </w:pPr>
      <w:r>
        <w:rPr>
          <w:rFonts w:hint="eastAsia" w:ascii="仿宋" w:hAnsi="仿宋" w:eastAsia="仿宋" w:cs="仿宋"/>
          <w:kern w:val="2"/>
        </w:rPr>
        <w:t>电话：</w:t>
      </w:r>
      <w:bookmarkEnd w:id="63"/>
      <w:bookmarkEnd w:id="64"/>
      <w:bookmarkStart w:id="97" w:name="OLE_LINK70"/>
      <w:bookmarkStart w:id="98" w:name="OLE_LINK89"/>
      <w:r>
        <w:rPr>
          <w:rFonts w:hint="eastAsia" w:ascii="仿宋" w:hAnsi="仿宋" w:eastAsia="仿宋" w:cs="仿宋"/>
          <w:kern w:val="2"/>
        </w:rPr>
        <w:t>13207961388</w:t>
      </w:r>
    </w:p>
    <w:p w14:paraId="070E1831">
      <w:pPr>
        <w:pStyle w:val="6"/>
        <w:shd w:val="clear" w:color="auto" w:fill="FFFFFF"/>
        <w:spacing w:before="0" w:beforeAutospacing="0" w:after="0" w:afterAutospacing="0" w:line="408" w:lineRule="atLeast"/>
        <w:ind w:firstLine="480"/>
        <w:textAlignment w:val="baseline"/>
        <w:rPr>
          <w:rFonts w:hint="eastAsia" w:ascii="仿宋" w:hAnsi="仿宋" w:eastAsia="仿宋" w:cs="仿宋"/>
          <w:kern w:val="2"/>
          <w:lang w:val="en-US" w:eastAsia="zh-CN"/>
        </w:rPr>
      </w:pPr>
      <w:r>
        <w:rPr>
          <w:rFonts w:hint="eastAsia" w:ascii="仿宋" w:hAnsi="仿宋" w:eastAsia="仿宋" w:cs="仿宋"/>
          <w:kern w:val="2"/>
          <w:lang w:val="en-US" w:eastAsia="zh-CN"/>
        </w:rPr>
        <w:t>4.电子邮箱：727635877@QQ.COM</w:t>
      </w:r>
    </w:p>
    <w:bookmarkEnd w:id="97"/>
    <w:bookmarkEnd w:id="98"/>
    <w:p w14:paraId="132BFA04">
      <w:pPr>
        <w:pStyle w:val="6"/>
        <w:shd w:val="clear" w:color="auto" w:fill="FFFFFF"/>
        <w:spacing w:before="0" w:beforeAutospacing="0" w:after="0" w:afterAutospacing="0" w:line="408" w:lineRule="atLeast"/>
        <w:ind w:firstLine="480"/>
        <w:textAlignment w:val="baseline"/>
        <w:rPr>
          <w:rFonts w:hint="eastAsia" w:ascii="仿宋" w:hAnsi="仿宋" w:eastAsia="仿宋" w:cs="仿宋"/>
          <w:lang w:val="en-US" w:eastAsia="zh-CN"/>
        </w:rPr>
      </w:pPr>
      <w:r>
        <w:rPr>
          <w:rFonts w:hint="eastAsia" w:ascii="仿宋" w:hAnsi="仿宋" w:eastAsia="仿宋" w:cs="仿宋"/>
          <w:lang w:val="en-US" w:eastAsia="zh-CN"/>
        </w:rPr>
        <w:t>注;</w:t>
      </w:r>
      <w:r>
        <w:rPr>
          <w:rFonts w:hint="eastAsia" w:ascii="仿宋" w:hAnsi="仿宋" w:eastAsia="仿宋" w:cs="仿宋"/>
        </w:rPr>
        <w:t>本次</w:t>
      </w:r>
      <w:r>
        <w:rPr>
          <w:rFonts w:hint="eastAsia" w:ascii="仿宋" w:hAnsi="仿宋" w:eastAsia="仿宋" w:cs="仿宋"/>
          <w:lang w:val="en-US" w:eastAsia="zh-CN"/>
        </w:rPr>
        <w:t>磋商</w:t>
      </w:r>
      <w:r>
        <w:rPr>
          <w:rFonts w:hint="eastAsia" w:ascii="仿宋" w:hAnsi="仿宋" w:eastAsia="仿宋" w:cs="仿宋"/>
        </w:rPr>
        <w:t>询问</w:t>
      </w:r>
      <w:r>
        <w:rPr>
          <w:rFonts w:hint="eastAsia" w:ascii="仿宋" w:hAnsi="仿宋" w:eastAsia="仿宋" w:cs="仿宋"/>
          <w:lang w:val="en-US" w:eastAsia="zh-CN"/>
        </w:rPr>
        <w:t>不接受邮寄方式</w:t>
      </w:r>
    </w:p>
    <w:p w14:paraId="30069C4C">
      <w:bookmarkStart w:id="99" w:name="_GoBack"/>
      <w:bookmarkEnd w:id="99"/>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7A5C63"/>
    <w:rsid w:val="797A5C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pPr>
    <w:rPr>
      <w:rFonts w:ascii="Calibri" w:hAnsi="Calibri" w:eastAsia="宋体" w:cs="Times New Roman"/>
      <w:kern w:val="2"/>
      <w:sz w:val="24"/>
      <w:lang w:val="en-US" w:eastAsia="zh-CN" w:bidi="ar-SA"/>
    </w:rPr>
  </w:style>
  <w:style w:type="paragraph" w:styleId="2">
    <w:name w:val="heading 2"/>
    <w:basedOn w:val="1"/>
    <w:next w:val="1"/>
    <w:unhideWhenUsed/>
    <w:qFormat/>
    <w:uiPriority w:val="0"/>
    <w:pPr>
      <w:keepNext/>
      <w:keepLines/>
      <w:spacing w:line="240" w:lineRule="auto"/>
      <w:outlineLvl w:val="1"/>
    </w:pPr>
    <w:rPr>
      <w:rFonts w:ascii="Arial" w:hAnsi="Arial"/>
      <w:b/>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pPr>
      <w:ind w:firstLine="480" w:firstLineChars="200"/>
    </w:pPr>
    <w:rPr>
      <w:rFonts w:ascii="Times New Roman" w:hAnsi="Times New Roman"/>
      <w:szCs w:val="22"/>
    </w:rPr>
  </w:style>
  <w:style w:type="paragraph" w:styleId="4">
    <w:name w:val="Body Text Indent"/>
    <w:basedOn w:val="1"/>
    <w:next w:val="5"/>
    <w:qFormat/>
    <w:uiPriority w:val="0"/>
    <w:pPr>
      <w:autoSpaceDE w:val="0"/>
      <w:autoSpaceDN w:val="0"/>
      <w:adjustRightInd w:val="0"/>
      <w:ind w:firstLine="480"/>
    </w:pPr>
    <w:rPr>
      <w:rFonts w:ascii="宋体" w:hAnsi="宋体"/>
      <w:kern w:val="0"/>
    </w:rPr>
  </w:style>
  <w:style w:type="paragraph" w:styleId="5">
    <w:name w:val="Body Text First Indent 2"/>
    <w:basedOn w:val="4"/>
    <w:qFormat/>
    <w:uiPriority w:val="0"/>
    <w:pPr>
      <w:ind w:firstLine="420" w:firstLineChars="200"/>
    </w:pPr>
  </w:style>
  <w:style w:type="paragraph" w:styleId="6">
    <w:name w:val="Normal (Web)"/>
    <w:basedOn w:val="1"/>
    <w:unhideWhenUsed/>
    <w:qFormat/>
    <w:uiPriority w:val="99"/>
    <w:pPr>
      <w:widowControl/>
      <w:spacing w:before="100" w:beforeAutospacing="1" w:after="100" w:afterAutospacing="1" w:line="240" w:lineRule="auto"/>
    </w:pPr>
    <w:rPr>
      <w:rFonts w:ascii="宋体" w:hAnsi="宋体" w:cs="宋体"/>
      <w:kern w:val="0"/>
      <w:szCs w:val="24"/>
    </w:rPr>
  </w:style>
  <w:style w:type="character" w:styleId="9">
    <w:name w:val="Hyperlink"/>
    <w:basedOn w:val="8"/>
    <w:qFormat/>
    <w:uiPriority w:val="99"/>
    <w:rPr>
      <w:color w:val="0000FF"/>
      <w:u w:val="none"/>
    </w:rPr>
  </w:style>
  <w:style w:type="paragraph" w:customStyle="1" w:styleId="10">
    <w:name w:val="case3"/>
    <w:basedOn w:val="1"/>
    <w:qFormat/>
    <w:uiPriority w:val="0"/>
    <w:pPr>
      <w:widowControl/>
      <w:spacing w:before="100" w:beforeAutospacing="1" w:after="100" w:afterAutospacing="1" w:line="390" w:lineRule="atLeast"/>
    </w:pPr>
    <w:rPr>
      <w:rFonts w:ascii="Times New Roman" w:hAnsi="Times New Roman"/>
      <w:color w:val="000000"/>
      <w:kern w:val="0"/>
      <w:sz w:val="21"/>
      <w:szCs w:val="21"/>
    </w:rPr>
  </w:style>
  <w:style w:type="paragraph" w:customStyle="1" w:styleId="11">
    <w:name w:val="列出段落11"/>
    <w:basedOn w:val="1"/>
    <w:qFormat/>
    <w:uiPriority w:val="99"/>
    <w:pPr>
      <w:spacing w:line="240" w:lineRule="auto"/>
      <w:ind w:firstLine="420" w:firstLineChars="200"/>
      <w:jc w:val="both"/>
    </w:pPr>
    <w:rPr>
      <w:rFonts w:ascii="Times New Roman" w:hAnsi="Times New Roman"/>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2026-06-24T06:27:00Z</dcterms:created>
  <dc:creator>Administrator</dc:creator>
  <cp:lastModifiedBy>Administrator</cp:lastModifiedBy>
  <dcterms:modified xsi:type="dcterms:W3CDTF">2026-06-24T06:27:40Z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9138505F16D5479285FC390DA34AF8FB_11</vt:lpwstr>
  </property>
  <property fmtid="{D5CDD505-2E9C-101B-9397-08002B2CF9AE}" pid="4" name="KSOTemplateDocerSaveRecord">
    <vt:lpwstr>eyJoZGlkIjoiMjRjOTE4YzFhY2Y5ZDJiNTkxNmM3MGY3MjI5MTBmMWIiLCJ1c2VySWQiOiI2MzMxNDU2ODUifQ==</vt:lpwstr>
  </property>
</Properties>
</file>