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numbering.xml" ContentType="application/vnd.openxmlformats-officedocument.wordprocessingml.numbering+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0D9C0787">
      <w:pPr>
        <w:pageBreakBefore w:val="0"/>
        <w:widowControl w:val="0"/>
        <w:wordWrap/>
        <w:overflowPunct/>
        <w:topLinePunct w:val="0"/>
        <w:bidi w:val="0"/>
        <w:spacing w:before="47" w:line="219" w:lineRule="auto"/>
        <w:ind w:left="3805"/>
        <w:outlineLvl w:val="1"/>
        <w:rPr>
          <w:color w:val="auto"/>
          <w:highlight w:val="none"/>
        </w:rPr>
      </w:pPr>
      <w:bookmarkStart w:id="0" w:name="_Toc12789"/>
      <w:bookmarkStart w:id="1" w:name="_Toc24783"/>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二、采购</w:t>
      </w:r>
      <w:r>
        <w:rPr>
          <w:rFonts w:hint="eastAsia" w:ascii="宋体" w:hAnsi="宋体" w:eastAsia="宋体" w:cs="宋体"/>
          <w:color w:val="auto"/>
          <w:spacing w:val="-2"/>
          <w:sz w:val="24"/>
          <w:szCs w:val="24"/>
          <w:highlight w:val="none"/>
          <w:lang w:val="en-US" w:eastAsia="zh-CN"/>
          <w14:textOutline w14:w="4356" w14:cap="sq" w14:cmpd="sng" w14:algn="ctr">
            <w14:solidFill>
              <w14:srgbClr w14:val="000000"/>
            </w14:solidFill>
            <w14:prstDash w14:val="solid"/>
            <w14:bevel/>
          </w14:textOutline>
        </w:rPr>
        <w:t>要</w:t>
      </w:r>
      <w:r>
        <w:rPr>
          <w:rFonts w:ascii="宋体" w:hAnsi="宋体" w:eastAsia="宋体" w:cs="宋体"/>
          <w:color w:val="auto"/>
          <w:spacing w:val="-2"/>
          <w:sz w:val="24"/>
          <w:szCs w:val="24"/>
          <w:highlight w:val="none"/>
          <w14:textOutline w14:w="4356" w14:cap="sq" w14:cmpd="sng" w14:algn="ctr">
            <w14:solidFill>
              <w14:srgbClr w14:val="000000"/>
            </w14:solidFill>
            <w14:prstDash w14:val="solid"/>
            <w14:bevel/>
          </w14:textOutline>
        </w:rPr>
        <w:t>求</w:t>
      </w:r>
      <w:bookmarkEnd w:id="0"/>
      <w:bookmarkEnd w:id="1"/>
    </w:p>
    <w:p w14:paraId="213747F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rPr>
      </w:pPr>
      <w:r>
        <w:rPr>
          <w:rFonts w:ascii="宋体" w:hAnsi="宋体" w:eastAsia="宋体" w:cs="宋体"/>
          <w:b/>
          <w:bCs/>
          <w:color w:val="auto"/>
          <w:spacing w:val="-5"/>
          <w:sz w:val="24"/>
          <w:szCs w:val="24"/>
          <w:highlight w:val="none"/>
        </w:rPr>
        <w:t>（一）</w:t>
      </w:r>
      <w:r>
        <w:rPr>
          <w:rFonts w:ascii="宋体" w:hAnsi="宋体" w:eastAsia="宋体" w:cs="宋体"/>
          <w:b/>
          <w:bCs/>
          <w:color w:val="auto"/>
          <w:spacing w:val="25"/>
          <w:sz w:val="24"/>
          <w:szCs w:val="24"/>
          <w:highlight w:val="none"/>
        </w:rPr>
        <w:t xml:space="preserve"> </w:t>
      </w:r>
      <w:r>
        <w:rPr>
          <w:rFonts w:hint="eastAsia" w:ascii="宋体" w:hAnsi="宋体" w:eastAsia="宋体" w:cs="宋体"/>
          <w:b/>
          <w:bCs/>
          <w:color w:val="auto"/>
          <w:spacing w:val="-5"/>
          <w:sz w:val="24"/>
          <w:szCs w:val="24"/>
          <w:highlight w:val="none"/>
          <w:lang w:val="en-US" w:eastAsia="zh-CN"/>
        </w:rPr>
        <w:t>服务</w:t>
      </w:r>
      <w:r>
        <w:rPr>
          <w:rFonts w:ascii="宋体" w:hAnsi="宋体" w:eastAsia="宋体" w:cs="宋体"/>
          <w:b/>
          <w:bCs/>
          <w:color w:val="auto"/>
          <w:spacing w:val="-5"/>
          <w:sz w:val="24"/>
          <w:szCs w:val="24"/>
          <w:highlight w:val="none"/>
        </w:rPr>
        <w:t>需求</w:t>
      </w:r>
    </w:p>
    <w:p w14:paraId="4A134F56">
      <w:pPr>
        <w:pageBreakBefore w:val="0"/>
        <w:widowControl w:val="0"/>
        <w:wordWrap/>
        <w:overflowPunct/>
        <w:topLinePunct w:val="0"/>
        <w:bidi w:val="0"/>
        <w:spacing w:line="242" w:lineRule="auto"/>
        <w:rPr>
          <w:color w:val="auto"/>
          <w:highlight w:val="none"/>
        </w:rPr>
      </w:pPr>
    </w:p>
    <w:tbl>
      <w:tblPr>
        <w:tblStyle w:val="3"/>
        <w:tblW w:w="4999"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086"/>
        <w:gridCol w:w="6976"/>
        <w:gridCol w:w="458"/>
      </w:tblGrid>
      <w:tr w14:paraId="44A33353">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496" w:hRule="atLeast"/>
          <w:jc w:val="center"/>
        </w:trPr>
        <w:tc>
          <w:tcPr>
            <w:tcW w:w="647" w:type="pct"/>
            <w:noWrap w:val="0"/>
            <w:vAlign w:val="center"/>
          </w:tcPr>
          <w:p w14:paraId="542B674F">
            <w:pPr>
              <w:keepNext w:val="0"/>
              <w:keepLines w:val="0"/>
              <w:pageBreakBefore w:val="0"/>
              <w:widowControl/>
              <w:kinsoku/>
              <w:wordWrap/>
              <w:overflowPunct/>
              <w:topLinePunct w:val="0"/>
              <w:autoSpaceDE w:val="0"/>
              <w:autoSpaceDN w:val="0"/>
              <w:bidi w:val="0"/>
              <w:adjustRightInd w:val="0"/>
              <w:snapToGrid w:val="0"/>
              <w:spacing w:line="276" w:lineRule="auto"/>
              <w:jc w:val="center"/>
              <w:textAlignment w:val="baseline"/>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名称</w:t>
            </w:r>
          </w:p>
        </w:tc>
        <w:tc>
          <w:tcPr>
            <w:tcW w:w="4103" w:type="pct"/>
            <w:noWrap w:val="0"/>
            <w:vAlign w:val="center"/>
          </w:tcPr>
          <w:p w14:paraId="5C2B09C6">
            <w:pPr>
              <w:keepNext w:val="0"/>
              <w:keepLines w:val="0"/>
              <w:pageBreakBefore w:val="0"/>
              <w:widowControl/>
              <w:kinsoku/>
              <w:wordWrap/>
              <w:overflowPunct/>
              <w:topLinePunct w:val="0"/>
              <w:autoSpaceDE w:val="0"/>
              <w:autoSpaceDN w:val="0"/>
              <w:bidi w:val="0"/>
              <w:adjustRightInd w:val="0"/>
              <w:snapToGrid w:val="0"/>
              <w:spacing w:line="276" w:lineRule="auto"/>
              <w:jc w:val="center"/>
              <w:textAlignment w:val="baseline"/>
              <w:rPr>
                <w:rFonts w:hint="eastAsia" w:ascii="宋体" w:hAnsi="宋体" w:eastAsia="宋体" w:cs="宋体"/>
                <w:b/>
                <w:color w:val="auto"/>
                <w:kern w:val="0"/>
                <w:sz w:val="24"/>
                <w:szCs w:val="24"/>
              </w:rPr>
            </w:pPr>
            <w:r>
              <w:rPr>
                <w:rFonts w:hint="eastAsia" w:ascii="宋体" w:hAnsi="宋体" w:eastAsia="宋体" w:cs="宋体"/>
                <w:b/>
                <w:bCs/>
                <w:color w:val="auto"/>
                <w:sz w:val="24"/>
                <w:szCs w:val="24"/>
                <w:u w:val="single"/>
                <w:lang w:val="en-US" w:eastAsia="zh-CN"/>
              </w:rPr>
              <w:t>服务</w:t>
            </w:r>
            <w:r>
              <w:rPr>
                <w:rFonts w:hint="eastAsia" w:ascii="宋体" w:hAnsi="宋体" w:eastAsia="宋体" w:cs="宋体"/>
                <w:b/>
                <w:bCs/>
                <w:color w:val="auto"/>
                <w:sz w:val="24"/>
                <w:szCs w:val="24"/>
                <w:u w:val="single"/>
              </w:rPr>
              <w:t>要求</w:t>
            </w:r>
          </w:p>
        </w:tc>
        <w:tc>
          <w:tcPr>
            <w:tcW w:w="249" w:type="pct"/>
            <w:noWrap w:val="0"/>
            <w:vAlign w:val="center"/>
          </w:tcPr>
          <w:p w14:paraId="1F6DE9E0">
            <w:pPr>
              <w:keepNext w:val="0"/>
              <w:keepLines w:val="0"/>
              <w:pageBreakBefore w:val="0"/>
              <w:widowControl/>
              <w:kinsoku/>
              <w:wordWrap/>
              <w:overflowPunct/>
              <w:topLinePunct w:val="0"/>
              <w:autoSpaceDE w:val="0"/>
              <w:autoSpaceDN w:val="0"/>
              <w:bidi w:val="0"/>
              <w:adjustRightInd w:val="0"/>
              <w:snapToGrid w:val="0"/>
              <w:spacing w:line="276" w:lineRule="auto"/>
              <w:jc w:val="center"/>
              <w:textAlignment w:val="baseline"/>
              <w:rPr>
                <w:rFonts w:hint="eastAsia" w:ascii="宋体" w:hAnsi="宋体" w:eastAsia="宋体" w:cs="宋体"/>
                <w:b/>
                <w:color w:val="auto"/>
                <w:kern w:val="0"/>
                <w:sz w:val="24"/>
                <w:szCs w:val="24"/>
              </w:rPr>
            </w:pPr>
            <w:r>
              <w:rPr>
                <w:rFonts w:hint="eastAsia" w:ascii="宋体" w:hAnsi="宋体" w:eastAsia="宋体" w:cs="宋体"/>
                <w:b/>
                <w:color w:val="auto"/>
                <w:kern w:val="0"/>
                <w:sz w:val="24"/>
                <w:szCs w:val="24"/>
              </w:rPr>
              <w:t>数量</w:t>
            </w:r>
          </w:p>
        </w:tc>
      </w:tr>
      <w:tr w14:paraId="61E1C10B">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1162" w:hRule="atLeast"/>
          <w:jc w:val="center"/>
        </w:trPr>
        <w:tc>
          <w:tcPr>
            <w:tcW w:w="647" w:type="pct"/>
            <w:noWrap w:val="0"/>
            <w:vAlign w:val="center"/>
          </w:tcPr>
          <w:p w14:paraId="4A2EEC6D">
            <w:pPr>
              <w:keepNext w:val="0"/>
              <w:keepLines w:val="0"/>
              <w:pageBreakBefore w:val="0"/>
              <w:widowControl/>
              <w:kinsoku/>
              <w:wordWrap/>
              <w:overflowPunct/>
              <w:topLinePunct w:val="0"/>
              <w:autoSpaceDE w:val="0"/>
              <w:autoSpaceDN w:val="0"/>
              <w:bidi w:val="0"/>
              <w:adjustRightInd w:val="0"/>
              <w:snapToGrid w:val="0"/>
              <w:spacing w:line="276" w:lineRule="auto"/>
              <w:jc w:val="center"/>
              <w:textAlignment w:val="baseline"/>
              <w:rPr>
                <w:rFonts w:hint="eastAsia" w:ascii="宋体" w:hAnsi="宋体" w:eastAsia="宋体" w:cs="宋体"/>
                <w:b/>
                <w:color w:val="auto"/>
                <w:kern w:val="0"/>
                <w:sz w:val="24"/>
                <w:szCs w:val="24"/>
                <w:highlight w:val="none"/>
              </w:rPr>
            </w:pPr>
            <w:r>
              <w:rPr>
                <w:rFonts w:hint="eastAsia" w:ascii="宋体" w:hAnsi="宋体" w:eastAsia="宋体" w:cs="宋体"/>
                <w:bCs/>
                <w:color w:val="auto"/>
                <w:sz w:val="24"/>
                <w:szCs w:val="24"/>
                <w:highlight w:val="none"/>
              </w:rPr>
              <w:t>2026年赣州市中小学幼儿园教师心理健康教育培训</w:t>
            </w:r>
          </w:p>
        </w:tc>
        <w:tc>
          <w:tcPr>
            <w:tcW w:w="4103" w:type="pct"/>
            <w:noWrap w:val="0"/>
            <w:vAlign w:val="top"/>
          </w:tcPr>
          <w:p w14:paraId="265C3F5B">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一、培训对象、目标：</w:t>
            </w:r>
            <w:r>
              <w:rPr>
                <w:rFonts w:hint="eastAsia" w:ascii="宋体" w:hAnsi="宋体" w:eastAsia="宋体" w:cs="宋体"/>
                <w:color w:val="auto"/>
                <w:sz w:val="24"/>
                <w:szCs w:val="24"/>
                <w:highlight w:val="none"/>
              </w:rPr>
              <w:t>全市中小学、幼儿园（含民办学校、职业学校）2025年6月后转岗从事心理健康教育工作的教师。</w:t>
            </w:r>
          </w:p>
          <w:p w14:paraId="4C8A40DB">
            <w:pPr>
              <w:pStyle w:val="5"/>
              <w:keepNext w:val="0"/>
              <w:keepLines w:val="0"/>
              <w:pageBreakBefore w:val="0"/>
              <w:widowControl/>
              <w:kinsoku/>
              <w:wordWrap/>
              <w:overflowPunct/>
              <w:topLinePunct w:val="0"/>
              <w:autoSpaceDE w:val="0"/>
              <w:autoSpaceDN w:val="0"/>
              <w:bidi w:val="0"/>
              <w:adjustRightInd w:val="0"/>
              <w:snapToGrid w:val="0"/>
              <w:spacing w:line="276" w:lineRule="auto"/>
              <w:ind w:left="0" w:leftChars="0"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培训旨在对教师心理健康教育进行培训，通过培训，使其能独立开展学生心理辅导、危机识别与干预工作，具备设计心理健康活动课的能力，全面提升专业素养，打造一支师德高尚、业务精湛的心理健康专兼职教师队伍。</w:t>
            </w:r>
          </w:p>
          <w:p w14:paraId="10E2143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二、培训内容、要求：</w:t>
            </w:r>
          </w:p>
          <w:p w14:paraId="12961CE9">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C00000"/>
                <w:sz w:val="24"/>
                <w:szCs w:val="24"/>
                <w:highlight w:val="none"/>
                <w:lang w:eastAsia="zh-CN"/>
              </w:rPr>
              <w:t>（</w:t>
            </w:r>
            <w:r>
              <w:rPr>
                <w:rFonts w:hint="eastAsia" w:cs="宋体"/>
                <w:color w:val="C00000"/>
                <w:sz w:val="24"/>
                <w:szCs w:val="24"/>
                <w:highlight w:val="none"/>
                <w:lang w:val="en-US" w:eastAsia="zh-CN"/>
              </w:rPr>
              <w:t>一</w:t>
            </w:r>
            <w:r>
              <w:rPr>
                <w:rFonts w:hint="eastAsia" w:cs="宋体"/>
                <w:color w:val="C00000"/>
                <w:sz w:val="24"/>
                <w:szCs w:val="24"/>
                <w:highlight w:val="none"/>
                <w:lang w:eastAsia="zh-CN"/>
              </w:rPr>
              <w:t>）</w:t>
            </w:r>
            <w:r>
              <w:rPr>
                <w:rFonts w:hint="eastAsia" w:ascii="宋体" w:hAnsi="宋体" w:eastAsia="宋体" w:cs="宋体"/>
                <w:color w:val="auto"/>
                <w:sz w:val="24"/>
                <w:szCs w:val="24"/>
                <w:highlight w:val="none"/>
              </w:rPr>
              <w:t>采取混合方式培训，完整培训过程分三个阶段进行，即远程培训、面授实操、训后服务三个阶段，其中远程培训不少于30</w:t>
            </w:r>
            <w:r>
              <w:rPr>
                <w:rFonts w:hint="eastAsia" w:ascii="宋体" w:hAnsi="宋体" w:eastAsia="宋体" w:cs="宋体"/>
                <w:color w:val="auto"/>
                <w:sz w:val="24"/>
                <w:szCs w:val="24"/>
                <w:highlight w:val="none"/>
                <w:lang w:val="en-US" w:eastAsia="zh-CN"/>
              </w:rPr>
              <w:t>个学时日</w:t>
            </w:r>
            <w:r>
              <w:rPr>
                <w:rFonts w:hint="eastAsia" w:ascii="宋体" w:hAnsi="宋体" w:eastAsia="宋体" w:cs="宋体"/>
                <w:color w:val="auto"/>
                <w:sz w:val="24"/>
                <w:szCs w:val="24"/>
                <w:highlight w:val="none"/>
              </w:rPr>
              <w:t>(确保学员</w:t>
            </w:r>
            <w:r>
              <w:rPr>
                <w:rFonts w:hint="eastAsia" w:ascii="宋体" w:hAnsi="宋体" w:eastAsia="宋体" w:cs="宋体"/>
                <w:color w:val="auto"/>
                <w:sz w:val="24"/>
                <w:szCs w:val="24"/>
                <w:highlight w:val="none"/>
                <w:lang w:val="en-US" w:eastAsia="zh-CN"/>
              </w:rPr>
              <w:t>累计</w:t>
            </w:r>
            <w:r>
              <w:rPr>
                <w:rFonts w:hint="eastAsia" w:ascii="宋体" w:hAnsi="宋体" w:eastAsia="宋体" w:cs="宋体"/>
                <w:color w:val="auto"/>
                <w:sz w:val="24"/>
                <w:szCs w:val="24"/>
                <w:highlight w:val="none"/>
              </w:rPr>
              <w:t>学习时长不少于96学时)，面授实操不少于4天(32学时)，训后服务时长</w:t>
            </w:r>
            <w:r>
              <w:rPr>
                <w:rFonts w:hint="eastAsia" w:cs="宋体"/>
                <w:color w:val="C00000"/>
                <w:sz w:val="24"/>
                <w:szCs w:val="24"/>
                <w:highlight w:val="none"/>
                <w:lang w:val="en-US" w:eastAsia="zh-CN"/>
              </w:rPr>
              <w:t>不少于</w:t>
            </w:r>
            <w:r>
              <w:rPr>
                <w:rFonts w:hint="eastAsia" w:ascii="宋体" w:hAnsi="宋体" w:eastAsia="宋体" w:cs="宋体"/>
                <w:color w:val="auto"/>
                <w:sz w:val="24"/>
                <w:szCs w:val="24"/>
                <w:highlight w:val="none"/>
              </w:rPr>
              <w:t>30天。</w:t>
            </w:r>
          </w:p>
          <w:p w14:paraId="3F17517C">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C00000"/>
                <w:sz w:val="24"/>
                <w:szCs w:val="24"/>
                <w:highlight w:val="none"/>
                <w:lang w:eastAsia="zh-CN"/>
              </w:rPr>
              <w:t>（</w:t>
            </w:r>
            <w:r>
              <w:rPr>
                <w:rFonts w:hint="eastAsia" w:cs="宋体"/>
                <w:color w:val="C00000"/>
                <w:sz w:val="24"/>
                <w:szCs w:val="24"/>
                <w:highlight w:val="none"/>
                <w:lang w:val="en-US" w:eastAsia="zh-CN"/>
              </w:rPr>
              <w:t>二</w:t>
            </w:r>
            <w:r>
              <w:rPr>
                <w:rFonts w:hint="eastAsia" w:cs="宋体"/>
                <w:color w:val="C00000"/>
                <w:sz w:val="24"/>
                <w:szCs w:val="24"/>
                <w:highlight w:val="none"/>
                <w:lang w:eastAsia="zh-CN"/>
              </w:rPr>
              <w:t>）</w:t>
            </w:r>
            <w:r>
              <w:rPr>
                <w:rFonts w:hint="eastAsia" w:ascii="宋体" w:hAnsi="宋体" w:eastAsia="宋体" w:cs="宋体"/>
                <w:color w:val="auto"/>
                <w:sz w:val="24"/>
                <w:szCs w:val="24"/>
                <w:highlight w:val="none"/>
              </w:rPr>
              <w:t>远程培训内容 ：</w:t>
            </w:r>
          </w:p>
          <w:p w14:paraId="410A7356">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1.远程培训内容（共96学时）</w:t>
            </w:r>
          </w:p>
          <w:p w14:paraId="126E25C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（1）政策理念与师德修养模块（12学时）</w:t>
            </w:r>
          </w:p>
          <w:p w14:paraId="6228EFA5">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包含心理健康教育政策解读：心理健康教育伦理规范：掌握学校心理咨询的伦理原则、保密原则及边界意识；教师心理健康与自我关怀：探讨教师职业倦怠应对策略、情绪管理与压力调适方法，塑造阳光心态。</w:t>
            </w:r>
          </w:p>
          <w:p w14:paraId="7CC4FC7E">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（2）理论基础模块（18学时）</w:t>
            </w:r>
          </w:p>
          <w:p w14:paraId="40542E5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包含发展心理学基础：掌握幼儿、小学生、中学生各学段学生的心理发展特点与成长规律；常见心理问题识别与评估：学习抑郁、焦虑、多动、网络成瘾等问题的表现形式与早期识别方法；心理测评与心理档案建设：了解常用心理测评工具的使用方法，学习建立学生心理动态档案与台账。</w:t>
            </w:r>
          </w:p>
          <w:p w14:paraId="5D4863AE">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（3）教育教学模块（16学时）</w:t>
            </w:r>
          </w:p>
          <w:p w14:paraId="56CE9A1B">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包含心理健康活动课设计：掌握心理健康教育课的设计原则、教学方法与过程性评价；学科教学中的心育渗透：探索如何在各学科教学中融入心理健康教育理念；心理健康教育主题活动组织：学习策划与组织校园心理健康主题活动的策略与方法。</w:t>
            </w:r>
          </w:p>
          <w:p w14:paraId="16C31DB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（4）辅导技能入门模块（20学时）</w:t>
            </w:r>
          </w:p>
          <w:p w14:paraId="0E77D857">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包含心理咨询基本理论：学习人本主义、焦点解决等适合校园场景的咨询理论入门知识；师生沟通艺术：掌握如何与学生建立信任关系、有效沟通技巧与非暴力沟通方法；个体心理辅导操作实务：学习倾听、共情、提问等基本辅导技术的应用；团体心理辅导理论与实践：了解团体辅导的设计原理与实施要点。</w:t>
            </w:r>
          </w:p>
          <w:p w14:paraId="5024EF9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（5）家校协同与危机干预模块（16学时）</w:t>
            </w:r>
          </w:p>
          <w:p w14:paraId="19F00B97">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包含家庭教育指导：了解家庭对学生心理的影响，学习如何开展家长工作、家校沟通策略；心理危机识别与干预：掌握校园心理危机事件的识别信号、干预流程与处置机制；协同育人路径与方法：探讨学校、家庭、社会三位一体的心理健康教育协同机制。</w:t>
            </w:r>
          </w:p>
          <w:p w14:paraId="563A9A9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（6）实践应用与专业成长模块（14学时）</w:t>
            </w:r>
          </w:p>
          <w:p w14:paraId="1ADE0665">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 xml:space="preserve"> 包含典型心理案例分析与研讨：学习中小学生常见心理问题的应对策略与辅导案例；心理健康教育特色实践：观摩优秀心理健康教育示范课与校本课程案例；教师专业成长与发展：探讨转岗教师的职业发展规划与持续学习路径。</w:t>
            </w:r>
          </w:p>
          <w:p w14:paraId="7EAA83C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color w:val="auto"/>
                <w:sz w:val="24"/>
                <w:szCs w:val="24"/>
                <w:highlight w:val="none"/>
              </w:rPr>
            </w:pPr>
            <w:r>
              <w:rPr>
                <w:rFonts w:hint="eastAsia" w:cs="宋体"/>
                <w:b/>
                <w:color w:val="auto"/>
                <w:sz w:val="24"/>
                <w:szCs w:val="24"/>
                <w:highlight w:val="none"/>
                <w:lang w:val="en-US" w:eastAsia="zh-CN"/>
              </w:rPr>
              <w:t>2</w:t>
            </w:r>
            <w:r>
              <w:rPr>
                <w:rFonts w:hint="eastAsia" w:ascii="宋体" w:hAnsi="宋体" w:eastAsia="宋体" w:cs="宋体"/>
                <w:b/>
                <w:color w:val="auto"/>
                <w:sz w:val="24"/>
                <w:szCs w:val="24"/>
                <w:highlight w:val="none"/>
              </w:rPr>
              <w:t>.面授课程主要内容（共32学时）</w:t>
            </w:r>
          </w:p>
          <w:p w14:paraId="7CD1C49D">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（1）心理健康教育课：聚焦分学段课程设计、课堂实施与教学评价，掌握心理课基本结构与活动带领技巧。</w:t>
            </w:r>
          </w:p>
          <w:p w14:paraId="42420850">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（2）个体心理咨询：学习校园心理咨询基本流程、倾听共情技术，明确伦理规范与初步问题评估方法。</w:t>
            </w:r>
          </w:p>
          <w:p w14:paraId="2E259B6C">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（3）心理危机干预：掌握学生心理危机识别信号、应急处置流程与安全保护措施，提升风险应对能力。</w:t>
            </w:r>
          </w:p>
          <w:p w14:paraId="14E0425F">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（4）团体心理辅导：学习团体方案设计、带领技术与氛围营造，能够开展班级主题团体辅导活动。</w:t>
            </w:r>
          </w:p>
          <w:p w14:paraId="7C020F3C">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（5）心理健康教育活动：了解校园心育活动策划、组织与实施路径，打造常态化、特色化心理健康活动体系。</w:t>
            </w:r>
          </w:p>
          <w:p w14:paraId="1F0648B2">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（6）沙盘游戏技术：学习沙盘基本操作、观察记录与应用场景，掌握校园简易沙盘的实操与陪伴技巧。</w:t>
            </w:r>
          </w:p>
          <w:p w14:paraId="3A4F4E04">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（7）短期焦点解决：掌握SFBT核心技术与正向沟通策略，运用于学生问题辅导与日常教育沟通中。</w:t>
            </w:r>
          </w:p>
          <w:p w14:paraId="0BB55C37">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（8）家庭教育指导：学习家校沟通策略与分学段家庭教育指导方法，提升家校协同育人能力。</w:t>
            </w:r>
          </w:p>
          <w:p w14:paraId="4ACE3366">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（9）动态心理档案与台账的建立：规范学生心理档案建设、动态更新与保密管理，熟练建立各类工作台账。</w:t>
            </w:r>
          </w:p>
          <w:p w14:paraId="13A269F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ins w:id="0" w:author="湛蓝的灰" w:date="2025-04-30T15:45:00Z"/>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面授内容将根据采购人要求做相应调整。</w:t>
            </w:r>
          </w:p>
          <w:p w14:paraId="156DAE1A">
            <w:pPr>
              <w:pStyle w:val="5"/>
              <w:keepNext w:val="0"/>
              <w:keepLines w:val="0"/>
              <w:pageBreakBefore w:val="0"/>
              <w:widowControl/>
              <w:numPr>
                <w:ilvl w:val="0"/>
                <w:numId w:val="1"/>
              </w:numPr>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远程培训及训后服务要求：</w:t>
            </w:r>
          </w:p>
          <w:p w14:paraId="14FF54D2">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eastAsia="zh-CN"/>
              </w:rPr>
              <w:t>（</w:t>
            </w:r>
            <w:r>
              <w:rPr>
                <w:rFonts w:hint="eastAsia" w:cs="宋体"/>
                <w:color w:val="auto"/>
                <w:sz w:val="24"/>
                <w:szCs w:val="24"/>
                <w:highlight w:val="none"/>
                <w:lang w:val="en-US" w:eastAsia="zh-CN"/>
              </w:rPr>
              <w:t>1</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rPr>
              <w:t>利用远程学习平台、视频软件、微信群、qq群、手机APP、ipad等信息化手段，及时跟踪学员学习状况，解答工作中遇到的问题。为学员的可持续发展进行实时指导；</w:t>
            </w:r>
          </w:p>
          <w:p w14:paraId="01813DE1">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（2）每位学员远程答疑、督导过程要求有专业团队为学员服务，在学习过程中能实施监控、提供报告并及时反馈和总结学员学习成果；</w:t>
            </w:r>
          </w:p>
          <w:p w14:paraId="0C95D50C">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（3）培训成果量化。实操培训结束后，对每位学员的培训给出评估报告和工作建议；并将从学员中评选出不少于60个赣州特色的心理健康教育示范案例。并制作</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0本案例集交给采购方。</w:t>
            </w:r>
          </w:p>
          <w:p w14:paraId="5E25F4ED">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（4）培训结束撰写培训总结，并打印5份交给采购方。</w:t>
            </w:r>
          </w:p>
          <w:p w14:paraId="174873C5">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bCs/>
                <w:color w:val="auto"/>
                <w:sz w:val="24"/>
                <w:szCs w:val="24"/>
                <w:highlight w:val="none"/>
              </w:rPr>
            </w:pPr>
            <w:r>
              <w:rPr>
                <w:rFonts w:hint="eastAsia" w:ascii="宋体" w:hAnsi="宋体" w:eastAsia="宋体" w:cs="宋体"/>
                <w:b/>
                <w:bCs/>
                <w:color w:val="auto"/>
                <w:sz w:val="24"/>
                <w:szCs w:val="24"/>
                <w:highlight w:val="none"/>
              </w:rPr>
              <w:t>三、培训人数、面授天数：</w:t>
            </w:r>
          </w:p>
          <w:p w14:paraId="4A50A3FD">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1、培训人数400人。面授共分3期进行，每期133--134人，实际操作课需分成3个小班授课，每班44--45人，分别上课。</w:t>
            </w:r>
          </w:p>
          <w:p w14:paraId="3B1F40A4">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2、每期面授时间不少于4天（32个学时）。</w:t>
            </w:r>
          </w:p>
          <w:p w14:paraId="632E8625">
            <w:pPr>
              <w:keepNext w:val="0"/>
              <w:keepLines w:val="0"/>
              <w:pageBreakBefore w:val="0"/>
              <w:widowControl/>
              <w:tabs>
                <w:tab w:val="center" w:pos="4434"/>
              </w:tabs>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四、费用包含以下五个组成部分：</w:t>
            </w:r>
          </w:p>
          <w:p w14:paraId="6B681C4C">
            <w:pPr>
              <w:keepNext w:val="0"/>
              <w:keepLines w:val="0"/>
              <w:pageBreakBefore w:val="0"/>
              <w:widowControl/>
              <w:tabs>
                <w:tab w:val="center" w:pos="4434"/>
              </w:tabs>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1、</w:t>
            </w:r>
            <w:r>
              <w:rPr>
                <w:rFonts w:hint="eastAsia" w:ascii="宋体" w:hAnsi="宋体" w:eastAsia="宋体" w:cs="宋体"/>
                <w:color w:val="auto"/>
                <w:kern w:val="0"/>
                <w:sz w:val="24"/>
                <w:szCs w:val="24"/>
                <w:highlight w:val="none"/>
              </w:rPr>
              <w:t>远程培训及训后服务费：远程教学平台使用费、维护费、课件费、资料费、训后服务费等。</w:t>
            </w:r>
            <w:r>
              <w:rPr>
                <w:rFonts w:hint="eastAsia" w:ascii="宋体" w:hAnsi="宋体" w:eastAsia="宋体" w:cs="宋体"/>
                <w:color w:val="auto"/>
                <w:kern w:val="0"/>
                <w:sz w:val="24"/>
                <w:szCs w:val="24"/>
                <w:highlight w:val="none"/>
              </w:rPr>
              <w:tab/>
            </w:r>
          </w:p>
          <w:p w14:paraId="2AFD8BFA">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2、</w:t>
            </w:r>
            <w:r>
              <w:rPr>
                <w:rFonts w:hint="eastAsia" w:ascii="宋体" w:hAnsi="宋体" w:eastAsia="宋体" w:cs="宋体"/>
                <w:color w:val="auto"/>
                <w:kern w:val="0"/>
                <w:sz w:val="24"/>
                <w:szCs w:val="24"/>
                <w:highlight w:val="none"/>
              </w:rPr>
              <w:t>面授课、实际操作培训费：课件费、资料费、场地费、教学设施使用费、讲课费、教师（专家）交通食宿差旅费、专家助理、班主任及工作人员劳务费等。</w:t>
            </w:r>
          </w:p>
          <w:p w14:paraId="5AA3DF24">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3、</w:t>
            </w:r>
            <w:r>
              <w:rPr>
                <w:rFonts w:hint="eastAsia" w:ascii="宋体" w:hAnsi="宋体" w:eastAsia="宋体" w:cs="宋体"/>
                <w:color w:val="auto"/>
                <w:kern w:val="0"/>
                <w:sz w:val="24"/>
                <w:szCs w:val="24"/>
                <w:highlight w:val="none"/>
              </w:rPr>
              <w:t>作业（论文）指导费、结业课展示费等。</w:t>
            </w:r>
          </w:p>
          <w:p w14:paraId="07BDAC27">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4、</w:t>
            </w:r>
            <w:r>
              <w:rPr>
                <w:rFonts w:hint="eastAsia" w:ascii="宋体" w:hAnsi="宋体" w:eastAsia="宋体" w:cs="宋体"/>
                <w:color w:val="auto"/>
                <w:kern w:val="0"/>
                <w:sz w:val="24"/>
                <w:szCs w:val="24"/>
                <w:highlight w:val="none"/>
              </w:rPr>
              <w:t>学员面授期间的伙食、住宿费。</w:t>
            </w:r>
          </w:p>
          <w:p w14:paraId="48BA51C6">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lang w:val="en-US" w:eastAsia="zh-CN"/>
              </w:rPr>
              <w:t>5、</w:t>
            </w:r>
            <w:r>
              <w:rPr>
                <w:rFonts w:hint="eastAsia" w:ascii="宋体" w:hAnsi="宋体" w:eastAsia="宋体" w:cs="宋体"/>
                <w:color w:val="auto"/>
                <w:kern w:val="0"/>
                <w:sz w:val="24"/>
                <w:szCs w:val="24"/>
                <w:highlight w:val="none"/>
              </w:rPr>
              <w:t>学习资料、证书的制作、发放、寄送费用等。</w:t>
            </w:r>
          </w:p>
          <w:p w14:paraId="6BD85A7E">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b/>
                <w:bCs/>
                <w:color w:val="auto"/>
                <w:sz w:val="24"/>
                <w:szCs w:val="24"/>
                <w:highlight w:val="none"/>
              </w:rPr>
              <w:t>五、培训、食宿地点：</w:t>
            </w:r>
            <w:r>
              <w:rPr>
                <w:rFonts w:hint="eastAsia" w:ascii="宋体" w:hAnsi="宋体" w:eastAsia="宋体" w:cs="宋体"/>
                <w:color w:val="auto"/>
                <w:sz w:val="24"/>
                <w:szCs w:val="24"/>
                <w:highlight w:val="none"/>
              </w:rPr>
              <w:t>赣州开放大学（赣州市章贡区黄屋坪路29号）。</w:t>
            </w:r>
          </w:p>
          <w:p w14:paraId="75A2CC8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bCs/>
                <w:color w:val="auto"/>
                <w:sz w:val="28"/>
                <w:szCs w:val="28"/>
                <w:highlight w:val="none"/>
              </w:rPr>
            </w:pPr>
            <w:r>
              <w:rPr>
                <w:rFonts w:hint="eastAsia" w:cs="宋体"/>
                <w:b/>
                <w:bCs/>
                <w:color w:val="auto"/>
                <w:sz w:val="28"/>
                <w:szCs w:val="28"/>
                <w:highlight w:val="none"/>
                <w:lang w:val="en-US" w:eastAsia="zh-CN"/>
              </w:rPr>
              <w:t>※</w:t>
            </w:r>
            <w:r>
              <w:rPr>
                <w:rFonts w:hint="eastAsia" w:ascii="宋体" w:hAnsi="宋体" w:eastAsia="宋体" w:cs="宋体"/>
                <w:b/>
                <w:bCs/>
                <w:color w:val="auto"/>
                <w:sz w:val="28"/>
                <w:szCs w:val="28"/>
                <w:highlight w:val="none"/>
                <w:lang w:val="en-US" w:eastAsia="zh-CN"/>
              </w:rPr>
              <w:t>※※※※</w:t>
            </w:r>
            <w:r>
              <w:rPr>
                <w:rFonts w:hint="eastAsia" w:ascii="宋体" w:hAnsi="宋体" w:eastAsia="宋体" w:cs="宋体"/>
                <w:b/>
                <w:bCs/>
                <w:color w:val="auto"/>
                <w:sz w:val="28"/>
                <w:szCs w:val="28"/>
                <w:highlight w:val="none"/>
              </w:rPr>
              <w:t>六、</w:t>
            </w:r>
            <w:r>
              <w:rPr>
                <w:rFonts w:hint="eastAsia" w:cs="宋体"/>
                <w:b/>
                <w:bCs/>
                <w:color w:val="auto"/>
                <w:sz w:val="28"/>
                <w:szCs w:val="28"/>
                <w:highlight w:val="none"/>
                <w:lang w:val="en-US" w:eastAsia="zh-CN"/>
              </w:rPr>
              <w:t>培训要求</w:t>
            </w:r>
            <w:r>
              <w:rPr>
                <w:rFonts w:hint="eastAsia" w:ascii="宋体" w:hAnsi="宋体" w:eastAsia="宋体" w:cs="宋体"/>
                <w:b/>
                <w:bCs/>
                <w:color w:val="auto"/>
                <w:sz w:val="28"/>
                <w:szCs w:val="28"/>
                <w:highlight w:val="none"/>
              </w:rPr>
              <w:t>：</w:t>
            </w:r>
          </w:p>
          <w:p w14:paraId="04896579">
            <w:pPr>
              <w:pStyle w:val="5"/>
              <w:keepNext w:val="0"/>
              <w:keepLines w:val="0"/>
              <w:pageBreakBefore w:val="0"/>
              <w:widowControl/>
              <w:numPr>
                <w:ilvl w:val="0"/>
                <w:numId w:val="2"/>
              </w:numPr>
              <w:kinsoku/>
              <w:wordWrap/>
              <w:overflowPunct/>
              <w:topLinePunct w:val="0"/>
              <w:autoSpaceDE w:val="0"/>
              <w:autoSpaceDN w:val="0"/>
              <w:bidi w:val="0"/>
              <w:adjustRightInd w:val="0"/>
              <w:snapToGrid w:val="0"/>
              <w:spacing w:line="276" w:lineRule="auto"/>
              <w:ind w:firstLine="0" w:firstLineChars="0"/>
              <w:textAlignment w:val="baseline"/>
              <w:rPr>
                <w:rFonts w:hint="eastAsia" w:cs="宋体"/>
                <w:b/>
                <w:bCs/>
                <w:color w:val="auto"/>
                <w:sz w:val="28"/>
                <w:szCs w:val="28"/>
                <w:highlight w:val="none"/>
                <w:lang w:val="en-US" w:eastAsia="zh-CN"/>
              </w:rPr>
            </w:pPr>
            <w:r>
              <w:rPr>
                <w:rFonts w:hint="eastAsia" w:cs="宋体"/>
                <w:b/>
                <w:bCs/>
                <w:color w:val="auto"/>
                <w:sz w:val="28"/>
                <w:szCs w:val="28"/>
                <w:highlight w:val="none"/>
                <w:lang w:val="en-US" w:eastAsia="zh-CN"/>
              </w:rPr>
              <w:t>培训平台要求</w:t>
            </w:r>
          </w:p>
          <w:p w14:paraId="7701977F">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cs="宋体"/>
                <w:b/>
                <w:bCs/>
                <w:color w:val="auto"/>
                <w:sz w:val="28"/>
                <w:szCs w:val="28"/>
                <w:highlight w:val="none"/>
                <w:lang w:val="en-US" w:eastAsia="zh-CN"/>
              </w:rPr>
            </w:pPr>
            <w:r>
              <w:rPr>
                <w:rFonts w:hint="eastAsia" w:cs="宋体"/>
                <w:b/>
                <w:bCs/>
                <w:color w:val="auto"/>
                <w:sz w:val="28"/>
                <w:szCs w:val="28"/>
                <w:highlight w:val="none"/>
                <w:lang w:val="en-US" w:eastAsia="zh-CN"/>
              </w:rPr>
              <w:t>远程培训学习平台须满足：</w:t>
            </w:r>
          </w:p>
          <w:p w14:paraId="121C01F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8"/>
                <w:szCs w:val="28"/>
                <w:highlight w:val="none"/>
              </w:rPr>
            </w:pPr>
            <w:r>
              <w:rPr>
                <w:rFonts w:hint="eastAsia" w:cs="宋体"/>
                <w:color w:val="auto"/>
                <w:sz w:val="28"/>
                <w:szCs w:val="28"/>
                <w:highlight w:val="none"/>
                <w:lang w:val="en-US" w:eastAsia="zh-CN"/>
              </w:rPr>
              <w:t>1、支持</w:t>
            </w:r>
            <w:r>
              <w:rPr>
                <w:rFonts w:hint="eastAsia" w:ascii="宋体" w:hAnsi="宋体" w:eastAsia="宋体" w:cs="宋体"/>
                <w:color w:val="auto"/>
                <w:sz w:val="28"/>
                <w:szCs w:val="28"/>
                <w:highlight w:val="none"/>
              </w:rPr>
              <w:t>单批400人</w:t>
            </w:r>
            <w:r>
              <w:rPr>
                <w:rFonts w:hint="eastAsia" w:ascii="宋体" w:hAnsi="宋体" w:eastAsia="宋体" w:cs="宋体"/>
                <w:color w:val="auto"/>
                <w:sz w:val="28"/>
                <w:szCs w:val="28"/>
                <w:highlight w:val="none"/>
                <w:lang w:val="en-US" w:eastAsia="zh-CN"/>
              </w:rPr>
              <w:t>以上同时在线学习</w:t>
            </w:r>
            <w:r>
              <w:rPr>
                <w:rFonts w:hint="eastAsia" w:ascii="宋体" w:hAnsi="宋体" w:eastAsia="宋体" w:cs="宋体"/>
                <w:color w:val="auto"/>
                <w:sz w:val="28"/>
                <w:szCs w:val="28"/>
                <w:highlight w:val="none"/>
              </w:rPr>
              <w:t>。</w:t>
            </w:r>
          </w:p>
          <w:p w14:paraId="1C47FEDF">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8"/>
                <w:szCs w:val="28"/>
                <w:highlight w:val="none"/>
              </w:rPr>
            </w:pPr>
            <w:r>
              <w:rPr>
                <w:rFonts w:hint="eastAsia" w:cs="宋体"/>
                <w:color w:val="auto"/>
                <w:sz w:val="28"/>
                <w:szCs w:val="28"/>
                <w:highlight w:val="none"/>
                <w:lang w:val="en-US" w:eastAsia="zh-CN"/>
              </w:rPr>
              <w:t>2、具备以下功能：①</w:t>
            </w:r>
            <w:r>
              <w:rPr>
                <w:rFonts w:hint="eastAsia" w:ascii="宋体" w:hAnsi="宋体" w:eastAsia="宋体" w:cs="宋体"/>
                <w:color w:val="auto"/>
                <w:sz w:val="28"/>
                <w:szCs w:val="28"/>
                <w:highlight w:val="none"/>
              </w:rPr>
              <w:t>在线学习、</w:t>
            </w:r>
            <w:r>
              <w:rPr>
                <w:rFonts w:hint="eastAsia" w:cs="宋体"/>
                <w:color w:val="auto"/>
                <w:sz w:val="28"/>
                <w:szCs w:val="28"/>
                <w:highlight w:val="none"/>
                <w:lang w:val="en-US" w:eastAsia="zh-CN"/>
              </w:rPr>
              <w:t>②</w:t>
            </w:r>
            <w:r>
              <w:rPr>
                <w:rFonts w:hint="eastAsia" w:ascii="宋体" w:hAnsi="宋体" w:eastAsia="宋体" w:cs="宋体"/>
                <w:color w:val="auto"/>
                <w:sz w:val="28"/>
                <w:szCs w:val="28"/>
                <w:highlight w:val="none"/>
              </w:rPr>
              <w:t>在线答疑、</w:t>
            </w:r>
            <w:r>
              <w:rPr>
                <w:rFonts w:hint="eastAsia" w:cs="宋体"/>
                <w:color w:val="auto"/>
                <w:sz w:val="28"/>
                <w:szCs w:val="28"/>
                <w:highlight w:val="none"/>
                <w:lang w:val="en-US" w:eastAsia="zh-CN"/>
              </w:rPr>
              <w:t>③</w:t>
            </w:r>
            <w:r>
              <w:rPr>
                <w:rFonts w:hint="eastAsia" w:ascii="宋体" w:hAnsi="宋体" w:eastAsia="宋体" w:cs="宋体"/>
                <w:color w:val="auto"/>
                <w:sz w:val="28"/>
                <w:szCs w:val="28"/>
                <w:highlight w:val="none"/>
              </w:rPr>
              <w:t>分级监控、</w:t>
            </w:r>
            <w:r>
              <w:rPr>
                <w:rFonts w:hint="eastAsia" w:cs="宋体"/>
                <w:color w:val="auto"/>
                <w:sz w:val="28"/>
                <w:szCs w:val="28"/>
                <w:highlight w:val="none"/>
                <w:lang w:val="en-US" w:eastAsia="zh-CN"/>
              </w:rPr>
              <w:t>④</w:t>
            </w:r>
            <w:r>
              <w:rPr>
                <w:rFonts w:hint="eastAsia" w:ascii="宋体" w:hAnsi="宋体" w:eastAsia="宋体" w:cs="宋体"/>
                <w:color w:val="auto"/>
                <w:sz w:val="28"/>
                <w:szCs w:val="28"/>
                <w:highlight w:val="none"/>
              </w:rPr>
              <w:t>多点互动、</w:t>
            </w:r>
            <w:r>
              <w:rPr>
                <w:rFonts w:hint="eastAsia" w:cs="宋体"/>
                <w:color w:val="auto"/>
                <w:sz w:val="28"/>
                <w:szCs w:val="28"/>
                <w:highlight w:val="none"/>
                <w:lang w:val="en-US" w:eastAsia="zh-CN"/>
              </w:rPr>
              <w:t>⑤</w:t>
            </w:r>
            <w:r>
              <w:rPr>
                <w:rFonts w:hint="eastAsia" w:ascii="宋体" w:hAnsi="宋体" w:eastAsia="宋体" w:cs="宋体"/>
                <w:color w:val="auto"/>
                <w:sz w:val="28"/>
                <w:szCs w:val="28"/>
                <w:highlight w:val="none"/>
              </w:rPr>
              <w:t>自动更新学习数据、</w:t>
            </w:r>
            <w:r>
              <w:rPr>
                <w:rFonts w:hint="eastAsia" w:cs="宋体"/>
                <w:color w:val="auto"/>
                <w:sz w:val="28"/>
                <w:szCs w:val="28"/>
                <w:highlight w:val="none"/>
                <w:lang w:val="en-US" w:eastAsia="zh-CN"/>
              </w:rPr>
              <w:t>⑥</w:t>
            </w:r>
            <w:r>
              <w:rPr>
                <w:rFonts w:hint="eastAsia" w:ascii="宋体" w:hAnsi="宋体" w:eastAsia="宋体" w:cs="宋体"/>
                <w:color w:val="auto"/>
                <w:sz w:val="28"/>
                <w:szCs w:val="28"/>
                <w:highlight w:val="none"/>
              </w:rPr>
              <w:t>服务专享（赣州独立页面和服务器）</w:t>
            </w:r>
            <w:r>
              <w:rPr>
                <w:rFonts w:hint="eastAsia" w:cs="宋体"/>
                <w:color w:val="auto"/>
                <w:sz w:val="28"/>
                <w:szCs w:val="28"/>
                <w:highlight w:val="none"/>
                <w:lang w:eastAsia="zh-CN"/>
              </w:rPr>
              <w:t>、</w:t>
            </w:r>
            <w:r>
              <w:rPr>
                <w:rFonts w:hint="eastAsia" w:cs="宋体"/>
                <w:color w:val="auto"/>
                <w:sz w:val="28"/>
                <w:szCs w:val="28"/>
                <w:highlight w:val="none"/>
                <w:lang w:val="en-US" w:eastAsia="zh-CN"/>
              </w:rPr>
              <w:t>⑦</w:t>
            </w:r>
            <w:r>
              <w:rPr>
                <w:rFonts w:hint="eastAsia" w:ascii="宋体" w:hAnsi="宋体" w:eastAsia="宋体" w:cs="宋体"/>
                <w:color w:val="auto"/>
                <w:sz w:val="28"/>
                <w:szCs w:val="28"/>
                <w:highlight w:val="none"/>
              </w:rPr>
              <w:t>支持手机移动学习</w:t>
            </w:r>
            <w:r>
              <w:rPr>
                <w:rFonts w:hint="eastAsia" w:cs="宋体"/>
                <w:color w:val="auto"/>
                <w:sz w:val="28"/>
                <w:szCs w:val="28"/>
                <w:highlight w:val="none"/>
                <w:lang w:eastAsia="zh-CN"/>
              </w:rPr>
              <w:t>、</w:t>
            </w:r>
            <w:r>
              <w:rPr>
                <w:rFonts w:hint="eastAsia" w:cs="宋体"/>
                <w:color w:val="auto"/>
                <w:sz w:val="28"/>
                <w:szCs w:val="28"/>
                <w:highlight w:val="none"/>
                <w:lang w:val="en-US" w:eastAsia="zh-CN"/>
              </w:rPr>
              <w:t>⑧</w:t>
            </w:r>
            <w:r>
              <w:rPr>
                <w:rFonts w:hint="eastAsia" w:ascii="宋体" w:hAnsi="宋体" w:eastAsia="宋体" w:cs="宋体"/>
                <w:color w:val="auto"/>
                <w:sz w:val="28"/>
                <w:szCs w:val="28"/>
                <w:highlight w:val="none"/>
              </w:rPr>
              <w:t>学习课件要清晰流畅</w:t>
            </w:r>
            <w:r>
              <w:rPr>
                <w:rFonts w:hint="eastAsia" w:cs="宋体"/>
                <w:color w:val="auto"/>
                <w:sz w:val="28"/>
                <w:szCs w:val="28"/>
                <w:highlight w:val="none"/>
                <w:lang w:eastAsia="zh-CN"/>
              </w:rPr>
              <w:t>、</w:t>
            </w:r>
            <w:r>
              <w:rPr>
                <w:rFonts w:hint="eastAsia" w:cs="宋体"/>
                <w:color w:val="auto"/>
                <w:sz w:val="28"/>
                <w:szCs w:val="28"/>
                <w:highlight w:val="none"/>
                <w:lang w:val="en-US" w:eastAsia="zh-CN"/>
              </w:rPr>
              <w:t>⑨能上传结业证书</w:t>
            </w:r>
            <w:r>
              <w:rPr>
                <w:rFonts w:hint="eastAsia" w:ascii="宋体" w:hAnsi="宋体" w:eastAsia="宋体" w:cs="宋体"/>
                <w:color w:val="auto"/>
                <w:sz w:val="28"/>
                <w:szCs w:val="28"/>
                <w:highlight w:val="none"/>
              </w:rPr>
              <w:t>。</w:t>
            </w:r>
          </w:p>
          <w:p w14:paraId="1C89F6A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lang w:val="en-US" w:eastAsia="zh-CN"/>
              </w:rPr>
              <w:t>※※※※</w:t>
            </w:r>
            <w:r>
              <w:rPr>
                <w:rFonts w:hint="eastAsia" w:cs="宋体"/>
                <w:b/>
                <w:bCs/>
                <w:color w:val="auto"/>
                <w:sz w:val="28"/>
                <w:szCs w:val="28"/>
                <w:highlight w:val="none"/>
                <w:lang w:val="en-US" w:eastAsia="zh-CN"/>
              </w:rPr>
              <w:t>响应文件中须提供：</w:t>
            </w:r>
            <w:r>
              <w:rPr>
                <w:rFonts w:hint="eastAsia" w:ascii="宋体" w:hAnsi="宋体" w:eastAsia="宋体" w:cs="宋体"/>
                <w:b/>
                <w:bCs/>
                <w:color w:val="auto"/>
                <w:sz w:val="28"/>
                <w:szCs w:val="28"/>
                <w:highlight w:val="none"/>
              </w:rPr>
              <w:t>平台功能截图加盖响应供应商公章</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未提供或提供无效做无效标处理</w:t>
            </w:r>
            <w:r>
              <w:rPr>
                <w:rFonts w:hint="eastAsia" w:ascii="宋体" w:hAnsi="宋体" w:eastAsia="宋体" w:cs="宋体"/>
                <w:b/>
                <w:bCs/>
                <w:color w:val="auto"/>
                <w:sz w:val="28"/>
                <w:szCs w:val="28"/>
                <w:highlight w:val="none"/>
              </w:rPr>
              <w:t>。</w:t>
            </w:r>
          </w:p>
          <w:p w14:paraId="4246CEBA">
            <w:pPr>
              <w:pStyle w:val="5"/>
              <w:keepNext w:val="0"/>
              <w:keepLines w:val="0"/>
              <w:pageBreakBefore w:val="0"/>
              <w:widowControl/>
              <w:numPr>
                <w:ilvl w:val="0"/>
                <w:numId w:val="2"/>
              </w:numPr>
              <w:kinsoku/>
              <w:wordWrap/>
              <w:overflowPunct/>
              <w:topLinePunct w:val="0"/>
              <w:autoSpaceDE w:val="0"/>
              <w:autoSpaceDN w:val="0"/>
              <w:bidi w:val="0"/>
              <w:adjustRightInd w:val="0"/>
              <w:snapToGrid w:val="0"/>
              <w:spacing w:line="276" w:lineRule="auto"/>
              <w:ind w:left="0" w:leftChars="0" w:firstLine="0" w:firstLineChars="0"/>
              <w:textAlignment w:val="baseline"/>
              <w:rPr>
                <w:rFonts w:hint="eastAsia" w:ascii="宋体" w:hAnsi="宋体" w:eastAsia="宋体" w:cs="宋体"/>
                <w:b/>
                <w:bCs/>
                <w:color w:val="auto"/>
                <w:sz w:val="28"/>
                <w:szCs w:val="28"/>
                <w:highlight w:val="none"/>
              </w:rPr>
            </w:pPr>
            <w:r>
              <w:rPr>
                <w:rFonts w:hint="eastAsia" w:ascii="宋体" w:hAnsi="宋体" w:eastAsia="宋体" w:cs="宋体"/>
                <w:b/>
                <w:bCs/>
                <w:color w:val="auto"/>
                <w:sz w:val="28"/>
                <w:szCs w:val="28"/>
                <w:highlight w:val="none"/>
              </w:rPr>
              <w:t>师资要求</w:t>
            </w:r>
          </w:p>
          <w:p w14:paraId="4A0F6EA4">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ind w:leftChars="0"/>
              <w:textAlignment w:val="baseline"/>
              <w:rPr>
                <w:rFonts w:hint="eastAsia" w:ascii="宋体" w:hAnsi="宋体" w:eastAsia="宋体" w:cs="宋体"/>
                <w:color w:val="auto"/>
                <w:sz w:val="28"/>
                <w:szCs w:val="28"/>
                <w:highlight w:val="none"/>
              </w:rPr>
            </w:pPr>
            <w:r>
              <w:rPr>
                <w:rFonts w:hint="eastAsia" w:ascii="宋体" w:hAnsi="宋体" w:eastAsia="宋体" w:cs="宋体"/>
                <w:color w:val="auto"/>
                <w:sz w:val="28"/>
                <w:szCs w:val="28"/>
                <w:highlight w:val="none"/>
              </w:rPr>
              <w:t>为保证培训质量，面授专家团队</w:t>
            </w:r>
            <w:r>
              <w:rPr>
                <w:rFonts w:hint="eastAsia" w:cs="宋体"/>
                <w:color w:val="auto"/>
                <w:sz w:val="28"/>
                <w:szCs w:val="28"/>
                <w:highlight w:val="none"/>
                <w:lang w:val="en-US" w:eastAsia="zh-CN"/>
              </w:rPr>
              <w:t>须满足：</w:t>
            </w:r>
          </w:p>
          <w:p w14:paraId="710332E2">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8"/>
                <w:szCs w:val="28"/>
                <w:highlight w:val="none"/>
              </w:rPr>
            </w:pPr>
            <w:r>
              <w:rPr>
                <w:rFonts w:hint="eastAsia" w:cs="宋体"/>
                <w:color w:val="auto"/>
                <w:sz w:val="28"/>
                <w:szCs w:val="28"/>
                <w:highlight w:val="none"/>
                <w:lang w:val="en-US" w:eastAsia="zh-CN"/>
              </w:rPr>
              <w:t>1、</w:t>
            </w:r>
            <w:r>
              <w:rPr>
                <w:rFonts w:hint="eastAsia" w:ascii="宋体" w:hAnsi="宋体" w:eastAsia="宋体" w:cs="宋体"/>
                <w:color w:val="auto"/>
                <w:sz w:val="28"/>
                <w:szCs w:val="28"/>
                <w:highlight w:val="none"/>
              </w:rPr>
              <w:t>成员要熟悉国家中小学心理健康教育相关政策,有实践经验的专家；</w:t>
            </w:r>
          </w:p>
          <w:p w14:paraId="1ADBB8AA">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b w:val="0"/>
                <w:bCs w:val="0"/>
                <w:color w:val="auto"/>
                <w:sz w:val="28"/>
                <w:szCs w:val="28"/>
                <w:highlight w:val="none"/>
                <w:lang w:eastAsia="zh-CN"/>
              </w:rPr>
            </w:pPr>
            <w:r>
              <w:rPr>
                <w:rFonts w:hint="eastAsia" w:cs="宋体"/>
                <w:b w:val="0"/>
                <w:bCs w:val="0"/>
                <w:color w:val="auto"/>
                <w:sz w:val="28"/>
                <w:szCs w:val="28"/>
                <w:highlight w:val="none"/>
                <w:lang w:val="en-US" w:eastAsia="zh-CN"/>
              </w:rPr>
              <w:t>2、每个人</w:t>
            </w:r>
            <w:r>
              <w:rPr>
                <w:rFonts w:hint="eastAsia" w:ascii="宋体" w:hAnsi="宋体" w:eastAsia="宋体" w:cs="宋体"/>
                <w:b w:val="0"/>
                <w:bCs w:val="0"/>
                <w:color w:val="auto"/>
                <w:sz w:val="28"/>
                <w:szCs w:val="28"/>
                <w:highlight w:val="none"/>
              </w:rPr>
              <w:t>须</w:t>
            </w:r>
            <w:r>
              <w:rPr>
                <w:rFonts w:hint="eastAsia" w:cs="宋体"/>
                <w:b w:val="0"/>
                <w:bCs w:val="0"/>
                <w:color w:val="auto"/>
                <w:sz w:val="28"/>
                <w:szCs w:val="28"/>
                <w:highlight w:val="none"/>
                <w:lang w:val="en-US" w:eastAsia="zh-CN"/>
              </w:rPr>
              <w:t>具备</w:t>
            </w:r>
            <w:r>
              <w:rPr>
                <w:rFonts w:hint="eastAsia" w:ascii="宋体" w:hAnsi="宋体" w:eastAsia="宋体" w:cs="宋体"/>
                <w:b w:val="0"/>
                <w:bCs w:val="0"/>
                <w:color w:val="auto"/>
                <w:sz w:val="28"/>
                <w:szCs w:val="28"/>
                <w:highlight w:val="none"/>
              </w:rPr>
              <w:t>本科及以上学历</w:t>
            </w:r>
            <w:r>
              <w:rPr>
                <w:rFonts w:hint="eastAsia" w:cs="宋体"/>
                <w:b w:val="0"/>
                <w:bCs w:val="0"/>
                <w:color w:val="auto"/>
                <w:sz w:val="28"/>
                <w:szCs w:val="28"/>
                <w:highlight w:val="none"/>
                <w:lang w:eastAsia="zh-CN"/>
              </w:rPr>
              <w:t>，</w:t>
            </w:r>
            <w:r>
              <w:rPr>
                <w:rFonts w:hint="eastAsia" w:cs="宋体"/>
                <w:b w:val="0"/>
                <w:bCs w:val="0"/>
                <w:color w:val="auto"/>
                <w:sz w:val="28"/>
                <w:szCs w:val="28"/>
                <w:highlight w:val="none"/>
                <w:lang w:val="en-US" w:eastAsia="zh-CN"/>
              </w:rPr>
              <w:t>且须具有</w:t>
            </w:r>
            <w:r>
              <w:rPr>
                <w:rFonts w:hint="eastAsia" w:ascii="宋体" w:hAnsi="宋体" w:eastAsia="宋体" w:cs="宋体"/>
                <w:b w:val="0"/>
                <w:bCs w:val="0"/>
                <w:color w:val="auto"/>
                <w:sz w:val="28"/>
                <w:szCs w:val="28"/>
                <w:highlight w:val="none"/>
              </w:rPr>
              <w:t>高级职称</w:t>
            </w:r>
            <w:r>
              <w:rPr>
                <w:rFonts w:hint="eastAsia" w:cs="宋体"/>
                <w:b w:val="0"/>
                <w:bCs w:val="0"/>
                <w:color w:val="auto"/>
                <w:sz w:val="28"/>
                <w:szCs w:val="28"/>
                <w:highlight w:val="none"/>
                <w:lang w:eastAsia="zh-CN"/>
              </w:rPr>
              <w:t>；</w:t>
            </w:r>
          </w:p>
          <w:p w14:paraId="53EA4CE8">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default" w:ascii="宋体" w:hAnsi="宋体" w:eastAsia="宋体" w:cs="宋体"/>
                <w:b w:val="0"/>
                <w:bCs w:val="0"/>
                <w:color w:val="auto"/>
                <w:sz w:val="28"/>
                <w:szCs w:val="28"/>
                <w:highlight w:val="none"/>
                <w:lang w:val="en-US" w:eastAsia="zh-CN"/>
              </w:rPr>
            </w:pPr>
            <w:r>
              <w:rPr>
                <w:rFonts w:hint="eastAsia" w:cs="宋体"/>
                <w:b w:val="0"/>
                <w:bCs w:val="0"/>
                <w:color w:val="auto"/>
                <w:sz w:val="28"/>
                <w:szCs w:val="28"/>
                <w:highlight w:val="none"/>
                <w:lang w:val="en-US" w:eastAsia="zh-CN"/>
              </w:rPr>
              <w:t>3、专家组</w:t>
            </w:r>
            <w:r>
              <w:rPr>
                <w:rFonts w:hint="eastAsia" w:cs="宋体"/>
                <w:b/>
                <w:bCs/>
                <w:color w:val="auto"/>
                <w:sz w:val="28"/>
                <w:szCs w:val="28"/>
                <w:highlight w:val="none"/>
                <w:lang w:val="en-US" w:eastAsia="zh-CN"/>
              </w:rPr>
              <w:t>不少于5人</w:t>
            </w:r>
            <w:r>
              <w:rPr>
                <w:rFonts w:hint="eastAsia" w:cs="宋体"/>
                <w:b w:val="0"/>
                <w:bCs w:val="0"/>
                <w:color w:val="auto"/>
                <w:sz w:val="28"/>
                <w:szCs w:val="28"/>
                <w:highlight w:val="none"/>
                <w:lang w:val="en-US" w:eastAsia="zh-CN"/>
              </w:rPr>
              <w:t>，设组长1名。</w:t>
            </w:r>
          </w:p>
          <w:p w14:paraId="774B3B04">
            <w:pPr>
              <w:pStyle w:val="5"/>
              <w:keepNext w:val="0"/>
              <w:keepLines w:val="0"/>
              <w:pageBreakBefore w:val="0"/>
              <w:widowControl/>
              <w:numPr>
                <w:ilvl w:val="0"/>
                <w:numId w:val="0"/>
              </w:numPr>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8"/>
                <w:szCs w:val="28"/>
                <w:highlight w:val="none"/>
                <w:lang w:eastAsia="zh-CN"/>
              </w:rPr>
            </w:pPr>
            <w:r>
              <w:rPr>
                <w:rFonts w:hint="eastAsia" w:ascii="宋体" w:hAnsi="宋体" w:eastAsia="宋体" w:cs="宋体"/>
                <w:b/>
                <w:bCs/>
                <w:color w:val="auto"/>
                <w:sz w:val="28"/>
                <w:szCs w:val="28"/>
                <w:highlight w:val="none"/>
                <w:lang w:val="en-US" w:eastAsia="zh-CN"/>
              </w:rPr>
              <w:t>※※※※</w:t>
            </w:r>
            <w:r>
              <w:rPr>
                <w:rFonts w:hint="eastAsia" w:cs="宋体"/>
                <w:b/>
                <w:bCs/>
                <w:color w:val="auto"/>
                <w:sz w:val="28"/>
                <w:szCs w:val="28"/>
                <w:highlight w:val="none"/>
                <w:lang w:val="en-US" w:eastAsia="zh-CN"/>
              </w:rPr>
              <w:t>响应文件中须提供：专家组成员清单（包括但不限于姓名、性别、培训业务、职业证书等）</w:t>
            </w:r>
            <w:r>
              <w:rPr>
                <w:rFonts w:hint="eastAsia" w:ascii="宋体" w:hAnsi="宋体" w:eastAsia="宋体" w:cs="宋体"/>
                <w:b/>
                <w:bCs/>
                <w:color w:val="auto"/>
                <w:sz w:val="28"/>
                <w:szCs w:val="28"/>
                <w:highlight w:val="none"/>
              </w:rPr>
              <w:t>、学历证书</w:t>
            </w:r>
            <w:r>
              <w:rPr>
                <w:rFonts w:hint="eastAsia" w:cs="宋体"/>
                <w:b/>
                <w:bCs/>
                <w:color w:val="auto"/>
                <w:sz w:val="28"/>
                <w:szCs w:val="28"/>
                <w:highlight w:val="none"/>
                <w:lang w:val="en-US" w:eastAsia="zh-CN"/>
              </w:rPr>
              <w:t>原件彩色扫描件</w:t>
            </w:r>
            <w:r>
              <w:rPr>
                <w:rFonts w:hint="eastAsia" w:ascii="宋体" w:hAnsi="宋体" w:eastAsia="宋体" w:cs="宋体"/>
                <w:b/>
                <w:bCs/>
                <w:color w:val="auto"/>
                <w:sz w:val="28"/>
                <w:szCs w:val="28"/>
                <w:highlight w:val="none"/>
              </w:rPr>
              <w:t>、职称证书</w:t>
            </w:r>
            <w:r>
              <w:rPr>
                <w:rFonts w:hint="eastAsia" w:cs="宋体"/>
                <w:b/>
                <w:bCs/>
                <w:color w:val="auto"/>
                <w:sz w:val="28"/>
                <w:szCs w:val="28"/>
                <w:highlight w:val="none"/>
                <w:lang w:val="en-US" w:eastAsia="zh-CN"/>
              </w:rPr>
              <w:t>原件彩色扫描件</w:t>
            </w:r>
            <w:r>
              <w:rPr>
                <w:rFonts w:hint="eastAsia" w:ascii="宋体" w:hAnsi="宋体" w:eastAsia="宋体" w:cs="宋体"/>
                <w:b/>
                <w:bCs/>
                <w:color w:val="auto"/>
                <w:sz w:val="28"/>
                <w:szCs w:val="28"/>
                <w:highlight w:val="none"/>
              </w:rPr>
              <w:t>，以上材料均</w:t>
            </w:r>
            <w:r>
              <w:rPr>
                <w:rFonts w:hint="eastAsia" w:cs="宋体"/>
                <w:b/>
                <w:bCs/>
                <w:color w:val="auto"/>
                <w:sz w:val="28"/>
                <w:szCs w:val="28"/>
                <w:highlight w:val="none"/>
                <w:lang w:val="en-US" w:eastAsia="zh-CN"/>
              </w:rPr>
              <w:t>须</w:t>
            </w:r>
            <w:r>
              <w:rPr>
                <w:rFonts w:hint="eastAsia" w:ascii="宋体" w:hAnsi="宋体" w:eastAsia="宋体" w:cs="宋体"/>
                <w:b/>
                <w:bCs/>
                <w:color w:val="auto"/>
                <w:sz w:val="28"/>
                <w:szCs w:val="28"/>
                <w:highlight w:val="none"/>
              </w:rPr>
              <w:t>加盖响应供应商公章</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未提供或提供无效做无效标处理</w:t>
            </w:r>
            <w:r>
              <w:rPr>
                <w:rFonts w:hint="eastAsia" w:ascii="宋体" w:hAnsi="宋体" w:eastAsia="宋体" w:cs="宋体"/>
                <w:b/>
                <w:bCs/>
                <w:color w:val="auto"/>
                <w:sz w:val="28"/>
                <w:szCs w:val="28"/>
                <w:highlight w:val="none"/>
              </w:rPr>
              <w:t>。</w:t>
            </w:r>
          </w:p>
          <w:p w14:paraId="6B7C422E">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default" w:ascii="宋体" w:hAnsi="宋体" w:eastAsia="宋体" w:cs="宋体"/>
                <w:color w:val="auto"/>
                <w:sz w:val="28"/>
                <w:szCs w:val="28"/>
                <w:highlight w:val="none"/>
                <w:lang w:val="en-US" w:eastAsia="zh-CN"/>
              </w:rPr>
            </w:pP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三</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rPr>
              <w:t>面授</w:t>
            </w:r>
            <w:r>
              <w:rPr>
                <w:rFonts w:hint="eastAsia" w:ascii="宋体" w:hAnsi="宋体" w:eastAsia="宋体" w:cs="宋体"/>
                <w:b/>
                <w:bCs/>
                <w:color w:val="auto"/>
                <w:sz w:val="28"/>
                <w:szCs w:val="28"/>
                <w:highlight w:val="none"/>
                <w:lang w:val="en-US" w:eastAsia="zh-CN"/>
              </w:rPr>
              <w:t>培训具体要求：</w:t>
            </w:r>
          </w:p>
          <w:p w14:paraId="1A3AAE2D">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8"/>
                <w:szCs w:val="28"/>
                <w:highlight w:val="none"/>
              </w:rPr>
            </w:pPr>
            <w:r>
              <w:rPr>
                <w:rFonts w:hint="eastAsia" w:ascii="宋体" w:hAnsi="宋体" w:eastAsia="宋体" w:cs="宋体"/>
                <w:b/>
                <w:bCs/>
                <w:color w:val="auto"/>
                <w:sz w:val="28"/>
                <w:szCs w:val="28"/>
                <w:highlight w:val="none"/>
                <w:lang w:val="en-US" w:eastAsia="zh-CN"/>
              </w:rPr>
              <w:t>1、培训前准备：</w:t>
            </w:r>
            <w:r>
              <w:rPr>
                <w:rFonts w:hint="eastAsia" w:ascii="宋体" w:hAnsi="宋体" w:eastAsia="宋体" w:cs="宋体"/>
                <w:color w:val="auto"/>
                <w:sz w:val="28"/>
                <w:szCs w:val="28"/>
                <w:highlight w:val="none"/>
              </w:rPr>
              <w:t>组长牵头集中备课，制订培训方案（</w:t>
            </w:r>
            <w:r>
              <w:rPr>
                <w:rFonts w:hint="eastAsia" w:ascii="宋体" w:hAnsi="宋体" w:eastAsia="宋体" w:cs="宋体"/>
                <w:color w:val="auto"/>
                <w:sz w:val="28"/>
                <w:szCs w:val="28"/>
                <w:highlight w:val="none"/>
                <w:lang w:val="en-US" w:eastAsia="zh-CN"/>
              </w:rPr>
              <w:t>含成员名单、</w:t>
            </w:r>
            <w:r>
              <w:rPr>
                <w:rFonts w:hint="eastAsia" w:ascii="宋体" w:hAnsi="宋体" w:eastAsia="宋体" w:cs="宋体"/>
                <w:color w:val="auto"/>
                <w:sz w:val="28"/>
                <w:szCs w:val="28"/>
                <w:highlight w:val="none"/>
              </w:rPr>
              <w:t>分工、课程设计、教案、课件等）。培训开始前两周向采购人提交备课证明及方案，经采购人审核（含培训质量、意识形态）通过后方可执行。</w:t>
            </w:r>
          </w:p>
          <w:p w14:paraId="55571E6D">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default" w:ascii="宋体" w:hAnsi="宋体" w:eastAsia="宋体" w:cs="宋体"/>
                <w:color w:val="auto"/>
                <w:sz w:val="28"/>
                <w:szCs w:val="28"/>
                <w:highlight w:val="none"/>
                <w:lang w:val="en-US" w:eastAsia="zh-CN"/>
              </w:rPr>
            </w:pPr>
            <w:r>
              <w:rPr>
                <w:rFonts w:hint="eastAsia" w:ascii="宋体" w:hAnsi="宋体" w:eastAsia="宋体" w:cs="宋体"/>
                <w:b/>
                <w:bCs/>
                <w:color w:val="auto"/>
                <w:sz w:val="28"/>
                <w:szCs w:val="28"/>
                <w:highlight w:val="none"/>
                <w:lang w:val="en-US" w:eastAsia="zh-CN"/>
              </w:rPr>
              <w:t>2、授课人员：</w:t>
            </w:r>
            <w:r>
              <w:rPr>
                <w:rFonts w:hint="eastAsia" w:ascii="宋体" w:hAnsi="宋体" w:eastAsia="宋体" w:cs="宋体"/>
                <w:color w:val="auto"/>
                <w:sz w:val="28"/>
                <w:szCs w:val="28"/>
                <w:highlight w:val="none"/>
                <w:lang w:val="en-US" w:eastAsia="zh-CN"/>
              </w:rPr>
              <w:t>须按最终审核通过的方案中的专家名单授课，除不可抗力外不得更换；如需更换须征得采购人同意，更换人员须具有同等或高于方案名单中要求的资格。</w:t>
            </w:r>
          </w:p>
          <w:p w14:paraId="509E13BC">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8"/>
                <w:szCs w:val="28"/>
                <w:highlight w:val="none"/>
              </w:rPr>
            </w:pPr>
            <w:r>
              <w:rPr>
                <w:rFonts w:hint="eastAsia" w:ascii="宋体" w:hAnsi="宋体" w:eastAsia="宋体" w:cs="宋体"/>
                <w:b/>
                <w:bCs/>
                <w:color w:val="auto"/>
                <w:sz w:val="28"/>
                <w:szCs w:val="28"/>
                <w:highlight w:val="none"/>
                <w:lang w:val="en-US" w:eastAsia="zh-CN"/>
              </w:rPr>
              <w:t>3、培训形式：</w:t>
            </w:r>
            <w:r>
              <w:rPr>
                <w:rFonts w:hint="eastAsia" w:ascii="宋体" w:hAnsi="宋体" w:eastAsia="宋体" w:cs="宋体"/>
                <w:b w:val="0"/>
                <w:bCs w:val="0"/>
                <w:color w:val="auto"/>
                <w:sz w:val="28"/>
                <w:szCs w:val="28"/>
                <w:highlight w:val="none"/>
                <w:lang w:val="en-US" w:eastAsia="zh-CN"/>
              </w:rPr>
              <w:t>①</w:t>
            </w:r>
            <w:r>
              <w:rPr>
                <w:rFonts w:hint="eastAsia" w:ascii="宋体" w:hAnsi="宋体" w:eastAsia="宋体" w:cs="宋体"/>
                <w:color w:val="auto"/>
                <w:sz w:val="28"/>
                <w:szCs w:val="28"/>
                <w:highlight w:val="none"/>
              </w:rPr>
              <w:t>大课讲授</w:t>
            </w:r>
            <w:r>
              <w:rPr>
                <w:rFonts w:hint="eastAsia" w:ascii="宋体" w:hAnsi="宋体" w:eastAsia="宋体" w:cs="宋体"/>
                <w:color w:val="auto"/>
                <w:sz w:val="28"/>
                <w:szCs w:val="28"/>
                <w:highlight w:val="none"/>
                <w:lang w:eastAsia="zh-CN"/>
              </w:rPr>
              <w:t>：</w:t>
            </w:r>
            <w:r>
              <w:rPr>
                <w:rFonts w:hint="eastAsia" w:ascii="宋体" w:hAnsi="宋体" w:eastAsia="宋体" w:cs="宋体"/>
                <w:color w:val="auto"/>
                <w:sz w:val="28"/>
                <w:szCs w:val="28"/>
                <w:highlight w:val="none"/>
                <w:lang w:val="en-US" w:eastAsia="zh-CN"/>
              </w:rPr>
              <w:t>理论讲授及学员体验演示</w:t>
            </w:r>
            <w:r>
              <w:rPr>
                <w:rFonts w:hint="eastAsia" w:ascii="宋体" w:hAnsi="宋体" w:eastAsia="宋体" w:cs="宋体"/>
                <w:color w:val="auto"/>
                <w:sz w:val="28"/>
                <w:szCs w:val="28"/>
                <w:highlight w:val="none"/>
              </w:rPr>
              <w:t>；</w:t>
            </w:r>
            <w:r>
              <w:rPr>
                <w:rFonts w:hint="eastAsia" w:ascii="宋体" w:hAnsi="宋体" w:eastAsia="宋体" w:cs="宋体"/>
                <w:color w:val="auto"/>
                <w:sz w:val="28"/>
                <w:szCs w:val="28"/>
                <w:highlight w:val="none"/>
                <w:lang w:val="en-US" w:eastAsia="zh-CN"/>
              </w:rPr>
              <w:t>②</w:t>
            </w:r>
            <w:r>
              <w:rPr>
                <w:rFonts w:hint="eastAsia" w:ascii="宋体" w:hAnsi="宋体" w:eastAsia="宋体" w:cs="宋体"/>
                <w:color w:val="auto"/>
                <w:sz w:val="28"/>
                <w:szCs w:val="28"/>
                <w:highlight w:val="none"/>
              </w:rPr>
              <w:t>小班实操</w:t>
            </w:r>
            <w:r>
              <w:rPr>
                <w:rFonts w:hint="eastAsia" w:ascii="宋体" w:hAnsi="宋体" w:eastAsia="宋体" w:cs="宋体"/>
                <w:color w:val="auto"/>
                <w:sz w:val="28"/>
                <w:szCs w:val="28"/>
                <w:highlight w:val="none"/>
                <w:lang w:eastAsia="zh-CN"/>
              </w:rPr>
              <w:t>：分组体验练习，专家及助教进行指导、答疑、点评，确保学员能回校开展沙盘游戏、团辅等工作。</w:t>
            </w:r>
          </w:p>
          <w:p w14:paraId="2B997838">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8"/>
                <w:szCs w:val="28"/>
                <w:highlight w:val="none"/>
              </w:rPr>
            </w:pPr>
            <w:r>
              <w:rPr>
                <w:rFonts w:hint="eastAsia" w:ascii="宋体" w:hAnsi="宋体" w:eastAsia="宋体" w:cs="宋体"/>
                <w:b/>
                <w:bCs/>
                <w:color w:val="auto"/>
                <w:sz w:val="28"/>
                <w:szCs w:val="28"/>
                <w:highlight w:val="none"/>
                <w:lang w:val="en-US" w:eastAsia="zh-CN"/>
              </w:rPr>
              <w:t>4、组长职责：</w:t>
            </w:r>
            <w:r>
              <w:rPr>
                <w:rFonts w:hint="eastAsia" w:ascii="宋体" w:hAnsi="宋体" w:eastAsia="宋体" w:cs="宋体"/>
                <w:color w:val="auto"/>
                <w:sz w:val="28"/>
                <w:szCs w:val="28"/>
                <w:highlight w:val="none"/>
              </w:rPr>
              <w:t>组长对培训全过程现场进行专业指导并授课。</w:t>
            </w:r>
          </w:p>
          <w:p w14:paraId="429FBDF8">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color w:val="auto"/>
                <w:sz w:val="28"/>
                <w:szCs w:val="28"/>
                <w:highlight w:val="none"/>
              </w:rPr>
            </w:pPr>
            <w:r>
              <w:rPr>
                <w:rFonts w:hint="eastAsia" w:ascii="宋体" w:hAnsi="宋体" w:eastAsia="宋体" w:cs="宋体"/>
                <w:b/>
                <w:bCs/>
                <w:color w:val="auto"/>
                <w:sz w:val="28"/>
                <w:szCs w:val="28"/>
                <w:highlight w:val="none"/>
                <w:lang w:val="en-US" w:eastAsia="zh-CN"/>
              </w:rPr>
              <w:t>5、其他证明材料：</w:t>
            </w:r>
            <w:r>
              <w:rPr>
                <w:rFonts w:hint="eastAsia" w:ascii="宋体" w:hAnsi="宋体" w:eastAsia="宋体" w:cs="宋体"/>
                <w:color w:val="auto"/>
                <w:sz w:val="28"/>
                <w:szCs w:val="28"/>
                <w:highlight w:val="none"/>
              </w:rPr>
              <w:t>专家组成员参与心理健康培训的信息及相关任职证件。</w:t>
            </w:r>
          </w:p>
          <w:p w14:paraId="6D530E7F">
            <w:pPr>
              <w:keepNext w:val="0"/>
              <w:keepLines w:val="0"/>
              <w:pageBreakBefore w:val="0"/>
              <w:widowControl/>
              <w:kinsoku/>
              <w:wordWrap/>
              <w:overflowPunct/>
              <w:topLinePunct w:val="0"/>
              <w:autoSpaceDE w:val="0"/>
              <w:autoSpaceDN w:val="0"/>
              <w:bidi w:val="0"/>
              <w:adjustRightInd w:val="0"/>
              <w:snapToGrid w:val="0"/>
              <w:spacing w:line="276" w:lineRule="auto"/>
              <w:textAlignment w:val="baseline"/>
              <w:rPr>
                <w:rFonts w:hint="eastAsia" w:ascii="宋体" w:hAnsi="宋体" w:eastAsia="宋体" w:cs="宋体"/>
                <w:b/>
                <w:bCs/>
                <w:color w:val="C00000"/>
                <w:sz w:val="24"/>
                <w:szCs w:val="24"/>
                <w:highlight w:val="none"/>
              </w:rPr>
            </w:pPr>
            <w:r>
              <w:rPr>
                <w:rFonts w:hint="eastAsia" w:ascii="宋体" w:hAnsi="宋体" w:eastAsia="宋体" w:cs="宋体"/>
                <w:b/>
                <w:bCs/>
                <w:color w:val="auto"/>
                <w:sz w:val="28"/>
                <w:szCs w:val="28"/>
                <w:highlight w:val="none"/>
                <w:lang w:val="en-US" w:eastAsia="zh-CN"/>
              </w:rPr>
              <w:t>※※※※响应文件中须提供（以下三项任选其一）：拟派组长的资历证明材料——a.</w:t>
            </w:r>
            <w:r>
              <w:rPr>
                <w:rFonts w:hint="eastAsia" w:ascii="宋体" w:hAnsi="宋体" w:eastAsia="宋体" w:cs="宋体"/>
                <w:b/>
                <w:bCs/>
                <w:color w:val="auto"/>
                <w:sz w:val="28"/>
                <w:szCs w:val="28"/>
                <w:highlight w:val="none"/>
              </w:rPr>
              <w:t>任职文件复印件</w:t>
            </w:r>
            <w:r>
              <w:rPr>
                <w:rFonts w:hint="eastAsia" w:ascii="宋体" w:hAnsi="宋体" w:eastAsia="宋体" w:cs="宋体"/>
                <w:b/>
                <w:bCs/>
                <w:color w:val="auto"/>
                <w:sz w:val="28"/>
                <w:szCs w:val="28"/>
                <w:highlight w:val="none"/>
                <w:lang w:val="en-US" w:eastAsia="zh-CN"/>
              </w:rPr>
              <w:t>；b.</w:t>
            </w:r>
            <w:r>
              <w:rPr>
                <w:rFonts w:hint="eastAsia" w:ascii="宋体" w:hAnsi="宋体" w:eastAsia="宋体" w:cs="宋体"/>
                <w:b/>
                <w:bCs/>
                <w:color w:val="auto"/>
                <w:sz w:val="28"/>
                <w:szCs w:val="28"/>
                <w:highlight w:val="none"/>
              </w:rPr>
              <w:t>资格证书复印件</w:t>
            </w:r>
            <w:r>
              <w:rPr>
                <w:rFonts w:hint="eastAsia" w:ascii="宋体" w:hAnsi="宋体" w:eastAsia="宋体" w:cs="宋体"/>
                <w:b/>
                <w:bCs/>
                <w:color w:val="auto"/>
                <w:sz w:val="28"/>
                <w:szCs w:val="28"/>
                <w:highlight w:val="none"/>
                <w:lang w:val="en-US" w:eastAsia="zh-CN"/>
              </w:rPr>
              <w:t>；c.</w:t>
            </w:r>
            <w:r>
              <w:rPr>
                <w:rFonts w:hint="eastAsia" w:ascii="宋体" w:hAnsi="宋体" w:eastAsia="宋体" w:cs="宋体"/>
                <w:b/>
                <w:bCs/>
                <w:color w:val="auto"/>
                <w:sz w:val="28"/>
                <w:szCs w:val="28"/>
                <w:highlight w:val="none"/>
              </w:rPr>
              <w:t>官方</w:t>
            </w:r>
            <w:r>
              <w:rPr>
                <w:rFonts w:hint="eastAsia" w:ascii="宋体" w:hAnsi="宋体" w:eastAsia="宋体" w:cs="宋体"/>
                <w:b/>
                <w:bCs/>
                <w:color w:val="auto"/>
                <w:sz w:val="28"/>
                <w:szCs w:val="28"/>
                <w:highlight w:val="none"/>
                <w:lang w:val="en-US" w:eastAsia="zh-CN"/>
              </w:rPr>
              <w:t>网络平台</w:t>
            </w:r>
            <w:r>
              <w:rPr>
                <w:rFonts w:hint="eastAsia" w:ascii="宋体" w:hAnsi="宋体" w:eastAsia="宋体" w:cs="宋体"/>
                <w:b/>
                <w:bCs/>
                <w:color w:val="auto"/>
                <w:sz w:val="28"/>
                <w:szCs w:val="28"/>
                <w:highlight w:val="none"/>
              </w:rPr>
              <w:t>查询到</w:t>
            </w:r>
            <w:r>
              <w:rPr>
                <w:rFonts w:hint="eastAsia" w:ascii="宋体" w:hAnsi="宋体" w:eastAsia="宋体" w:cs="宋体"/>
                <w:b/>
                <w:bCs/>
                <w:color w:val="auto"/>
                <w:sz w:val="28"/>
                <w:szCs w:val="28"/>
                <w:highlight w:val="none"/>
                <w:lang w:eastAsia="zh-CN"/>
              </w:rPr>
              <w:t>的</w:t>
            </w:r>
            <w:r>
              <w:rPr>
                <w:rFonts w:hint="eastAsia" w:ascii="宋体" w:hAnsi="宋体" w:eastAsia="宋体" w:cs="宋体"/>
                <w:b/>
                <w:bCs/>
                <w:color w:val="auto"/>
                <w:sz w:val="28"/>
                <w:szCs w:val="28"/>
                <w:highlight w:val="none"/>
              </w:rPr>
              <w:t>任职</w:t>
            </w:r>
            <w:r>
              <w:rPr>
                <w:rFonts w:hint="eastAsia" w:ascii="宋体" w:hAnsi="宋体" w:eastAsia="宋体" w:cs="宋体"/>
                <w:b/>
                <w:bCs/>
                <w:color w:val="auto"/>
                <w:sz w:val="28"/>
                <w:szCs w:val="28"/>
                <w:highlight w:val="none"/>
                <w:lang w:val="en-US" w:eastAsia="zh-CN"/>
              </w:rPr>
              <w:t>或</w:t>
            </w:r>
            <w:r>
              <w:rPr>
                <w:rFonts w:hint="eastAsia" w:ascii="宋体" w:hAnsi="宋体" w:eastAsia="宋体" w:cs="宋体"/>
                <w:b/>
                <w:bCs/>
                <w:color w:val="auto"/>
                <w:sz w:val="28"/>
                <w:szCs w:val="28"/>
                <w:highlight w:val="none"/>
              </w:rPr>
              <w:t>参与培训</w:t>
            </w:r>
            <w:r>
              <w:rPr>
                <w:rFonts w:hint="eastAsia" w:ascii="宋体" w:hAnsi="宋体" w:eastAsia="宋体" w:cs="宋体"/>
                <w:b/>
                <w:bCs/>
                <w:color w:val="auto"/>
                <w:sz w:val="28"/>
                <w:szCs w:val="28"/>
                <w:highlight w:val="none"/>
                <w:lang w:val="en-US" w:eastAsia="zh-CN"/>
              </w:rPr>
              <w:t>信息</w:t>
            </w:r>
            <w:r>
              <w:rPr>
                <w:rFonts w:hint="eastAsia" w:ascii="宋体" w:hAnsi="宋体" w:eastAsia="宋体" w:cs="宋体"/>
                <w:b/>
                <w:bCs/>
                <w:color w:val="auto"/>
                <w:sz w:val="28"/>
                <w:szCs w:val="28"/>
                <w:highlight w:val="none"/>
              </w:rPr>
              <w:t>的打印件</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上述所选材料均须</w:t>
            </w:r>
            <w:r>
              <w:rPr>
                <w:rFonts w:hint="eastAsia" w:ascii="宋体" w:hAnsi="宋体" w:eastAsia="宋体" w:cs="宋体"/>
                <w:b/>
                <w:bCs/>
                <w:color w:val="auto"/>
                <w:sz w:val="28"/>
                <w:szCs w:val="28"/>
                <w:highlight w:val="none"/>
              </w:rPr>
              <w:t>加盖响应供应商公章</w:t>
            </w:r>
            <w:r>
              <w:rPr>
                <w:rFonts w:hint="eastAsia" w:ascii="宋体" w:hAnsi="宋体" w:eastAsia="宋体" w:cs="宋体"/>
                <w:b/>
                <w:bCs/>
                <w:color w:val="auto"/>
                <w:sz w:val="28"/>
                <w:szCs w:val="28"/>
                <w:highlight w:val="none"/>
                <w:lang w:eastAsia="zh-CN"/>
              </w:rPr>
              <w:t>，</w:t>
            </w:r>
            <w:r>
              <w:rPr>
                <w:rFonts w:hint="eastAsia" w:ascii="宋体" w:hAnsi="宋体" w:eastAsia="宋体" w:cs="宋体"/>
                <w:b/>
                <w:bCs/>
                <w:color w:val="auto"/>
                <w:sz w:val="28"/>
                <w:szCs w:val="28"/>
                <w:highlight w:val="none"/>
                <w:lang w:val="en-US" w:eastAsia="zh-CN"/>
              </w:rPr>
              <w:t>未提供或提供无效做无效标处理</w:t>
            </w:r>
            <w:r>
              <w:rPr>
                <w:rFonts w:hint="eastAsia" w:ascii="宋体" w:hAnsi="宋体" w:eastAsia="宋体" w:cs="宋体"/>
                <w:b/>
                <w:bCs/>
                <w:color w:val="auto"/>
                <w:sz w:val="28"/>
                <w:szCs w:val="28"/>
                <w:highlight w:val="none"/>
              </w:rPr>
              <w:t>。</w:t>
            </w:r>
          </w:p>
          <w:p w14:paraId="523CCB6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eastAsia="zh-CN"/>
              </w:rPr>
              <w:t>（</w:t>
            </w:r>
            <w:r>
              <w:rPr>
                <w:rFonts w:hint="eastAsia" w:cs="宋体"/>
                <w:color w:val="auto"/>
                <w:sz w:val="24"/>
                <w:szCs w:val="24"/>
                <w:highlight w:val="none"/>
                <w:lang w:val="en-US" w:eastAsia="zh-CN"/>
              </w:rPr>
              <w:t>四</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rPr>
              <w:t>教学设施使用收费标准：每位学员每天40元，按5天计算。成交供应商按400人计付费给采购人。</w:t>
            </w:r>
          </w:p>
          <w:p w14:paraId="7EB8CD7F">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eastAsia="zh-CN"/>
              </w:rPr>
              <w:t>（</w:t>
            </w:r>
            <w:r>
              <w:rPr>
                <w:rFonts w:hint="eastAsia" w:cs="宋体"/>
                <w:color w:val="auto"/>
                <w:sz w:val="24"/>
                <w:szCs w:val="24"/>
                <w:highlight w:val="none"/>
                <w:lang w:val="en-US" w:eastAsia="zh-CN"/>
              </w:rPr>
              <w:t>五</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rPr>
              <w:t>食宿标准：住宿80元/人/天，餐饮100元/人/天（其中早餐10元/人/天，中餐45元/人/天，晚餐45元/人/天）。成交供应商以实际安排（第一天安排中、晚餐，第二至第四天安排早、中、晚餐，第五天安排早、中餐，安排4天住宿），按400人计付费给采购人。</w:t>
            </w:r>
          </w:p>
          <w:p w14:paraId="372F8327">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eastAsia="zh-CN"/>
              </w:rPr>
              <w:t>（</w:t>
            </w:r>
            <w:r>
              <w:rPr>
                <w:rFonts w:hint="eastAsia" w:cs="宋体"/>
                <w:color w:val="auto"/>
                <w:sz w:val="24"/>
                <w:szCs w:val="24"/>
                <w:highlight w:val="none"/>
                <w:lang w:val="en-US" w:eastAsia="zh-CN"/>
              </w:rPr>
              <w:t>六</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rPr>
              <w:t>专家对有需求的学员免费进行“一对一”个体辅导。</w:t>
            </w:r>
          </w:p>
          <w:p w14:paraId="33351686">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eastAsia="zh-CN"/>
              </w:rPr>
              <w:t>（</w:t>
            </w:r>
            <w:r>
              <w:rPr>
                <w:rFonts w:hint="eastAsia" w:cs="宋体"/>
                <w:color w:val="auto"/>
                <w:sz w:val="24"/>
                <w:szCs w:val="24"/>
                <w:highlight w:val="none"/>
                <w:lang w:val="en-US" w:eastAsia="zh-CN"/>
              </w:rPr>
              <w:t>七</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rPr>
              <w:t>赣州开放大学承担</w:t>
            </w:r>
            <w:r>
              <w:rPr>
                <w:rFonts w:hint="eastAsia" w:cs="宋体"/>
                <w:color w:val="auto"/>
                <w:sz w:val="24"/>
                <w:szCs w:val="24"/>
                <w:highlight w:val="none"/>
                <w:lang w:val="en-US" w:eastAsia="zh-CN"/>
              </w:rPr>
              <w:t>五名</w:t>
            </w:r>
            <w:r>
              <w:rPr>
                <w:rFonts w:hint="eastAsia" w:ascii="宋体" w:hAnsi="宋体" w:eastAsia="宋体" w:cs="宋体"/>
                <w:color w:val="auto"/>
                <w:sz w:val="24"/>
                <w:szCs w:val="24"/>
                <w:highlight w:val="none"/>
              </w:rPr>
              <w:t>专家及一名工作人员培训期间在校内的食宿费用。</w:t>
            </w:r>
          </w:p>
          <w:p w14:paraId="2C130323">
            <w:pPr>
              <w:pStyle w:val="6"/>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bCs/>
                <w:color w:val="auto"/>
                <w:kern w:val="0"/>
                <w:sz w:val="24"/>
                <w:szCs w:val="24"/>
                <w:highlight w:val="none"/>
              </w:rPr>
            </w:pPr>
            <w:r>
              <w:rPr>
                <w:rFonts w:hint="eastAsia" w:ascii="宋体" w:hAnsi="宋体" w:eastAsia="宋体" w:cs="宋体"/>
                <w:b/>
                <w:bCs/>
                <w:color w:val="auto"/>
                <w:kern w:val="0"/>
                <w:sz w:val="24"/>
                <w:szCs w:val="24"/>
                <w:highlight w:val="none"/>
              </w:rPr>
              <w:t>七、成交后需明确的事项：</w:t>
            </w:r>
          </w:p>
          <w:p w14:paraId="770257C1">
            <w:pPr>
              <w:pStyle w:val="6"/>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kern w:val="0"/>
                <w:sz w:val="24"/>
                <w:szCs w:val="24"/>
                <w:highlight w:val="none"/>
              </w:rPr>
            </w:pPr>
            <w:r>
              <w:rPr>
                <w:rFonts w:hint="eastAsia" w:ascii="宋体" w:hAnsi="宋体" w:cs="宋体"/>
                <w:color w:val="auto"/>
                <w:kern w:val="0"/>
                <w:sz w:val="24"/>
                <w:szCs w:val="24"/>
                <w:highlight w:val="none"/>
                <w:lang w:eastAsia="zh-CN"/>
              </w:rPr>
              <w:t>（</w:t>
            </w:r>
            <w:r>
              <w:rPr>
                <w:rFonts w:hint="eastAsia" w:ascii="宋体" w:hAnsi="宋体" w:cs="宋体"/>
                <w:color w:val="auto"/>
                <w:kern w:val="0"/>
                <w:sz w:val="24"/>
                <w:szCs w:val="24"/>
                <w:highlight w:val="none"/>
                <w:lang w:val="en-US" w:eastAsia="zh-CN"/>
              </w:rPr>
              <w:t>一</w:t>
            </w:r>
            <w:r>
              <w:rPr>
                <w:rFonts w:hint="eastAsia" w:ascii="宋体" w:hAnsi="宋体" w:cs="宋体"/>
                <w:color w:val="auto"/>
                <w:kern w:val="0"/>
                <w:sz w:val="24"/>
                <w:szCs w:val="24"/>
                <w:highlight w:val="none"/>
                <w:lang w:eastAsia="zh-CN"/>
              </w:rPr>
              <w:t>）</w:t>
            </w:r>
            <w:r>
              <w:rPr>
                <w:rFonts w:hint="eastAsia" w:ascii="宋体" w:hAnsi="宋体" w:eastAsia="宋体" w:cs="宋体"/>
                <w:color w:val="auto"/>
                <w:kern w:val="0"/>
                <w:sz w:val="24"/>
                <w:szCs w:val="24"/>
                <w:highlight w:val="none"/>
                <w:lang w:eastAsia="zh-CN"/>
              </w:rPr>
              <w:t>采购人</w:t>
            </w:r>
            <w:r>
              <w:rPr>
                <w:rFonts w:hint="eastAsia" w:ascii="宋体" w:hAnsi="宋体" w:eastAsia="宋体" w:cs="宋体"/>
                <w:color w:val="auto"/>
                <w:kern w:val="0"/>
                <w:sz w:val="24"/>
                <w:szCs w:val="24"/>
                <w:highlight w:val="none"/>
              </w:rPr>
              <w:t>的权利和义务</w:t>
            </w:r>
          </w:p>
          <w:p w14:paraId="43B965BB">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负责在赣州市开展本项目的学员选拔、报名及最终考核工作。</w:t>
            </w:r>
          </w:p>
          <w:p w14:paraId="3379877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2、</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负责在实操上课前一个月按照</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要求将参训学员信息汇总给</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，以便</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制定学习计划，并根据学员情况分班。</w:t>
            </w:r>
          </w:p>
          <w:p w14:paraId="7CEA12BD">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3、</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负责对</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的培训方案及其他知识产权的保密工作。</w:t>
            </w:r>
          </w:p>
          <w:p w14:paraId="69D254F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4、</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按进度将培训费汇入</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账号，</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为</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开具发票。</w:t>
            </w:r>
          </w:p>
          <w:p w14:paraId="0397D8B0">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eastAsia="zh-CN"/>
              </w:rPr>
              <w:t>（</w:t>
            </w:r>
            <w:r>
              <w:rPr>
                <w:rFonts w:hint="eastAsia" w:cs="宋体"/>
                <w:color w:val="auto"/>
                <w:sz w:val="24"/>
                <w:szCs w:val="24"/>
                <w:highlight w:val="none"/>
                <w:lang w:val="en-US" w:eastAsia="zh-CN"/>
              </w:rPr>
              <w:t>二</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的权利和义务</w:t>
            </w:r>
          </w:p>
          <w:p w14:paraId="4C1B6364">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1、</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应按要求，就本次培训组织国内心理教育方面的专家制定培训方案，实施具体培训工作；解决实施过程中出现的相关问题。</w:t>
            </w:r>
          </w:p>
          <w:p w14:paraId="286D25A1">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2、</w:t>
            </w:r>
            <w:r>
              <w:rPr>
                <w:rFonts w:hint="eastAsia" w:ascii="宋体" w:hAnsi="宋体" w:eastAsia="宋体" w:cs="宋体"/>
                <w:color w:val="auto"/>
                <w:sz w:val="24"/>
                <w:szCs w:val="24"/>
                <w:highlight w:val="none"/>
              </w:rPr>
              <w:t>按时开展培训、授课,自备沙盘等教具，将培训中的课件、资料、讲稿等成果无偿及时提供给赣州开放大学和学员。</w:t>
            </w:r>
          </w:p>
          <w:p w14:paraId="2D893A8A">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cs="宋体"/>
                <w:color w:val="auto"/>
                <w:sz w:val="24"/>
                <w:szCs w:val="24"/>
                <w:highlight w:val="none"/>
                <w:lang w:val="en-US" w:eastAsia="zh-CN"/>
              </w:rPr>
              <w:t>3、</w:t>
            </w:r>
            <w:r>
              <w:rPr>
                <w:rFonts w:hint="eastAsia" w:ascii="宋体" w:hAnsi="宋体" w:eastAsia="宋体" w:cs="宋体"/>
                <w:color w:val="auto"/>
                <w:sz w:val="24"/>
                <w:szCs w:val="24"/>
                <w:highlight w:val="none"/>
              </w:rPr>
              <w:t>及时将培训情况(含学员远程学习记录、实操情况、课后服务等)形成总结报告提供给</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w:t>
            </w:r>
          </w:p>
          <w:p w14:paraId="266B7A3D">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4</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负责对</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所上报学员信息的保密工作。</w:t>
            </w:r>
          </w:p>
          <w:p w14:paraId="6AAE4976">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ins w:id="1" w:author="湛蓝的灰" w:date="2025-05-09T08:41:00Z"/>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5</w:t>
            </w:r>
            <w:r>
              <w:rPr>
                <w:rFonts w:hint="eastAsia" w:cs="宋体"/>
                <w:color w:val="auto"/>
                <w:sz w:val="24"/>
                <w:szCs w:val="24"/>
                <w:highlight w:val="none"/>
                <w:lang w:eastAsia="zh-CN"/>
              </w:rPr>
              <w:t>、</w:t>
            </w:r>
            <w:r>
              <w:rPr>
                <w:rFonts w:hint="eastAsia" w:ascii="宋体" w:hAnsi="宋体" w:eastAsia="宋体" w:cs="宋体"/>
                <w:color w:val="auto"/>
                <w:sz w:val="24"/>
                <w:szCs w:val="24"/>
                <w:highlight w:val="none"/>
                <w:lang w:eastAsia="zh-CN"/>
              </w:rPr>
              <w:t>成交供应商</w:t>
            </w:r>
            <w:r>
              <w:rPr>
                <w:rFonts w:hint="eastAsia" w:ascii="宋体" w:hAnsi="宋体" w:eastAsia="宋体" w:cs="宋体"/>
                <w:color w:val="auto"/>
                <w:sz w:val="24"/>
                <w:szCs w:val="24"/>
                <w:highlight w:val="none"/>
              </w:rPr>
              <w:t>负责支付学员食宿、场租、课酬、劳务等相关费用。</w:t>
            </w:r>
          </w:p>
          <w:p w14:paraId="52710612">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b/>
                <w:color w:val="auto"/>
                <w:sz w:val="24"/>
                <w:szCs w:val="24"/>
                <w:highlight w:val="none"/>
              </w:rPr>
            </w:pPr>
            <w:r>
              <w:rPr>
                <w:rFonts w:hint="eastAsia" w:ascii="宋体" w:hAnsi="宋体" w:eastAsia="宋体" w:cs="宋体"/>
                <w:b/>
                <w:color w:val="auto"/>
                <w:sz w:val="24"/>
                <w:szCs w:val="24"/>
                <w:highlight w:val="none"/>
              </w:rPr>
              <w:t>八、验收要求:</w:t>
            </w:r>
          </w:p>
          <w:p w14:paraId="0455EBE9">
            <w:pPr>
              <w:keepNext w:val="0"/>
              <w:keepLines w:val="0"/>
              <w:pageBreakBefore w:val="0"/>
              <w:widowControl/>
              <w:shd w:val="clear" w:color="auto" w:fill="FFFFFF"/>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sz w:val="24"/>
                <w:szCs w:val="24"/>
                <w:highlight w:val="none"/>
              </w:rPr>
              <w:t>（一）</w:t>
            </w:r>
            <w:r>
              <w:rPr>
                <w:rFonts w:hint="eastAsia" w:ascii="宋体" w:hAnsi="宋体" w:eastAsia="宋体" w:cs="宋体"/>
                <w:color w:val="auto"/>
                <w:kern w:val="0"/>
                <w:sz w:val="24"/>
                <w:szCs w:val="24"/>
                <w:highlight w:val="none"/>
              </w:rPr>
              <w:t>验收方式：由采购人以问卷调查、综合评价的方式对培训效果进行打分，具体验收程序分三个阶段进行。</w:t>
            </w:r>
          </w:p>
          <w:p w14:paraId="0CD0BFDB">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kern w:val="0"/>
                <w:sz w:val="24"/>
                <w:szCs w:val="24"/>
                <w:highlight w:val="none"/>
              </w:rPr>
            </w:pPr>
            <w:r>
              <w:rPr>
                <w:rFonts w:hint="eastAsia" w:ascii="宋体" w:hAnsi="宋体" w:eastAsia="宋体" w:cs="宋体"/>
                <w:color w:val="auto"/>
                <w:kern w:val="0"/>
                <w:sz w:val="24"/>
                <w:szCs w:val="24"/>
                <w:highlight w:val="none"/>
              </w:rPr>
              <w:t>（二）验收程序：</w:t>
            </w:r>
          </w:p>
          <w:p w14:paraId="04352D40">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1</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远程培训阶段</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对线上学习率及线上答疑等情况进行学员满意度调查:达到90%及以上为验收合格，满意度 90%以下的将处以项目合同金额 3%的扣款。</w:t>
            </w:r>
          </w:p>
          <w:p w14:paraId="7838420D">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2</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面授实操阶段</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对面授课程内容、学习率、授课答疑等情况进行学员满意度调查;达到 90%及以上为验收合格，满意度 90%以下的将处以项目合同金额 3%的扣款。</w:t>
            </w:r>
          </w:p>
          <w:p w14:paraId="581863CF">
            <w:pPr>
              <w:keepNext w:val="0"/>
              <w:keepLines w:val="0"/>
              <w:pageBreakBefore w:val="0"/>
              <w:widowControl/>
              <w:kinsoku/>
              <w:wordWrap/>
              <w:overflowPunct/>
              <w:topLinePunct w:val="0"/>
              <w:autoSpaceDE w:val="0"/>
              <w:autoSpaceDN w:val="0"/>
              <w:bidi w:val="0"/>
              <w:adjustRightInd w:val="0"/>
              <w:snapToGrid w:val="0"/>
              <w:spacing w:line="276" w:lineRule="auto"/>
              <w:jc w:val="left"/>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3</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训后服务阶段</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①须提供总结报告</w:t>
            </w:r>
            <w:r>
              <w:rPr>
                <w:rFonts w:hint="eastAsia" w:ascii="宋体" w:hAnsi="宋体" w:eastAsia="宋体" w:cs="宋体"/>
                <w:color w:val="auto"/>
                <w:sz w:val="24"/>
                <w:szCs w:val="24"/>
                <w:highlight w:val="none"/>
                <w:lang w:eastAsia="zh-CN"/>
              </w:rPr>
              <w:t>，</w:t>
            </w:r>
            <w:r>
              <w:rPr>
                <w:rFonts w:hint="eastAsia" w:ascii="宋体" w:hAnsi="宋体" w:eastAsia="宋体" w:cs="宋体"/>
                <w:color w:val="auto"/>
                <w:sz w:val="24"/>
                <w:szCs w:val="24"/>
                <w:highlight w:val="none"/>
              </w:rPr>
              <w:t>报告内容包含：（1）培训整体概况；（2）服务流程；（3）远程培训学员服务情况；（4）远程培训学习情况分析；（5）远程培训专家答疑情况；（6）面授实训阶段分析（7）学员心得体会。采购方对于总结报告内容的全面性、专业性等方面进行综合评价，满意度达到 90%及以上为验收合格，满意度 90%以下的将处以项目合同金额 4%的扣款。总结报告印刷5本交给</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w:t>
            </w:r>
          </w:p>
          <w:p w14:paraId="2EDA8CD8">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textAlignment w:val="baseline"/>
              <w:rPr>
                <w:rFonts w:hint="eastAsia" w:ascii="宋体" w:hAnsi="宋体" w:eastAsia="宋体" w:cs="宋体"/>
                <w:color w:val="auto"/>
                <w:sz w:val="24"/>
                <w:szCs w:val="24"/>
                <w:highlight w:val="none"/>
              </w:rPr>
            </w:pPr>
            <w:r>
              <w:rPr>
                <w:rFonts w:hint="eastAsia" w:ascii="宋体" w:hAnsi="宋体" w:eastAsia="宋体" w:cs="宋体"/>
                <w:color w:val="auto"/>
                <w:sz w:val="24"/>
                <w:szCs w:val="24"/>
                <w:highlight w:val="none"/>
              </w:rPr>
              <w:t>②评选出60个具有赣州特色的优秀心理健康教育示范案例，汇编成书，并印刷</w:t>
            </w:r>
            <w:r>
              <w:rPr>
                <w:rFonts w:hint="eastAsia" w:ascii="宋体" w:hAnsi="宋体" w:eastAsia="宋体" w:cs="宋体"/>
                <w:color w:val="auto"/>
                <w:sz w:val="24"/>
                <w:szCs w:val="24"/>
                <w:highlight w:val="none"/>
                <w:lang w:val="en-US" w:eastAsia="zh-CN"/>
              </w:rPr>
              <w:t>1</w:t>
            </w:r>
            <w:r>
              <w:rPr>
                <w:rFonts w:hint="eastAsia" w:ascii="宋体" w:hAnsi="宋体" w:eastAsia="宋体" w:cs="宋体"/>
                <w:color w:val="auto"/>
                <w:sz w:val="24"/>
                <w:szCs w:val="24"/>
                <w:highlight w:val="none"/>
              </w:rPr>
              <w:t>0本交给</w:t>
            </w:r>
            <w:r>
              <w:rPr>
                <w:rFonts w:hint="eastAsia" w:ascii="宋体" w:hAnsi="宋体" w:eastAsia="宋体" w:cs="宋体"/>
                <w:color w:val="auto"/>
                <w:sz w:val="24"/>
                <w:szCs w:val="24"/>
                <w:highlight w:val="none"/>
                <w:lang w:eastAsia="zh-CN"/>
              </w:rPr>
              <w:t>采购人</w:t>
            </w:r>
            <w:r>
              <w:rPr>
                <w:rFonts w:hint="eastAsia" w:ascii="宋体" w:hAnsi="宋体" w:eastAsia="宋体" w:cs="宋体"/>
                <w:color w:val="auto"/>
                <w:sz w:val="24"/>
                <w:szCs w:val="24"/>
                <w:highlight w:val="none"/>
              </w:rPr>
              <w:t>。</w:t>
            </w:r>
          </w:p>
        </w:tc>
        <w:tc>
          <w:tcPr>
            <w:tcW w:w="249" w:type="pct"/>
            <w:noWrap w:val="0"/>
            <w:vAlign w:val="center"/>
          </w:tcPr>
          <w:p w14:paraId="4921AD49">
            <w:pPr>
              <w:pStyle w:val="5"/>
              <w:keepNext w:val="0"/>
              <w:keepLines w:val="0"/>
              <w:pageBreakBefore w:val="0"/>
              <w:widowControl/>
              <w:kinsoku/>
              <w:wordWrap/>
              <w:overflowPunct/>
              <w:topLinePunct w:val="0"/>
              <w:autoSpaceDE w:val="0"/>
              <w:autoSpaceDN w:val="0"/>
              <w:bidi w:val="0"/>
              <w:adjustRightInd w:val="0"/>
              <w:snapToGrid w:val="0"/>
              <w:spacing w:line="276" w:lineRule="auto"/>
              <w:ind w:firstLine="0" w:firstLineChars="0"/>
              <w:jc w:val="center"/>
              <w:textAlignment w:val="baseline"/>
              <w:rPr>
                <w:rFonts w:hint="eastAsia" w:ascii="宋体" w:hAnsi="宋体" w:eastAsia="宋体" w:cs="宋体"/>
                <w:color w:val="auto"/>
                <w:sz w:val="24"/>
                <w:szCs w:val="24"/>
              </w:rPr>
            </w:pPr>
            <w:r>
              <w:rPr>
                <w:rFonts w:hint="eastAsia" w:ascii="宋体" w:hAnsi="宋体" w:eastAsia="宋体" w:cs="宋体"/>
                <w:color w:val="auto"/>
                <w:sz w:val="24"/>
                <w:szCs w:val="24"/>
              </w:rPr>
              <w:t>1</w:t>
            </w:r>
          </w:p>
        </w:tc>
      </w:tr>
    </w:tbl>
    <w:p w14:paraId="04F11F01">
      <w:pPr>
        <w:pageBreakBefore w:val="0"/>
        <w:widowControl w:val="0"/>
        <w:wordWrap/>
        <w:overflowPunct/>
        <w:topLinePunct w:val="0"/>
        <w:bidi w:val="0"/>
        <w:spacing w:line="242" w:lineRule="auto"/>
        <w:rPr>
          <w:color w:val="auto"/>
          <w:highlight w:val="none"/>
        </w:rPr>
      </w:pPr>
    </w:p>
    <w:p w14:paraId="50544940">
      <w:pPr>
        <w:pageBreakBefore w:val="0"/>
        <w:widowControl w:val="0"/>
        <w:wordWrap/>
        <w:overflowPunct/>
        <w:topLinePunct w:val="0"/>
        <w:bidi w:val="0"/>
        <w:spacing w:line="242" w:lineRule="auto"/>
        <w:rPr>
          <w:color w:val="auto"/>
          <w:highlight w:val="none"/>
        </w:rPr>
      </w:pPr>
    </w:p>
    <w:p w14:paraId="618A2F14">
      <w:pPr>
        <w:pageBreakBefore w:val="0"/>
        <w:widowControl w:val="0"/>
        <w:wordWrap/>
        <w:overflowPunct/>
        <w:topLinePunct w:val="0"/>
        <w:bidi w:val="0"/>
        <w:spacing w:line="245" w:lineRule="auto"/>
        <w:rPr>
          <w:color w:val="auto"/>
          <w:highlight w:val="none"/>
          <w:lang w:eastAsia="zh-CN"/>
        </w:rPr>
      </w:pPr>
    </w:p>
    <w:p w14:paraId="6CD0063E">
      <w:pPr>
        <w:pageBreakBefore w:val="0"/>
        <w:widowControl w:val="0"/>
        <w:wordWrap/>
        <w:overflowPunct/>
        <w:topLinePunct w:val="0"/>
        <w:bidi w:val="0"/>
        <w:spacing w:before="78" w:line="219" w:lineRule="auto"/>
        <w:rPr>
          <w:rFonts w:ascii="宋体" w:hAnsi="宋体" w:eastAsia="宋体" w:cs="宋体"/>
          <w:b/>
          <w:bCs/>
          <w:color w:val="auto"/>
          <w:sz w:val="24"/>
          <w:szCs w:val="24"/>
          <w:highlight w:val="none"/>
          <w:lang w:eastAsia="zh-CN"/>
        </w:rPr>
      </w:pPr>
      <w:r>
        <w:rPr>
          <w:rFonts w:ascii="宋体" w:hAnsi="宋体" w:eastAsia="宋体" w:cs="宋体"/>
          <w:b/>
          <w:bCs/>
          <w:color w:val="auto"/>
          <w:spacing w:val="-6"/>
          <w:sz w:val="24"/>
          <w:szCs w:val="24"/>
          <w:highlight w:val="none"/>
          <w:lang w:eastAsia="zh-CN"/>
        </w:rPr>
        <w:t>（二）</w:t>
      </w:r>
      <w:r>
        <w:rPr>
          <w:rFonts w:ascii="宋体" w:hAnsi="宋体" w:eastAsia="宋体" w:cs="宋体"/>
          <w:b/>
          <w:bCs/>
          <w:color w:val="auto"/>
          <w:spacing w:val="32"/>
          <w:sz w:val="24"/>
          <w:szCs w:val="24"/>
          <w:highlight w:val="none"/>
          <w:lang w:eastAsia="zh-CN"/>
        </w:rPr>
        <w:t xml:space="preserve"> </w:t>
      </w:r>
      <w:r>
        <w:rPr>
          <w:rFonts w:ascii="宋体" w:hAnsi="宋体" w:eastAsia="宋体" w:cs="宋体"/>
          <w:b/>
          <w:bCs/>
          <w:color w:val="auto"/>
          <w:spacing w:val="-6"/>
          <w:sz w:val="24"/>
          <w:szCs w:val="24"/>
          <w:highlight w:val="none"/>
          <w:lang w:eastAsia="zh-CN"/>
        </w:rPr>
        <w:t>商务条件</w:t>
      </w:r>
    </w:p>
    <w:p w14:paraId="48D7B8A7">
      <w:pPr>
        <w:pageBreakBefore w:val="0"/>
        <w:widowControl w:val="0"/>
        <w:wordWrap/>
        <w:overflowPunct/>
        <w:topLinePunct w:val="0"/>
        <w:bidi w:val="0"/>
        <w:spacing w:line="249" w:lineRule="auto"/>
        <w:rPr>
          <w:color w:val="auto"/>
          <w:highlight w:val="none"/>
          <w:lang w:eastAsia="zh-CN"/>
        </w:rPr>
      </w:pPr>
    </w:p>
    <w:tbl>
      <w:tblPr>
        <w:tblStyle w:val="3"/>
        <w:tblW w:w="4998" w:type="pct"/>
        <w:jc w:val="cente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698"/>
        <w:gridCol w:w="2071"/>
        <w:gridCol w:w="5750"/>
      </w:tblGrid>
      <w:tr w14:paraId="7B89FFD9">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Ex>
        <w:trPr>
          <w:jc w:val="center"/>
        </w:trPr>
        <w:tc>
          <w:tcPr>
            <w:tcW w:w="410" w:type="pct"/>
            <w:noWrap w:val="0"/>
            <w:vAlign w:val="center"/>
          </w:tcPr>
          <w:p w14:paraId="4A1A2F40">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序号</w:t>
            </w:r>
          </w:p>
        </w:tc>
        <w:tc>
          <w:tcPr>
            <w:tcW w:w="1215" w:type="pct"/>
            <w:noWrap w:val="0"/>
            <w:vAlign w:val="center"/>
          </w:tcPr>
          <w:p w14:paraId="6E5145D2">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条款名称</w:t>
            </w:r>
          </w:p>
        </w:tc>
        <w:tc>
          <w:tcPr>
            <w:tcW w:w="3374" w:type="pct"/>
            <w:noWrap w:val="0"/>
            <w:vAlign w:val="top"/>
          </w:tcPr>
          <w:p w14:paraId="6E552694">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条款内容</w:t>
            </w:r>
          </w:p>
        </w:tc>
      </w:tr>
      <w:tr w14:paraId="44BAF1E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 w:type="pct"/>
            <w:noWrap w:val="0"/>
            <w:vAlign w:val="center"/>
          </w:tcPr>
          <w:p w14:paraId="5A9CAEE2">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1</w:t>
            </w:r>
          </w:p>
        </w:tc>
        <w:tc>
          <w:tcPr>
            <w:tcW w:w="1215" w:type="pct"/>
            <w:noWrap w:val="0"/>
            <w:vAlign w:val="center"/>
          </w:tcPr>
          <w:p w14:paraId="46B83C32">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Cs/>
                <w:sz w:val="24"/>
                <w:szCs w:val="24"/>
              </w:rPr>
            </w:pPr>
            <w:r>
              <w:rPr>
                <w:rFonts w:hint="eastAsia" w:ascii="宋体" w:hAnsi="宋体" w:eastAsia="宋体" w:cs="宋体"/>
                <w:bCs/>
                <w:sz w:val="24"/>
                <w:szCs w:val="24"/>
              </w:rPr>
              <w:t>履行期限、地点、方式</w:t>
            </w:r>
          </w:p>
        </w:tc>
        <w:tc>
          <w:tcPr>
            <w:tcW w:w="3374" w:type="pct"/>
            <w:noWrap w:val="0"/>
            <w:vAlign w:val="top"/>
          </w:tcPr>
          <w:p w14:paraId="1B6E7B51">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1、履行期限：</w:t>
            </w:r>
            <w:r>
              <w:rPr>
                <w:rFonts w:hint="eastAsia" w:ascii="宋体" w:hAnsi="宋体" w:eastAsia="宋体" w:cs="宋体"/>
                <w:sz w:val="24"/>
                <w:szCs w:val="24"/>
                <w:lang w:eastAsia="zh-CN"/>
              </w:rPr>
              <w:t>成交供应商</w:t>
            </w:r>
            <w:r>
              <w:rPr>
                <w:rFonts w:hint="eastAsia" w:ascii="宋体" w:hAnsi="宋体" w:eastAsia="宋体" w:cs="宋体"/>
                <w:sz w:val="24"/>
                <w:szCs w:val="24"/>
              </w:rPr>
              <w:t>应在政府采购代理机构规定的时间内和采购人签订合同，并在接采购人通知后，按采购人要求履约。</w:t>
            </w:r>
          </w:p>
          <w:p w14:paraId="079F1718">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2、履行地点：采购人指定地点。</w:t>
            </w:r>
          </w:p>
          <w:p w14:paraId="02FC8F3B">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3、履行方式：</w:t>
            </w:r>
            <w:r>
              <w:rPr>
                <w:rFonts w:hint="eastAsia" w:ascii="宋体" w:hAnsi="宋体" w:eastAsia="宋体" w:cs="宋体"/>
                <w:sz w:val="24"/>
                <w:szCs w:val="24"/>
                <w:lang w:eastAsia="zh-CN"/>
              </w:rPr>
              <w:t>采购人</w:t>
            </w:r>
            <w:r>
              <w:rPr>
                <w:rFonts w:hint="eastAsia" w:ascii="宋体" w:hAnsi="宋体" w:eastAsia="宋体" w:cs="宋体"/>
                <w:sz w:val="24"/>
                <w:szCs w:val="24"/>
              </w:rPr>
              <w:t>为</w:t>
            </w:r>
            <w:r>
              <w:rPr>
                <w:rFonts w:hint="eastAsia" w:ascii="宋体" w:hAnsi="宋体" w:eastAsia="宋体" w:cs="宋体"/>
                <w:sz w:val="24"/>
                <w:szCs w:val="24"/>
                <w:lang w:eastAsia="zh-CN"/>
              </w:rPr>
              <w:t>成交供应商</w:t>
            </w:r>
            <w:r>
              <w:rPr>
                <w:rFonts w:hint="eastAsia" w:ascii="宋体" w:hAnsi="宋体" w:eastAsia="宋体" w:cs="宋体"/>
                <w:sz w:val="24"/>
                <w:szCs w:val="24"/>
              </w:rPr>
              <w:t>完成工作提供必要的条件外，其余工作由</w:t>
            </w:r>
            <w:r>
              <w:rPr>
                <w:rFonts w:hint="eastAsia" w:ascii="宋体" w:hAnsi="宋体" w:eastAsia="宋体" w:cs="宋体"/>
                <w:sz w:val="24"/>
                <w:szCs w:val="24"/>
                <w:lang w:eastAsia="zh-CN"/>
              </w:rPr>
              <w:t>成交供应商</w:t>
            </w:r>
            <w:r>
              <w:rPr>
                <w:rFonts w:hint="eastAsia" w:ascii="宋体" w:hAnsi="宋体" w:eastAsia="宋体" w:cs="宋体"/>
                <w:sz w:val="24"/>
                <w:szCs w:val="24"/>
              </w:rPr>
              <w:t>自行完成。</w:t>
            </w:r>
          </w:p>
          <w:p w14:paraId="4EAD4B6A">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4、</w:t>
            </w:r>
            <w:r>
              <w:rPr>
                <w:rFonts w:hint="eastAsia" w:ascii="宋体" w:hAnsi="宋体" w:eastAsia="宋体" w:cs="宋体"/>
                <w:sz w:val="24"/>
                <w:szCs w:val="24"/>
                <w:lang w:eastAsia="zh-CN"/>
              </w:rPr>
              <w:t>采购人</w:t>
            </w:r>
            <w:r>
              <w:rPr>
                <w:rFonts w:hint="eastAsia" w:ascii="宋体" w:hAnsi="宋体" w:eastAsia="宋体" w:cs="宋体"/>
                <w:sz w:val="24"/>
                <w:szCs w:val="24"/>
              </w:rPr>
              <w:t>按照合同规定的付款进度向</w:t>
            </w:r>
            <w:r>
              <w:rPr>
                <w:rFonts w:hint="eastAsia" w:ascii="宋体" w:hAnsi="宋体" w:eastAsia="宋体" w:cs="宋体"/>
                <w:sz w:val="24"/>
                <w:szCs w:val="24"/>
                <w:lang w:eastAsia="zh-CN"/>
              </w:rPr>
              <w:t>成交供应商</w:t>
            </w:r>
            <w:r>
              <w:rPr>
                <w:rFonts w:hint="eastAsia" w:ascii="宋体" w:hAnsi="宋体" w:eastAsia="宋体" w:cs="宋体"/>
                <w:sz w:val="24"/>
                <w:szCs w:val="24"/>
              </w:rPr>
              <w:t>支付款项。</w:t>
            </w:r>
          </w:p>
        </w:tc>
      </w:tr>
      <w:tr w14:paraId="419CE328">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 w:type="pct"/>
            <w:noWrap w:val="0"/>
            <w:vAlign w:val="center"/>
          </w:tcPr>
          <w:p w14:paraId="5F3901DF">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2</w:t>
            </w:r>
          </w:p>
        </w:tc>
        <w:tc>
          <w:tcPr>
            <w:tcW w:w="1215" w:type="pct"/>
            <w:noWrap w:val="0"/>
            <w:vAlign w:val="center"/>
          </w:tcPr>
          <w:p w14:paraId="714FD22C">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Cs/>
                <w:sz w:val="24"/>
                <w:szCs w:val="24"/>
              </w:rPr>
            </w:pPr>
            <w:r>
              <w:rPr>
                <w:rFonts w:hint="eastAsia" w:ascii="宋体" w:hAnsi="宋体" w:eastAsia="宋体" w:cs="宋体"/>
                <w:bCs/>
                <w:sz w:val="24"/>
                <w:szCs w:val="24"/>
              </w:rPr>
              <w:t>付款条件</w:t>
            </w:r>
          </w:p>
          <w:p w14:paraId="08D36762">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Cs/>
                <w:sz w:val="24"/>
                <w:szCs w:val="24"/>
              </w:rPr>
            </w:pPr>
            <w:r>
              <w:rPr>
                <w:rFonts w:hint="eastAsia" w:ascii="宋体" w:hAnsi="宋体" w:eastAsia="宋体" w:cs="宋体"/>
                <w:bCs/>
                <w:sz w:val="24"/>
                <w:szCs w:val="24"/>
              </w:rPr>
              <w:t>（进度和方式）</w:t>
            </w:r>
          </w:p>
        </w:tc>
        <w:tc>
          <w:tcPr>
            <w:tcW w:w="3374" w:type="pct"/>
            <w:noWrap w:val="0"/>
            <w:vAlign w:val="top"/>
          </w:tcPr>
          <w:p w14:paraId="0835B982">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1、本合同使用货币币制如未作特别说明均为人民币。</w:t>
            </w:r>
          </w:p>
          <w:p w14:paraId="78D67C80">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2、付款方式：银行转账。</w:t>
            </w:r>
          </w:p>
          <w:p w14:paraId="62687FB3">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rPr>
              <w:t>3、付款方法：按项目进度两次付款，即：远程培训及实操培训结束后支付合同总价的70%，项目结束验收合格后支付合同总价的30%，付款不计利息，转账支付。采购人不得以机构变动、人员更替、政策调整等为由延迟付款，不得将磋商文件和合同中未规定的义务作为向成交供应商付款的条件。</w:t>
            </w:r>
          </w:p>
        </w:tc>
      </w:tr>
      <w:tr w14:paraId="7A93B23A">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 w:type="pct"/>
            <w:noWrap w:val="0"/>
            <w:vAlign w:val="center"/>
          </w:tcPr>
          <w:p w14:paraId="0928D5D9">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3</w:t>
            </w:r>
          </w:p>
        </w:tc>
        <w:tc>
          <w:tcPr>
            <w:tcW w:w="1215" w:type="pct"/>
            <w:noWrap w:val="0"/>
            <w:vAlign w:val="center"/>
          </w:tcPr>
          <w:p w14:paraId="675CDC3E">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Cs/>
                <w:sz w:val="24"/>
                <w:szCs w:val="24"/>
              </w:rPr>
            </w:pPr>
            <w:r>
              <w:rPr>
                <w:rFonts w:hint="eastAsia" w:ascii="宋体" w:hAnsi="宋体" w:eastAsia="宋体" w:cs="宋体"/>
                <w:bCs/>
                <w:sz w:val="24"/>
                <w:szCs w:val="24"/>
              </w:rPr>
              <w:t>履约保证金收取及退还</w:t>
            </w:r>
          </w:p>
        </w:tc>
        <w:tc>
          <w:tcPr>
            <w:tcW w:w="3374" w:type="pct"/>
            <w:noWrap w:val="0"/>
            <w:vAlign w:val="top"/>
          </w:tcPr>
          <w:p w14:paraId="0CD96DFD">
            <w:pPr>
              <w:pStyle w:val="7"/>
              <w:keepNext w:val="0"/>
              <w:keepLines w:val="0"/>
              <w:pageBreakBefore w:val="0"/>
              <w:widowControl/>
              <w:kinsoku/>
              <w:wordWrap/>
              <w:overflowPunct/>
              <w:topLinePunct w:val="0"/>
              <w:autoSpaceDE w:val="0"/>
              <w:autoSpaceDN w:val="0"/>
              <w:bidi w:val="0"/>
              <w:adjustRightInd w:val="0"/>
              <w:snapToGrid w:val="0"/>
              <w:spacing w:before="0" w:after="0" w:line="360" w:lineRule="auto"/>
              <w:ind w:firstLine="0"/>
              <w:textAlignment w:val="baseline"/>
              <w:rPr>
                <w:rFonts w:hint="eastAsia" w:ascii="宋体" w:hAnsi="宋体" w:eastAsia="宋体" w:cs="宋体"/>
                <w:sz w:val="24"/>
                <w:szCs w:val="24"/>
              </w:rPr>
            </w:pPr>
            <w:r>
              <w:rPr>
                <w:rFonts w:hint="eastAsia" w:ascii="宋体" w:hAnsi="宋体" w:eastAsia="宋体" w:cs="宋体"/>
                <w:sz w:val="24"/>
                <w:szCs w:val="24"/>
              </w:rPr>
              <w:t>成交供应商还须按成交金额的5%缴纳履约保证金（履约保证金以银行转账（电汇）、支票、汇票、本票或者金融机构、担保机构出具的保函等非现金形式提交），履约保证金由采购人收取，采购项目验收合格后十个工作日内一次性无息退还 。</w:t>
            </w:r>
          </w:p>
        </w:tc>
      </w:tr>
      <w:tr w14:paraId="6D7DA8C7">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 w:type="pct"/>
            <w:noWrap w:val="0"/>
            <w:vAlign w:val="center"/>
          </w:tcPr>
          <w:p w14:paraId="24FCB546">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4</w:t>
            </w:r>
          </w:p>
        </w:tc>
        <w:tc>
          <w:tcPr>
            <w:tcW w:w="1215" w:type="pct"/>
            <w:noWrap w:val="0"/>
            <w:vAlign w:val="center"/>
          </w:tcPr>
          <w:p w14:paraId="5307C832">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Cs/>
                <w:sz w:val="24"/>
                <w:szCs w:val="24"/>
              </w:rPr>
            </w:pPr>
            <w:r>
              <w:rPr>
                <w:rFonts w:hint="eastAsia" w:ascii="宋体" w:hAnsi="宋体" w:eastAsia="宋体" w:cs="宋体"/>
                <w:bCs/>
                <w:sz w:val="24"/>
                <w:szCs w:val="24"/>
              </w:rPr>
              <w:t>验收</w:t>
            </w:r>
          </w:p>
        </w:tc>
        <w:tc>
          <w:tcPr>
            <w:tcW w:w="3374" w:type="pct"/>
            <w:noWrap w:val="0"/>
            <w:vAlign w:val="top"/>
          </w:tcPr>
          <w:p w14:paraId="19307045">
            <w:pPr>
              <w:keepNext w:val="0"/>
              <w:keepLines w:val="0"/>
              <w:pageBreakBefore w:val="0"/>
              <w:widowControl/>
              <w:shd w:val="clear" w:color="auto" w:fill="FFFFFF"/>
              <w:kinsoku/>
              <w:wordWrap/>
              <w:overflowPunct/>
              <w:topLinePunct w:val="0"/>
              <w:autoSpaceDE w:val="0"/>
              <w:autoSpaceDN w:val="0"/>
              <w:bidi w:val="0"/>
              <w:adjustRightInd w:val="0"/>
              <w:snapToGrid w:val="0"/>
              <w:spacing w:line="560" w:lineRule="atLeas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一、履约验收方式：</w:t>
            </w:r>
            <w:r>
              <w:rPr>
                <w:rFonts w:hint="eastAsia" w:ascii="宋体" w:hAnsi="宋体" w:eastAsia="宋体" w:cs="宋体"/>
                <w:kern w:val="0"/>
                <w:sz w:val="24"/>
                <w:szCs w:val="24"/>
                <w:lang w:eastAsia="zh-CN"/>
              </w:rPr>
              <w:t>成交供应商</w:t>
            </w:r>
            <w:r>
              <w:rPr>
                <w:rFonts w:hint="eastAsia" w:ascii="宋体" w:hAnsi="宋体" w:eastAsia="宋体" w:cs="宋体"/>
                <w:kern w:val="0"/>
                <w:sz w:val="24"/>
                <w:szCs w:val="24"/>
              </w:rPr>
              <w:t>所交服务要求按照磋商文件和响应文件的内容执行。如验收不合格，</w:t>
            </w:r>
            <w:r>
              <w:rPr>
                <w:rFonts w:hint="eastAsia" w:ascii="宋体" w:hAnsi="宋体" w:eastAsia="宋体" w:cs="宋体"/>
                <w:kern w:val="0"/>
                <w:sz w:val="24"/>
                <w:szCs w:val="24"/>
                <w:lang w:eastAsia="zh-CN"/>
              </w:rPr>
              <w:t>成交供应商</w:t>
            </w:r>
            <w:r>
              <w:rPr>
                <w:rFonts w:hint="eastAsia" w:ascii="宋体" w:hAnsi="宋体" w:eastAsia="宋体" w:cs="宋体"/>
                <w:kern w:val="0"/>
                <w:sz w:val="24"/>
                <w:szCs w:val="24"/>
              </w:rPr>
              <w:t>负责赔偿需方一切损失。</w:t>
            </w:r>
          </w:p>
          <w:p w14:paraId="5905B7BE">
            <w:pPr>
              <w:keepNext w:val="0"/>
              <w:keepLines w:val="0"/>
              <w:pageBreakBefore w:val="0"/>
              <w:widowControl/>
              <w:kinsoku/>
              <w:wordWrap/>
              <w:overflowPunct/>
              <w:topLinePunct w:val="0"/>
              <w:autoSpaceDE w:val="0"/>
              <w:autoSpaceDN w:val="0"/>
              <w:bidi w:val="0"/>
              <w:adjustRightInd w:val="0"/>
              <w:snapToGrid w:val="0"/>
              <w:spacing w:line="560" w:lineRule="exact"/>
              <w:jc w:val="left"/>
              <w:textAlignment w:val="baseline"/>
              <w:rPr>
                <w:rFonts w:hint="eastAsia" w:ascii="宋体" w:hAnsi="宋体" w:eastAsia="宋体" w:cs="宋体"/>
                <w:kern w:val="0"/>
                <w:sz w:val="24"/>
                <w:szCs w:val="24"/>
              </w:rPr>
            </w:pPr>
            <w:r>
              <w:rPr>
                <w:rFonts w:hint="eastAsia" w:ascii="宋体" w:hAnsi="宋体" w:eastAsia="宋体" w:cs="宋体"/>
                <w:kern w:val="0"/>
                <w:sz w:val="24"/>
                <w:szCs w:val="24"/>
              </w:rPr>
              <w:t>二、履约验收程序：</w:t>
            </w:r>
          </w:p>
          <w:p w14:paraId="30FD3EC7">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1、</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所交服务要求按照磋商文件和响应文件的内容执行。如验收不合格，</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负责赔偿需方一切损失。</w:t>
            </w:r>
          </w:p>
          <w:p w14:paraId="41DDE31E">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2、服务验收报告应由</w:t>
            </w:r>
            <w:r>
              <w:rPr>
                <w:rFonts w:hint="eastAsia" w:ascii="宋体" w:hAnsi="宋体" w:eastAsia="宋体" w:cs="宋体"/>
                <w:bCs/>
                <w:sz w:val="24"/>
                <w:szCs w:val="24"/>
                <w:lang w:eastAsia="zh-CN"/>
              </w:rPr>
              <w:t>采购人</w:t>
            </w:r>
            <w:r>
              <w:rPr>
                <w:rFonts w:hint="eastAsia" w:ascii="宋体" w:hAnsi="宋体" w:eastAsia="宋体" w:cs="宋体"/>
                <w:bCs/>
                <w:sz w:val="24"/>
                <w:szCs w:val="24"/>
              </w:rPr>
              <w:t>、</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经办人签字，并加盖双方公章，以此作为支付凭据。</w:t>
            </w:r>
          </w:p>
          <w:p w14:paraId="65C8D38F">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3、服务技术参数与采购合同一致，指标达到规定的标准。</w:t>
            </w:r>
          </w:p>
          <w:p w14:paraId="2DC791A0">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4、服务技术资料等资料齐全。</w:t>
            </w:r>
          </w:p>
          <w:p w14:paraId="7E631DA4">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5、在规定时间内完成并验收，并经采购人确认。</w:t>
            </w:r>
          </w:p>
          <w:p w14:paraId="472F41CE">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6、服务经符合要求后，才作为最终验收。</w:t>
            </w:r>
          </w:p>
          <w:p w14:paraId="15496F6C">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7、</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提供的服务未达到磋商文件规定要求，且对采购人造成损失的，由</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承担一切责任，并赔偿所造成的损失。</w:t>
            </w:r>
          </w:p>
          <w:p w14:paraId="39D3A766">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rPr>
            </w:pPr>
            <w:r>
              <w:rPr>
                <w:rFonts w:hint="eastAsia" w:ascii="宋体" w:hAnsi="宋体" w:eastAsia="宋体" w:cs="宋体"/>
                <w:bCs/>
                <w:sz w:val="24"/>
                <w:szCs w:val="24"/>
              </w:rPr>
              <w:t>8、采购人需要</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对交付的服务（包括技术参数等）进行确认的，</w:t>
            </w:r>
            <w:r>
              <w:rPr>
                <w:rFonts w:hint="eastAsia" w:ascii="宋体" w:hAnsi="宋体" w:eastAsia="宋体" w:cs="宋体"/>
                <w:bCs/>
                <w:sz w:val="24"/>
                <w:szCs w:val="24"/>
                <w:lang w:eastAsia="zh-CN"/>
              </w:rPr>
              <w:t>成交供应商</w:t>
            </w:r>
            <w:r>
              <w:rPr>
                <w:rFonts w:hint="eastAsia" w:ascii="宋体" w:hAnsi="宋体" w:eastAsia="宋体" w:cs="宋体"/>
                <w:bCs/>
                <w:sz w:val="24"/>
                <w:szCs w:val="24"/>
              </w:rPr>
              <w:t>应予以配合，并出具书面意见。</w:t>
            </w:r>
          </w:p>
          <w:p w14:paraId="1A9B9962">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color w:val="auto"/>
                <w:sz w:val="24"/>
                <w:szCs w:val="24"/>
              </w:rPr>
            </w:pPr>
            <w:r>
              <w:rPr>
                <w:rFonts w:hint="eastAsia" w:ascii="宋体" w:hAnsi="宋体" w:eastAsia="宋体" w:cs="宋体"/>
                <w:bCs/>
                <w:sz w:val="24"/>
                <w:szCs w:val="24"/>
              </w:rPr>
              <w:t>9、验收时，将按照合同的约定对每一项技术、服务、安全标准的履约情况进行确认，验收结束后，出具验收报告。验收报告中列明各</w:t>
            </w:r>
            <w:r>
              <w:rPr>
                <w:rFonts w:hint="eastAsia" w:ascii="宋体" w:hAnsi="宋体" w:eastAsia="宋体" w:cs="宋体"/>
                <w:bCs/>
                <w:color w:val="auto"/>
                <w:sz w:val="24"/>
                <w:szCs w:val="24"/>
              </w:rPr>
              <w:t>项标的验收情况及项目总体评价，由验收双方（第三方）共同签署。</w:t>
            </w:r>
          </w:p>
          <w:p w14:paraId="57BD1C6E">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bCs/>
                <w:sz w:val="24"/>
                <w:szCs w:val="24"/>
                <w:lang w:val="en-US" w:eastAsia="zh-CN"/>
              </w:rPr>
            </w:pPr>
            <w:r>
              <w:rPr>
                <w:rFonts w:hint="eastAsia" w:ascii="宋体" w:hAnsi="宋体" w:eastAsia="宋体" w:cs="宋体"/>
                <w:bCs/>
                <w:color w:val="auto"/>
                <w:sz w:val="24"/>
                <w:szCs w:val="24"/>
                <w:lang w:val="en-US" w:eastAsia="zh-CN"/>
              </w:rPr>
              <w:t>三、不按规定履行合同：重新采购；对验收时未按合同约定履行合同的，不得通过验收，并解除合同和追究成交供应商的违约责任，同时，进行重新采购或终止采购。对通过验收后未按合同约定提供后续服务的，若不是因为不可抗力原因，暂缓支付后续款项；若因不可抗力原因，双方协商签署补充协议。</w:t>
            </w:r>
          </w:p>
        </w:tc>
      </w:tr>
      <w:tr w14:paraId="6A675B9C">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jc w:val="center"/>
        </w:trPr>
        <w:tc>
          <w:tcPr>
            <w:tcW w:w="410" w:type="pct"/>
            <w:noWrap w:val="0"/>
            <w:vAlign w:val="center"/>
          </w:tcPr>
          <w:p w14:paraId="3F6A5EC6">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
                <w:sz w:val="24"/>
                <w:szCs w:val="24"/>
              </w:rPr>
            </w:pPr>
            <w:r>
              <w:rPr>
                <w:rFonts w:hint="eastAsia" w:ascii="宋体" w:hAnsi="宋体" w:eastAsia="宋体" w:cs="宋体"/>
                <w:b/>
                <w:sz w:val="24"/>
                <w:szCs w:val="24"/>
              </w:rPr>
              <w:t>5</w:t>
            </w:r>
          </w:p>
        </w:tc>
        <w:tc>
          <w:tcPr>
            <w:tcW w:w="1215" w:type="pct"/>
            <w:noWrap w:val="0"/>
            <w:vAlign w:val="center"/>
          </w:tcPr>
          <w:p w14:paraId="156B7510">
            <w:pPr>
              <w:keepNext w:val="0"/>
              <w:keepLines w:val="0"/>
              <w:pageBreakBefore w:val="0"/>
              <w:widowControl/>
              <w:kinsoku/>
              <w:wordWrap/>
              <w:overflowPunct/>
              <w:topLinePunct w:val="0"/>
              <w:autoSpaceDE w:val="0"/>
              <w:autoSpaceDN w:val="0"/>
              <w:bidi w:val="0"/>
              <w:adjustRightInd w:val="0"/>
              <w:snapToGrid w:val="0"/>
              <w:spacing w:line="360" w:lineRule="auto"/>
              <w:jc w:val="center"/>
              <w:textAlignment w:val="baseline"/>
              <w:rPr>
                <w:rFonts w:hint="eastAsia" w:ascii="宋体" w:hAnsi="宋体" w:eastAsia="宋体" w:cs="宋体"/>
                <w:bCs/>
                <w:sz w:val="24"/>
                <w:szCs w:val="24"/>
              </w:rPr>
            </w:pPr>
            <w:r>
              <w:rPr>
                <w:rFonts w:hint="eastAsia" w:ascii="宋体" w:hAnsi="宋体" w:eastAsia="宋体" w:cs="宋体"/>
                <w:bCs/>
                <w:sz w:val="24"/>
                <w:szCs w:val="24"/>
              </w:rPr>
              <w:t>知识产权归属和处理方式</w:t>
            </w:r>
          </w:p>
        </w:tc>
        <w:tc>
          <w:tcPr>
            <w:tcW w:w="3374" w:type="pct"/>
            <w:noWrap w:val="0"/>
            <w:vAlign w:val="top"/>
          </w:tcPr>
          <w:p w14:paraId="30F24DAD">
            <w:pPr>
              <w:keepNext w:val="0"/>
              <w:keepLines w:val="0"/>
              <w:pageBreakBefore w:val="0"/>
              <w:widowControl/>
              <w:kinsoku/>
              <w:wordWrap/>
              <w:overflowPunct/>
              <w:topLinePunct w:val="0"/>
              <w:autoSpaceDE w:val="0"/>
              <w:autoSpaceDN w:val="0"/>
              <w:bidi w:val="0"/>
              <w:adjustRightInd w:val="0"/>
              <w:snapToGrid w:val="0"/>
              <w:spacing w:line="360" w:lineRule="auto"/>
              <w:textAlignment w:val="baseline"/>
              <w:rPr>
                <w:rFonts w:hint="eastAsia" w:ascii="宋体" w:hAnsi="宋体" w:eastAsia="宋体" w:cs="宋体"/>
                <w:sz w:val="24"/>
                <w:szCs w:val="24"/>
              </w:rPr>
            </w:pPr>
            <w:r>
              <w:rPr>
                <w:rFonts w:hint="eastAsia" w:ascii="宋体" w:hAnsi="宋体" w:eastAsia="宋体" w:cs="宋体"/>
                <w:sz w:val="24"/>
                <w:szCs w:val="24"/>
                <w:lang w:eastAsia="zh-CN"/>
              </w:rPr>
              <w:t>成交供应商</w:t>
            </w:r>
            <w:r>
              <w:rPr>
                <w:rFonts w:hint="eastAsia" w:ascii="宋体" w:hAnsi="宋体" w:eastAsia="宋体" w:cs="宋体"/>
                <w:sz w:val="24"/>
                <w:szCs w:val="24"/>
              </w:rPr>
              <w:t>应保护</w:t>
            </w:r>
            <w:r>
              <w:rPr>
                <w:rFonts w:hint="eastAsia" w:ascii="宋体" w:hAnsi="宋体" w:eastAsia="宋体" w:cs="宋体"/>
                <w:sz w:val="24"/>
                <w:szCs w:val="24"/>
                <w:lang w:eastAsia="zh-CN"/>
              </w:rPr>
              <w:t>采购人</w:t>
            </w:r>
            <w:r>
              <w:rPr>
                <w:rFonts w:hint="eastAsia" w:ascii="宋体" w:hAnsi="宋体" w:eastAsia="宋体" w:cs="宋体"/>
                <w:sz w:val="24"/>
                <w:szCs w:val="24"/>
              </w:rPr>
              <w:t>在使用该服务或其任何一部分时不受第三方提出侵犯专利权、商标权、著作权或其它知识产权起诉的指控。如果任何第三方提出侵权指控，卖方须与第三方交涉并承担可能发生的一切法律责任和费用。</w:t>
            </w:r>
          </w:p>
        </w:tc>
      </w:tr>
    </w:tbl>
    <w:p w14:paraId="5F2D00DB">
      <w:pPr>
        <w:pageBreakBefore w:val="0"/>
        <w:widowControl w:val="0"/>
        <w:wordWrap/>
        <w:overflowPunct/>
        <w:topLinePunct w:val="0"/>
        <w:bidi w:val="0"/>
        <w:spacing w:line="249" w:lineRule="auto"/>
        <w:rPr>
          <w:color w:val="auto"/>
          <w:highlight w:val="none"/>
          <w:lang w:eastAsia="zh-CN"/>
        </w:rPr>
      </w:pPr>
    </w:p>
    <w:p w14:paraId="76FBD907">
      <w:pPr>
        <w:pageBreakBefore w:val="0"/>
        <w:widowControl w:val="0"/>
        <w:wordWrap/>
        <w:overflowPunct/>
        <w:topLinePunct w:val="0"/>
        <w:bidi w:val="0"/>
        <w:spacing w:line="249" w:lineRule="auto"/>
        <w:rPr>
          <w:color w:val="auto"/>
          <w:highlight w:val="none"/>
          <w:lang w:eastAsia="zh-CN"/>
        </w:rPr>
      </w:pPr>
    </w:p>
    <w:p w14:paraId="2E243D2D">
      <w:pPr>
        <w:pageBreakBefore w:val="0"/>
        <w:widowControl w:val="0"/>
        <w:wordWrap/>
        <w:overflowPunct/>
        <w:topLinePunct w:val="0"/>
        <w:bidi w:val="0"/>
        <w:spacing w:line="249" w:lineRule="auto"/>
        <w:rPr>
          <w:color w:val="auto"/>
          <w:highlight w:val="none"/>
          <w:lang w:eastAsia="zh-CN"/>
        </w:rPr>
      </w:pPr>
    </w:p>
    <w:p w14:paraId="62011CCB">
      <w:pPr>
        <w:pageBreakBefore w:val="0"/>
        <w:widowControl w:val="0"/>
        <w:wordWrap/>
        <w:overflowPunct/>
        <w:topLinePunct w:val="0"/>
        <w:bidi w:val="0"/>
        <w:spacing w:line="249" w:lineRule="auto"/>
        <w:rPr>
          <w:color w:val="auto"/>
          <w:highlight w:val="none"/>
          <w:lang w:eastAsia="zh-CN"/>
        </w:rPr>
      </w:pPr>
    </w:p>
    <w:p w14:paraId="6C0507C5">
      <w:pPr>
        <w:pageBreakBefore w:val="0"/>
        <w:widowControl w:val="0"/>
        <w:wordWrap/>
        <w:overflowPunct/>
        <w:topLinePunct w:val="0"/>
        <w:bidi w:val="0"/>
        <w:spacing w:before="78" w:line="219" w:lineRule="auto"/>
        <w:rPr>
          <w:rFonts w:ascii="宋体" w:hAnsi="宋体" w:eastAsia="宋体" w:cs="宋体"/>
          <w:color w:val="auto"/>
          <w:sz w:val="24"/>
          <w:szCs w:val="24"/>
          <w:highlight w:val="none"/>
          <w:lang w:eastAsia="zh-CN"/>
        </w:rPr>
      </w:pPr>
    </w:p>
    <w:p w14:paraId="4DCAA5D6">
      <w:bookmarkStart w:id="2" w:name="_GoBack"/>
      <w:bookmarkEnd w:id="2"/>
    </w:p>
    <w:sectPr>
      <w:pgSz w:w="11906" w:h="16838"/>
      <w:pgMar w:top="1440" w:right="1800" w:bottom="1440" w:left="180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default"/>
    <w:sig w:usb0="E0002EFF" w:usb1="C000785B" w:usb2="00000009" w:usb3="00000000" w:csb0="400001FF" w:csb1="FFFF0000"/>
  </w:font>
  <w:font w:name="宋体">
    <w:panose1 w:val="02010600030101010101"/>
    <w:charset w:val="80"/>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84C4A494"/>
    <w:multiLevelType w:val="singleLevel"/>
    <w:tmpl w:val="84C4A494"/>
    <w:lvl w:ilvl="0" w:tentative="0">
      <w:start w:val="1"/>
      <w:numFmt w:val="chineseCounting"/>
      <w:suff w:val="nothing"/>
      <w:lvlText w:val="（%1）"/>
      <w:lvlJc w:val="left"/>
      <w:rPr>
        <w:rFonts w:hint="eastAsia"/>
      </w:rPr>
    </w:lvl>
  </w:abstractNum>
  <w:abstractNum w:abstractNumId="1">
    <w:nsid w:val="92AF1915"/>
    <w:multiLevelType w:val="singleLevel"/>
    <w:tmpl w:val="92AF1915"/>
    <w:lvl w:ilvl="0" w:tentative="0">
      <w:start w:val="3"/>
      <w:numFmt w:val="decimal"/>
      <w:suff w:val="nothing"/>
      <w:lvlText w:val="%1、"/>
      <w:lvlJc w:val="left"/>
    </w:lvl>
  </w:abstractNum>
  <w:num w:numId="1">
    <w:abstractNumId w:val="1"/>
  </w:num>
  <w:num w:numId="2">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湛蓝的灰">
    <w15:presenceInfo w15:providerId="None" w15:userId="湛蓝的灰"/>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162D4FC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mc:AlternateContent>
    <mc:Choice Requires="wpsCustomData">
      <wpsCustomData:typoFeatureVersion val="1"/>
    </mc:Choice>
  </mc:AlternateConten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qFormat="1" w:unhideWhenUsed="0" w:uiPriority="34" w:semiHidden="0" w:name="List Paragraph"/>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kinsoku w:val="0"/>
      <w:autoSpaceDE w:val="0"/>
      <w:autoSpaceDN w:val="0"/>
      <w:adjustRightInd w:val="0"/>
      <w:snapToGrid w:val="0"/>
      <w:textAlignment w:val="baseline"/>
    </w:pPr>
    <w:rPr>
      <w:rFonts w:ascii="Arial" w:hAnsi="Arial" w:eastAsia="Arial" w:cs="Arial"/>
      <w:snapToGrid w:val="0"/>
      <w:color w:val="000000"/>
      <w:sz w:val="21"/>
      <w:szCs w:val="21"/>
      <w:lang w:val="en-US" w:eastAsia="en-US" w:bidi="ar-SA"/>
    </w:rPr>
  </w:style>
  <w:style w:type="character" w:default="1" w:styleId="4">
    <w:name w:val="Default Paragraph Font"/>
    <w:semiHidden/>
    <w:uiPriority w:val="0"/>
  </w:style>
  <w:style w:type="table" w:default="1" w:styleId="3">
    <w:name w:val="Normal Table"/>
    <w:semiHidden/>
    <w:uiPriority w:val="0"/>
    <w:tblPr>
      <w:tblCellMar>
        <w:top w:w="0" w:type="dxa"/>
        <w:left w:w="108" w:type="dxa"/>
        <w:bottom w:w="0" w:type="dxa"/>
        <w:right w:w="108" w:type="dxa"/>
      </w:tblCellMar>
    </w:tblPr>
  </w:style>
  <w:style w:type="paragraph" w:styleId="2">
    <w:name w:val="footer"/>
    <w:basedOn w:val="1"/>
    <w:qFormat/>
    <w:uiPriority w:val="0"/>
    <w:pPr>
      <w:tabs>
        <w:tab w:val="center" w:pos="4153"/>
        <w:tab w:val="right" w:pos="8306"/>
      </w:tabs>
    </w:pPr>
    <w:rPr>
      <w:sz w:val="18"/>
    </w:rPr>
  </w:style>
  <w:style w:type="paragraph" w:styleId="5">
    <w:name w:val="List Paragraph"/>
    <w:basedOn w:val="1"/>
    <w:qFormat/>
    <w:uiPriority w:val="34"/>
    <w:pPr>
      <w:widowControl/>
      <w:ind w:firstLine="420" w:firstLineChars="200"/>
      <w:jc w:val="left"/>
    </w:pPr>
    <w:rPr>
      <w:rFonts w:ascii="宋体" w:hAnsi="宋体" w:eastAsia="宋体" w:cs="宋体"/>
      <w:kern w:val="0"/>
      <w:sz w:val="24"/>
      <w:szCs w:val="24"/>
    </w:rPr>
  </w:style>
  <w:style w:type="paragraph" w:customStyle="1" w:styleId="6">
    <w:name w:val="首行缩进"/>
    <w:basedOn w:val="1"/>
    <w:qFormat/>
    <w:uiPriority w:val="0"/>
    <w:pPr>
      <w:spacing w:line="360" w:lineRule="auto"/>
      <w:ind w:firstLine="420" w:firstLineChars="200"/>
    </w:pPr>
    <w:rPr>
      <w:rFonts w:ascii="Times New Roman" w:hAnsi="Times New Roman" w:eastAsia="宋体" w:cs="Times New Roman"/>
      <w:szCs w:val="20"/>
    </w:rPr>
  </w:style>
  <w:style w:type="paragraph" w:customStyle="1" w:styleId="7">
    <w:name w:val="缺省文本"/>
    <w:basedOn w:val="1"/>
    <w:qFormat/>
    <w:uiPriority w:val="0"/>
    <w:pPr>
      <w:autoSpaceDE w:val="0"/>
      <w:autoSpaceDN w:val="0"/>
      <w:adjustRightInd w:val="0"/>
      <w:spacing w:before="20" w:after="20" w:line="400" w:lineRule="exact"/>
      <w:ind w:firstLine="504"/>
      <w:jc w:val="left"/>
    </w:pPr>
    <w:rPr>
      <w:rFonts w:ascii="Calibri" w:hAnsi="Calibri" w:eastAsia="宋体" w:cs="Times New Roman"/>
      <w:kern w:val="0"/>
      <w:sz w:val="24"/>
    </w:rPr>
  </w:style>
</w:styles>
</file>

<file path=word/_rels/document.xml.rels><?xml version="1.0" encoding="UTF-8" standalone="yes"?>
<Relationships xmlns="http://schemas.openxmlformats.org/package/2006/relationships"><Relationship Id="rId6" Type="http://schemas.microsoft.com/office/2011/relationships/people" Target="people.xml"/><Relationship Id="rId5" Type="http://schemas.openxmlformats.org/officeDocument/2006/relationships/fontTable" Target="fontTable.xml"/><Relationship Id="rId4" Type="http://schemas.openxmlformats.org/officeDocument/2006/relationships/numbering" Target="numbering.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游ゴシック Light"/>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8</Pages>
  <Words>0</Words>
  <Characters>0</Characters>
  <Lines>0</Lines>
  <Paragraphs>0</Paragraphs>
  <TotalTime>0</TotalTime>
  <ScaleCrop>false</ScaleCrop>
  <LinksUpToDate>false</LinksUpToDate>
  <CharactersWithSpaces>0</CharactersWithSpaces>
  <Application>WPS Office_12.1.0.26895_F1E327BC-269C-435d-A152-05C5408002CA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2026-06-23T08:57:09Z</dcterms:created>
  <dc:creator>Administrator</dc:creator>
  <cp:lastModifiedBy>Administrator</cp:lastModifiedBy>
  <dcterms:modified xsi:type="dcterms:W3CDTF">2026-06-23T08:57:19Z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2052-12.1.0.26895</vt:lpwstr>
  </property>
  <property fmtid="{D5CDD505-2E9C-101B-9397-08002B2CF9AE}" pid="3" name="KSOTemplateDocerSaveRecord">
    <vt:lpwstr>eyJoZGlkIjoiYTNhNTg2N2RiNTM0YTZiMzVjYWMxYTMxNTY0YjFlY2QiLCJ1c2VySWQiOiIzODU2MzkzOTcifQ==</vt:lpwstr>
  </property>
  <property fmtid="{D5CDD505-2E9C-101B-9397-08002B2CF9AE}" pid="4" name="ICV">
    <vt:lpwstr>37A1D37C6299428FB2871F9E5A89BDAB_12</vt:lpwstr>
  </property>
</Properties>
</file>