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03B9AC">
      <w:pPr>
        <w:pageBreakBefore w:val="0"/>
        <w:widowControl w:val="0"/>
        <w:wordWrap/>
        <w:overflowPunct/>
        <w:topLinePunct w:val="0"/>
        <w:bidi w:val="0"/>
        <w:spacing w:before="78" w:line="220" w:lineRule="auto"/>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p>
    <w:p w14:paraId="28B0BF4C">
      <w:pPr>
        <w:pageBreakBefore w:val="0"/>
        <w:widowControl w:val="0"/>
        <w:wordWrap/>
        <w:overflowPunct/>
        <w:topLinePunct w:val="0"/>
        <w:bidi w:val="0"/>
        <w:rPr>
          <w:color w:val="auto"/>
          <w:spacing w:val="0"/>
          <w:w w:val="100"/>
          <w:position w:val="0"/>
        </w:rPr>
      </w:pPr>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033F83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193B4879">
            <w:pPr>
              <w:widowControl w:val="0"/>
              <w:spacing w:before="183" w:line="223" w:lineRule="auto"/>
              <w:ind w:left="1091"/>
              <w:rPr>
                <w:rFonts w:ascii="宋体" w:hAnsi="宋体" w:eastAsia="宋体" w:cs="宋体"/>
                <w:color w:val="auto"/>
                <w:sz w:val="24"/>
                <w:szCs w:val="24"/>
              </w:rPr>
            </w:pPr>
            <w:r>
              <w:rPr>
                <w:color w:val="auto"/>
                <w:lang w:eastAsia="zh-CN"/>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rPr>
              <w:t>名</w:t>
            </w:r>
          </w:p>
          <w:p w14:paraId="1B7FD784">
            <w:pPr>
              <w:pStyle w:val="8"/>
              <w:widowControl w:val="0"/>
              <w:spacing w:line="245" w:lineRule="auto"/>
              <w:rPr>
                <w:color w:val="auto"/>
              </w:rPr>
            </w:pPr>
          </w:p>
          <w:p w14:paraId="3F817B5F">
            <w:pPr>
              <w:pStyle w:val="8"/>
              <w:widowControl w:val="0"/>
              <w:spacing w:line="246" w:lineRule="auto"/>
              <w:rPr>
                <w:color w:val="auto"/>
              </w:rPr>
            </w:pPr>
          </w:p>
          <w:p w14:paraId="06BB4294">
            <w:pPr>
              <w:widowControl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1F96513F">
            <w:pPr>
              <w:pStyle w:val="8"/>
              <w:widowControl w:val="0"/>
              <w:spacing w:line="338" w:lineRule="auto"/>
              <w:rPr>
                <w:color w:val="auto"/>
              </w:rPr>
            </w:pPr>
          </w:p>
          <w:p w14:paraId="1B447EE3">
            <w:pPr>
              <w:widowControl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1101" w:type="dxa"/>
            <w:tcBorders>
              <w:left w:val="nil"/>
            </w:tcBorders>
          </w:tcPr>
          <w:p w14:paraId="0747AB55">
            <w:pPr>
              <w:pStyle w:val="8"/>
              <w:widowControl w:val="0"/>
              <w:spacing w:line="263" w:lineRule="auto"/>
              <w:rPr>
                <w:color w:val="auto"/>
              </w:rPr>
            </w:pPr>
          </w:p>
          <w:p w14:paraId="44EC067C">
            <w:pPr>
              <w:pStyle w:val="8"/>
              <w:widowControl w:val="0"/>
              <w:spacing w:line="263" w:lineRule="auto"/>
              <w:rPr>
                <w:color w:val="auto"/>
              </w:rPr>
            </w:pPr>
          </w:p>
          <w:p w14:paraId="612FDA76">
            <w:pPr>
              <w:pStyle w:val="8"/>
              <w:widowControl w:val="0"/>
              <w:spacing w:line="264" w:lineRule="auto"/>
              <w:rPr>
                <w:color w:val="auto"/>
              </w:rPr>
            </w:pPr>
          </w:p>
          <w:p w14:paraId="4CABF49D">
            <w:pPr>
              <w:widowControl w:val="0"/>
              <w:spacing w:before="78" w:line="221" w:lineRule="auto"/>
              <w:ind w:left="192"/>
              <w:rPr>
                <w:rFonts w:ascii="宋体" w:hAnsi="宋体" w:eastAsia="宋体" w:cs="宋体"/>
                <w:color w:val="auto"/>
                <w:sz w:val="24"/>
                <w:szCs w:val="24"/>
              </w:rPr>
            </w:pPr>
            <w:r>
              <w:rPr>
                <w:rFonts w:ascii="宋体" w:hAnsi="宋体" w:eastAsia="宋体" w:cs="宋体"/>
                <w:color w:val="auto"/>
                <w:sz w:val="24"/>
                <w:szCs w:val="24"/>
              </w:rPr>
              <w:t>称</w:t>
            </w:r>
          </w:p>
        </w:tc>
        <w:tc>
          <w:tcPr>
            <w:tcW w:w="6263" w:type="dxa"/>
            <w:vAlign w:val="top"/>
          </w:tcPr>
          <w:p w14:paraId="154B962A">
            <w:pPr>
              <w:pStyle w:val="8"/>
              <w:widowControl w:val="0"/>
              <w:rPr>
                <w:color w:val="auto"/>
                <w:sz w:val="28"/>
                <w:szCs w:val="28"/>
                <w:lang w:eastAsia="zh-CN"/>
              </w:rPr>
            </w:pPr>
          </w:p>
          <w:p w14:paraId="446DE0BC">
            <w:pPr>
              <w:pStyle w:val="8"/>
              <w:widowControl w:val="0"/>
              <w:rPr>
                <w:color w:val="auto"/>
                <w:sz w:val="28"/>
                <w:szCs w:val="28"/>
                <w:lang w:eastAsia="zh-CN"/>
              </w:rPr>
            </w:pPr>
          </w:p>
          <w:p w14:paraId="77570DFF">
            <w:pPr>
              <w:pStyle w:val="8"/>
              <w:widowControl w:val="0"/>
              <w:rPr>
                <w:color w:val="auto"/>
                <w:sz w:val="28"/>
                <w:szCs w:val="28"/>
                <w:lang w:eastAsia="zh-CN"/>
              </w:rPr>
            </w:pPr>
          </w:p>
          <w:p w14:paraId="786F62A8">
            <w:pPr>
              <w:pStyle w:val="8"/>
              <w:widowControl w:val="0"/>
              <w:jc w:val="center"/>
              <w:rPr>
                <w:rFonts w:eastAsia="宋体"/>
                <w:color w:val="auto"/>
                <w:lang w:eastAsia="zh-CN"/>
              </w:rPr>
            </w:pPr>
            <w:r>
              <w:rPr>
                <w:rFonts w:hint="eastAsia" w:ascii="宋体" w:hAnsi="宋体" w:eastAsia="宋体" w:cs="宋体"/>
                <w:color w:val="auto"/>
                <w:sz w:val="24"/>
                <w:szCs w:val="24"/>
                <w:lang w:eastAsia="zh-CN"/>
              </w:rPr>
              <w:t>新干县人民医院内外科大楼建设（二期）及服务能力整体提升项目-麻醉机及监护仪设备采购项目</w:t>
            </w:r>
          </w:p>
        </w:tc>
      </w:tr>
      <w:tr w14:paraId="1757B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7F8111CB">
            <w:pPr>
              <w:widowControl w:val="0"/>
              <w:spacing w:before="253" w:line="219" w:lineRule="auto"/>
              <w:ind w:left="1188"/>
              <w:jc w:val="both"/>
              <w:rPr>
                <w:rFonts w:ascii="宋体" w:hAnsi="宋体" w:eastAsia="宋体" w:cs="宋体"/>
                <w:color w:val="auto"/>
                <w:spacing w:val="-6"/>
                <w:sz w:val="24"/>
                <w:szCs w:val="24"/>
              </w:rPr>
            </w:pPr>
            <w:r>
              <w:rPr>
                <w:rFonts w:hint="eastAsia" w:ascii="宋体" w:hAnsi="宋体" w:eastAsia="宋体" w:cs="宋体"/>
                <w:color w:val="auto"/>
                <w:spacing w:val="-6"/>
                <w:sz w:val="24"/>
                <w:szCs w:val="24"/>
              </w:rPr>
              <w:t>数量</w:t>
            </w:r>
          </w:p>
        </w:tc>
        <w:tc>
          <w:tcPr>
            <w:tcW w:w="6263" w:type="dxa"/>
            <w:vAlign w:val="top"/>
          </w:tcPr>
          <w:p w14:paraId="6761AA2D">
            <w:pPr>
              <w:pStyle w:val="8"/>
              <w:widowControl w:val="0"/>
              <w:jc w:val="center"/>
              <w:rPr>
                <w:rFonts w:ascii="宋体" w:hAnsi="宋体" w:eastAsia="宋体" w:cs="宋体"/>
                <w:color w:val="auto"/>
                <w:sz w:val="24"/>
                <w:szCs w:val="24"/>
                <w:lang w:eastAsia="zh-CN"/>
              </w:rPr>
            </w:pPr>
          </w:p>
          <w:p w14:paraId="1E06B47C">
            <w:pPr>
              <w:pStyle w:val="8"/>
              <w:widowControl w:val="0"/>
              <w:jc w:val="center"/>
              <w:rPr>
                <w:rFonts w:hint="default" w:ascii="宋体" w:hAnsi="宋体" w:eastAsia="宋体" w:cs="宋体"/>
                <w:color w:val="auto"/>
                <w:spacing w:val="-6"/>
                <w:sz w:val="24"/>
                <w:szCs w:val="24"/>
                <w:lang w:val="en-US" w:eastAsia="zh-CN"/>
              </w:rPr>
            </w:pPr>
            <w:r>
              <w:rPr>
                <w:rFonts w:hint="eastAsia" w:ascii="宋体" w:hAnsi="宋体" w:eastAsia="宋体" w:cs="宋体"/>
                <w:color w:val="auto"/>
                <w:sz w:val="24"/>
                <w:szCs w:val="24"/>
                <w:lang w:eastAsia="zh-CN"/>
              </w:rPr>
              <w:t>1批</w:t>
            </w:r>
          </w:p>
        </w:tc>
      </w:tr>
      <w:tr w14:paraId="3A0B5C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A4B4224">
            <w:pPr>
              <w:widowControl w:val="0"/>
              <w:spacing w:before="253" w:line="219" w:lineRule="auto"/>
              <w:ind w:left="1071"/>
              <w:rPr>
                <w:rFonts w:ascii="宋体" w:hAnsi="宋体" w:eastAsia="宋体" w:cs="宋体"/>
                <w:color w:val="auto"/>
                <w:sz w:val="24"/>
                <w:szCs w:val="24"/>
              </w:rPr>
            </w:pPr>
            <w:r>
              <w:rPr>
                <w:rFonts w:ascii="宋体" w:hAnsi="宋体" w:eastAsia="宋体" w:cs="宋体"/>
                <w:color w:val="auto"/>
                <w:spacing w:val="-5"/>
                <w:sz w:val="24"/>
                <w:szCs w:val="24"/>
              </w:rPr>
              <w:t>交货期</w:t>
            </w:r>
          </w:p>
        </w:tc>
        <w:tc>
          <w:tcPr>
            <w:tcW w:w="6263" w:type="dxa"/>
            <w:vAlign w:val="top"/>
          </w:tcPr>
          <w:p w14:paraId="780AA035">
            <w:pPr>
              <w:pStyle w:val="8"/>
              <w:widowControl w:val="0"/>
              <w:jc w:val="center"/>
              <w:rPr>
                <w:rFonts w:asciiTheme="minorEastAsia" w:hAnsiTheme="minorEastAsia" w:eastAsiaTheme="minorEastAsia" w:cstheme="minorEastAsia"/>
                <w:color w:val="auto"/>
                <w:sz w:val="24"/>
                <w:lang w:eastAsia="zh-CN"/>
              </w:rPr>
            </w:pPr>
          </w:p>
          <w:p w14:paraId="507F07A9">
            <w:pPr>
              <w:pStyle w:val="8"/>
              <w:widowControl w:val="0"/>
              <w:jc w:val="center"/>
              <w:rPr>
                <w:color w:val="auto"/>
                <w:lang w:eastAsia="zh-CN"/>
              </w:rPr>
            </w:pPr>
            <w:r>
              <w:rPr>
                <w:rFonts w:hint="eastAsia" w:ascii="宋体" w:hAnsi="宋体" w:eastAsia="宋体" w:cs="宋体"/>
                <w:bCs/>
                <w:sz w:val="24"/>
                <w:szCs w:val="24"/>
                <w:highlight w:val="none"/>
                <w:lang w:eastAsia="zh-CN" w:bidi="ar"/>
              </w:rPr>
              <w:t>合同签订后</w:t>
            </w:r>
            <w:r>
              <w:rPr>
                <w:rFonts w:hint="eastAsia" w:ascii="宋体" w:hAnsi="宋体" w:eastAsia="宋体" w:cs="宋体"/>
                <w:bCs/>
                <w:sz w:val="24"/>
                <w:szCs w:val="24"/>
                <w:highlight w:val="none"/>
                <w:lang w:val="en-US" w:eastAsia="zh-CN" w:bidi="ar"/>
              </w:rPr>
              <w:t>30</w:t>
            </w:r>
            <w:r>
              <w:rPr>
                <w:rFonts w:hint="eastAsia" w:ascii="宋体" w:hAnsi="宋体" w:eastAsia="宋体" w:cs="宋体"/>
                <w:bCs/>
                <w:sz w:val="24"/>
                <w:szCs w:val="24"/>
                <w:highlight w:val="none"/>
                <w:lang w:eastAsia="zh-CN" w:bidi="ar"/>
              </w:rPr>
              <w:t>日内完成安装、调试并交付使用。</w:t>
            </w:r>
          </w:p>
        </w:tc>
      </w:tr>
      <w:tr w14:paraId="0611F2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F30F9AB">
            <w:pPr>
              <w:widowControl w:val="0"/>
              <w:spacing w:before="256" w:line="219" w:lineRule="auto"/>
              <w:ind w:left="951"/>
              <w:rPr>
                <w:rFonts w:ascii="宋体" w:hAnsi="宋体" w:eastAsia="宋体" w:cs="宋体"/>
                <w:color w:val="auto"/>
                <w:sz w:val="24"/>
                <w:szCs w:val="24"/>
              </w:rPr>
            </w:pPr>
            <w:r>
              <w:rPr>
                <w:rFonts w:ascii="宋体" w:hAnsi="宋体" w:eastAsia="宋体" w:cs="宋体"/>
                <w:color w:val="auto"/>
                <w:spacing w:val="-4"/>
                <w:sz w:val="24"/>
                <w:szCs w:val="24"/>
              </w:rPr>
              <w:t>交货地点</w:t>
            </w:r>
          </w:p>
        </w:tc>
        <w:tc>
          <w:tcPr>
            <w:tcW w:w="6263" w:type="dxa"/>
            <w:vAlign w:val="top"/>
          </w:tcPr>
          <w:p w14:paraId="412485E5">
            <w:pPr>
              <w:pStyle w:val="8"/>
              <w:widowControl w:val="0"/>
              <w:rPr>
                <w:rFonts w:ascii="宋体" w:hAnsi="宋体" w:eastAsia="宋体" w:cs="宋体"/>
                <w:color w:val="auto"/>
                <w:sz w:val="24"/>
                <w:szCs w:val="24"/>
                <w:lang w:eastAsia="zh-CN"/>
              </w:rPr>
            </w:pPr>
          </w:p>
          <w:p w14:paraId="0548839B">
            <w:pPr>
              <w:pStyle w:val="8"/>
              <w:widowControl w:val="0"/>
              <w:jc w:val="center"/>
              <w:rPr>
                <w:rFonts w:ascii="宋体" w:hAnsi="宋体" w:eastAsia="宋体" w:cs="宋体"/>
                <w:color w:val="auto"/>
                <w:spacing w:val="-6"/>
                <w:sz w:val="24"/>
                <w:szCs w:val="24"/>
                <w:lang w:eastAsia="zh-CN"/>
              </w:rPr>
            </w:pPr>
            <w:r>
              <w:rPr>
                <w:rFonts w:hint="eastAsia" w:ascii="宋体" w:hAnsi="宋体" w:eastAsia="宋体" w:cs="宋体"/>
                <w:color w:val="auto"/>
                <w:sz w:val="24"/>
                <w:szCs w:val="24"/>
                <w:lang w:eastAsia="zh-CN"/>
              </w:rPr>
              <w:t>采购人指定地点</w:t>
            </w:r>
          </w:p>
        </w:tc>
      </w:tr>
      <w:tr w14:paraId="3BE7CC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106F4AC">
            <w:pPr>
              <w:widowControl w:val="0"/>
              <w:spacing w:before="257" w:line="220" w:lineRule="auto"/>
              <w:ind w:left="951"/>
              <w:rPr>
                <w:rFonts w:ascii="宋体" w:hAnsi="宋体" w:eastAsia="宋体" w:cs="宋体"/>
                <w:color w:val="auto"/>
                <w:sz w:val="24"/>
                <w:szCs w:val="24"/>
              </w:rPr>
            </w:pPr>
            <w:r>
              <w:rPr>
                <w:rFonts w:ascii="宋体" w:hAnsi="宋体" w:eastAsia="宋体" w:cs="宋体"/>
                <w:color w:val="auto"/>
                <w:spacing w:val="-4"/>
                <w:sz w:val="24"/>
                <w:szCs w:val="24"/>
              </w:rPr>
              <w:t>安装地点</w:t>
            </w:r>
          </w:p>
        </w:tc>
        <w:tc>
          <w:tcPr>
            <w:tcW w:w="6263" w:type="dxa"/>
            <w:vAlign w:val="top"/>
          </w:tcPr>
          <w:p w14:paraId="4966E299">
            <w:pPr>
              <w:pStyle w:val="8"/>
              <w:widowControl w:val="0"/>
              <w:jc w:val="center"/>
              <w:rPr>
                <w:rFonts w:ascii="宋体" w:hAnsi="宋体" w:eastAsia="宋体" w:cs="宋体"/>
                <w:color w:val="auto"/>
                <w:sz w:val="24"/>
                <w:szCs w:val="24"/>
                <w:lang w:eastAsia="zh-CN"/>
              </w:rPr>
            </w:pPr>
          </w:p>
          <w:p w14:paraId="29DFBD33">
            <w:pPr>
              <w:pStyle w:val="8"/>
              <w:widowControl w:val="0"/>
              <w:jc w:val="center"/>
              <w:rPr>
                <w:rFonts w:ascii="宋体" w:hAnsi="宋体" w:eastAsia="宋体" w:cs="宋体"/>
                <w:color w:val="auto"/>
                <w:spacing w:val="-6"/>
                <w:sz w:val="24"/>
                <w:szCs w:val="24"/>
                <w:lang w:eastAsia="zh-CN"/>
              </w:rPr>
            </w:pPr>
            <w:r>
              <w:rPr>
                <w:rFonts w:hint="eastAsia" w:ascii="宋体" w:hAnsi="宋体" w:eastAsia="宋体" w:cs="宋体"/>
                <w:color w:val="auto"/>
                <w:sz w:val="24"/>
                <w:szCs w:val="24"/>
                <w:lang w:eastAsia="zh-CN"/>
              </w:rPr>
              <w:t>采购人指定地点</w:t>
            </w:r>
          </w:p>
        </w:tc>
      </w:tr>
      <w:tr w14:paraId="3F581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vAlign w:val="center"/>
          </w:tcPr>
          <w:p w14:paraId="3F1E4B50">
            <w:pPr>
              <w:widowControl w:val="0"/>
              <w:spacing w:before="256" w:line="360" w:lineRule="auto"/>
              <w:jc w:val="center"/>
              <w:rPr>
                <w:rFonts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备注</w:t>
            </w:r>
          </w:p>
        </w:tc>
        <w:tc>
          <w:tcPr>
            <w:tcW w:w="6263" w:type="dxa"/>
          </w:tcPr>
          <w:p w14:paraId="69E600E5">
            <w:pPr>
              <w:pStyle w:val="8"/>
              <w:widowControl w:val="0"/>
              <w:spacing w:line="360" w:lineRule="auto"/>
              <w:rPr>
                <w:rFonts w:ascii="宋体" w:hAnsi="宋体" w:eastAsia="宋体" w:cs="宋体"/>
                <w:color w:val="auto"/>
                <w:spacing w:val="-6"/>
                <w:sz w:val="24"/>
                <w:szCs w:val="24"/>
                <w:lang w:eastAsia="zh-CN"/>
              </w:rPr>
            </w:pPr>
            <w:r>
              <w:rPr>
                <w:rFonts w:hint="eastAsia" w:ascii="宋体" w:hAnsi="宋体" w:cs="宋体"/>
                <w:color w:val="000000" w:themeColor="text1"/>
                <w:sz w:val="24"/>
                <w:szCs w:val="24"/>
                <w:highlight w:val="none"/>
                <w:lang w:eastAsia="zh-CN"/>
                <w14:textFill>
                  <w14:solidFill>
                    <w14:schemeClr w14:val="tx1"/>
                  </w14:solidFill>
                </w14:textFill>
              </w:rPr>
              <w:t>投标报价</w:t>
            </w:r>
            <w:r>
              <w:rPr>
                <w:rFonts w:hint="eastAsia" w:ascii="宋体" w:hAnsi="宋体" w:eastAsia="宋体" w:cs="宋体"/>
                <w:color w:val="auto"/>
                <w:spacing w:val="-6"/>
                <w:sz w:val="24"/>
                <w:szCs w:val="24"/>
                <w:highlight w:val="none"/>
                <w:lang w:eastAsia="zh-CN"/>
              </w:rPr>
              <w:t>包括但不限于产品设计费、专利费、生产/制作成本费(包括人工、机械、材料、生产办公场所使用费用、企业管理费等)利润、关税、增值税、相关手续费、运费(含国际运费)、装卸费、二次搬运费、验收时的试剂耗材、强制性第三方监督检验机构的验收检验费、培训费用、售后服务费用、接口费、安装调试费、保险费、配套资料费、质量保证期内的运行维护费、责任等合同实施过程中不可预见费用。</w:t>
            </w:r>
          </w:p>
        </w:tc>
      </w:tr>
    </w:tbl>
    <w:p w14:paraId="5A8C3A83">
      <w:pPr>
        <w:pageBreakBefore w:val="0"/>
        <w:widowControl w:val="0"/>
        <w:wordWrap/>
        <w:overflowPunct/>
        <w:topLinePunct w:val="0"/>
        <w:bidi w:val="0"/>
        <w:rPr>
          <w:color w:val="auto"/>
          <w:spacing w:val="0"/>
          <w:w w:val="100"/>
          <w:position w:val="0"/>
        </w:rPr>
        <w:sectPr>
          <w:footerReference r:id="rId3" w:type="default"/>
          <w:pgSz w:w="11906" w:h="16839"/>
          <w:pgMar w:top="1429" w:right="1587" w:bottom="1429" w:left="1587" w:header="0" w:footer="994" w:gutter="0"/>
          <w:pgNumType w:fmt="decimal"/>
          <w:cols w:space="720" w:num="1"/>
        </w:sectPr>
      </w:pPr>
    </w:p>
    <w:p w14:paraId="62EA8228">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0" w:name="bookmark81"/>
      <w:bookmarkEnd w:id="0"/>
      <w:r>
        <w:rPr>
          <w:rFonts w:ascii="宋体" w:hAnsi="宋体" w:eastAsia="宋体" w:cs="宋体"/>
          <w:color w:val="auto"/>
          <w:spacing w:val="0"/>
          <w:w w:val="100"/>
          <w:position w:val="0"/>
          <w:sz w:val="28"/>
          <w:szCs w:val="28"/>
          <w14:textOutline w14:w="4356" w14:cap="sq" w14:cmpd="sng" w14:algn="ctr">
            <w14:solidFill>
              <w14:srgbClr w14:val="000000"/>
            </w14:solidFill>
            <w14:prstDash w14:val="solid"/>
            <w14:bevel/>
          </w14:textOutline>
        </w:rPr>
        <w:t>二、采购需求</w:t>
      </w:r>
    </w:p>
    <w:p w14:paraId="3028697F">
      <w:pPr>
        <w:pageBreakBefore w:val="0"/>
        <w:widowControl w:val="0"/>
        <w:wordWrap/>
        <w:overflowPunct/>
        <w:topLinePunct w:val="0"/>
        <w:bidi w:val="0"/>
        <w:spacing w:line="257" w:lineRule="auto"/>
        <w:rPr>
          <w:color w:val="auto"/>
          <w:spacing w:val="0"/>
          <w:w w:val="100"/>
          <w:position w:val="0"/>
        </w:rPr>
      </w:pPr>
    </w:p>
    <w:p w14:paraId="746F2B3C">
      <w:pPr>
        <w:widowControl w:val="0"/>
        <w:numPr>
          <w:ilvl w:val="255"/>
          <w:numId w:val="0"/>
        </w:numPr>
        <w:spacing w:before="47" w:line="219" w:lineRule="auto"/>
        <w:outlineLvl w:val="9"/>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（一）采购清单</w:t>
      </w:r>
    </w:p>
    <w:tbl>
      <w:tblPr>
        <w:tblStyle w:val="5"/>
        <w:tblW w:w="7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2"/>
        <w:gridCol w:w="2268"/>
        <w:gridCol w:w="1855"/>
        <w:gridCol w:w="1855"/>
      </w:tblGrid>
      <w:tr w14:paraId="68516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442" w:type="dxa"/>
            <w:vAlign w:val="center"/>
          </w:tcPr>
          <w:p w14:paraId="5617ABDE">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序号</w:t>
            </w:r>
          </w:p>
        </w:tc>
        <w:tc>
          <w:tcPr>
            <w:tcW w:w="2268" w:type="dxa"/>
            <w:vAlign w:val="center"/>
          </w:tcPr>
          <w:p w14:paraId="7BE51A86">
            <w:pPr>
              <w:widowControl w:val="0"/>
              <w:numPr>
                <w:ilvl w:val="255"/>
                <w:numId w:val="0"/>
              </w:numPr>
              <w:spacing w:before="47" w:line="219" w:lineRule="auto"/>
              <w:jc w:val="center"/>
              <w:outlineLvl w:val="9"/>
              <w:rPr>
                <w:rFonts w:asciiTheme="minorEastAsia" w:hAnsiTheme="minorEastAsia" w:eastAsiaTheme="minorEastAsia" w:cstheme="minorEastAsia"/>
                <w:color w:val="auto"/>
                <w:sz w:val="24"/>
                <w:szCs w:val="24"/>
                <w:lang w:eastAsia="zh-CN"/>
                <w14:textOutline w14:w="4356" w14:cap="sq" w14:cmpd="sng" w14:algn="ctr">
                  <w14:solidFill>
                    <w14:srgbClr w14:val="000000"/>
                  </w14:solidFill>
                  <w14:prstDash w14:val="solid"/>
                  <w14:bevel/>
                </w14:textOutline>
              </w:rPr>
            </w:pPr>
            <w:r>
              <w:rPr>
                <w:rFonts w:hint="eastAsia" w:asciiTheme="minorEastAsia" w:hAnsiTheme="minorEastAsia" w:eastAsiaTheme="minorEastAsia" w:cstheme="minorEastAsia"/>
                <w:sz w:val="24"/>
                <w:szCs w:val="24"/>
                <w:lang w:eastAsia="zh-CN"/>
              </w:rPr>
              <w:t>设备名称</w:t>
            </w:r>
          </w:p>
        </w:tc>
        <w:tc>
          <w:tcPr>
            <w:tcW w:w="1855" w:type="dxa"/>
            <w:vAlign w:val="center"/>
          </w:tcPr>
          <w:p w14:paraId="0A2C3391">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数量</w:t>
            </w:r>
          </w:p>
        </w:tc>
        <w:tc>
          <w:tcPr>
            <w:tcW w:w="1855" w:type="dxa"/>
            <w:vAlign w:val="center"/>
          </w:tcPr>
          <w:p w14:paraId="4EF7ACC3">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单位</w:t>
            </w:r>
          </w:p>
        </w:tc>
      </w:tr>
      <w:tr w14:paraId="1BB94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442" w:type="dxa"/>
            <w:vAlign w:val="center"/>
          </w:tcPr>
          <w:p w14:paraId="0F0C63DB">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w:t>
            </w:r>
          </w:p>
        </w:tc>
        <w:tc>
          <w:tcPr>
            <w:tcW w:w="2268" w:type="dxa"/>
            <w:vAlign w:val="center"/>
          </w:tcPr>
          <w:p w14:paraId="0E3E703C">
            <w:pPr>
              <w:widowControl w:val="0"/>
              <w:numPr>
                <w:ilvl w:val="255"/>
                <w:numId w:val="0"/>
              </w:numPr>
              <w:spacing w:before="47" w:line="219" w:lineRule="auto"/>
              <w:jc w:val="center"/>
              <w:outlineLvl w:val="9"/>
              <w:rPr>
                <w:rFonts w:asciiTheme="minorEastAsia" w:hAnsiTheme="minorEastAsia" w:eastAsiaTheme="minorEastAsia" w:cstheme="minorEastAsia"/>
                <w:color w:val="auto"/>
                <w:sz w:val="24"/>
                <w:szCs w:val="24"/>
                <w:lang w:eastAsia="zh-CN"/>
                <w14:textOutline w14:w="4356" w14:cap="sq" w14:cmpd="sng" w14:algn="ctr">
                  <w14:solidFill>
                    <w14:srgbClr w14:val="000000"/>
                  </w14:solidFill>
                  <w14:prstDash w14:val="solid"/>
                  <w14:bevel/>
                </w14:textOutline>
              </w:rPr>
            </w:pPr>
            <w:r>
              <w:rPr>
                <w:rFonts w:hint="eastAsia" w:asciiTheme="minorEastAsia" w:hAnsiTheme="minorEastAsia" w:eastAsiaTheme="minorEastAsia" w:cstheme="minorEastAsia"/>
                <w:sz w:val="24"/>
                <w:szCs w:val="24"/>
                <w:lang w:eastAsia="zh-CN"/>
              </w:rPr>
              <w:t>麻醉机</w:t>
            </w:r>
          </w:p>
        </w:tc>
        <w:tc>
          <w:tcPr>
            <w:tcW w:w="1855" w:type="dxa"/>
            <w:vAlign w:val="center"/>
          </w:tcPr>
          <w:p w14:paraId="311166CC">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w:t>
            </w:r>
          </w:p>
        </w:tc>
        <w:tc>
          <w:tcPr>
            <w:tcW w:w="1855" w:type="dxa"/>
            <w:vAlign w:val="center"/>
          </w:tcPr>
          <w:p w14:paraId="46EE8FFD">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台</w:t>
            </w:r>
          </w:p>
        </w:tc>
      </w:tr>
      <w:tr w14:paraId="1EBA2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1442" w:type="dxa"/>
            <w:vAlign w:val="center"/>
          </w:tcPr>
          <w:p w14:paraId="23496148">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w:t>
            </w:r>
          </w:p>
        </w:tc>
        <w:tc>
          <w:tcPr>
            <w:tcW w:w="2268" w:type="dxa"/>
            <w:vAlign w:val="center"/>
          </w:tcPr>
          <w:p w14:paraId="4D0380EF">
            <w:pPr>
              <w:widowControl w:val="0"/>
              <w:numPr>
                <w:ilvl w:val="255"/>
                <w:numId w:val="0"/>
              </w:numPr>
              <w:spacing w:before="47" w:line="219" w:lineRule="auto"/>
              <w:jc w:val="center"/>
              <w:outlineLvl w:val="9"/>
              <w:rPr>
                <w:rFonts w:asciiTheme="minorEastAsia" w:hAnsiTheme="minorEastAsia" w:eastAsiaTheme="minorEastAsia" w:cstheme="minorEastAsia"/>
                <w:color w:val="auto"/>
                <w:sz w:val="24"/>
                <w:szCs w:val="24"/>
                <w:lang w:eastAsia="zh-CN"/>
                <w14:textOutline w14:w="4356" w14:cap="sq" w14:cmpd="sng" w14:algn="ctr">
                  <w14:solidFill>
                    <w14:srgbClr w14:val="000000"/>
                  </w14:solidFill>
                  <w14:prstDash w14:val="solid"/>
                  <w14:bevel/>
                </w14:textOutline>
              </w:rPr>
            </w:pPr>
            <w:r>
              <w:rPr>
                <w:rFonts w:hint="eastAsia" w:asciiTheme="minorEastAsia" w:hAnsiTheme="minorEastAsia" w:eastAsiaTheme="minorEastAsia" w:cstheme="minorEastAsia"/>
                <w:sz w:val="24"/>
                <w:szCs w:val="24"/>
                <w:lang w:eastAsia="zh-CN"/>
              </w:rPr>
              <w:t>监护仪</w:t>
            </w:r>
          </w:p>
        </w:tc>
        <w:tc>
          <w:tcPr>
            <w:tcW w:w="1855" w:type="dxa"/>
            <w:vAlign w:val="center"/>
          </w:tcPr>
          <w:p w14:paraId="3052EA24">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5</w:t>
            </w:r>
          </w:p>
        </w:tc>
        <w:tc>
          <w:tcPr>
            <w:tcW w:w="1855" w:type="dxa"/>
            <w:vAlign w:val="center"/>
          </w:tcPr>
          <w:p w14:paraId="0BCE5FF6">
            <w:pPr>
              <w:widowControl w:val="0"/>
              <w:numPr>
                <w:ilvl w:val="255"/>
                <w:numId w:val="0"/>
              </w:numPr>
              <w:spacing w:before="47" w:line="219" w:lineRule="auto"/>
              <w:jc w:val="center"/>
              <w:outlineLvl w:val="9"/>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台</w:t>
            </w:r>
          </w:p>
        </w:tc>
      </w:tr>
    </w:tbl>
    <w:p w14:paraId="2EF7BE32">
      <w:pPr>
        <w:widowControl w:val="0"/>
        <w:numPr>
          <w:ilvl w:val="255"/>
          <w:numId w:val="0"/>
        </w:numPr>
        <w:spacing w:before="47" w:line="219" w:lineRule="auto"/>
        <w:outlineLvl w:val="9"/>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12C1B9A7">
      <w:pPr>
        <w:widowControl w:val="0"/>
        <w:numPr>
          <w:ilvl w:val="255"/>
          <w:numId w:val="0"/>
        </w:numPr>
        <w:spacing w:before="47" w:line="219" w:lineRule="auto"/>
        <w:outlineLvl w:val="9"/>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（二）</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技术要求</w:t>
      </w:r>
    </w:p>
    <w:p w14:paraId="6E0B5E44">
      <w:pPr>
        <w:numPr>
          <w:ilvl w:val="255"/>
          <w:numId w:val="0"/>
        </w:numPr>
        <w:spacing w:before="153" w:line="360" w:lineRule="auto"/>
        <w:rPr>
          <w:rFonts w:ascii="宋体" w:hAnsi="宋体" w:eastAsia="宋体" w:cs="宋体"/>
          <w:b/>
          <w:bCs/>
          <w:spacing w:val="-2"/>
          <w:sz w:val="24"/>
          <w:szCs w:val="24"/>
          <w:lang w:eastAsia="zh-CN"/>
        </w:rPr>
      </w:pPr>
      <w:r>
        <w:rPr>
          <w:rFonts w:hint="eastAsia" w:ascii="宋体" w:hAnsi="宋体" w:eastAsia="宋体" w:cs="宋体"/>
          <w:b/>
          <w:bCs/>
          <w:spacing w:val="-2"/>
          <w:sz w:val="24"/>
          <w:szCs w:val="24"/>
          <w:lang w:eastAsia="zh-CN"/>
        </w:rPr>
        <w:t>品目一：麻醉机</w:t>
      </w:r>
    </w:p>
    <w:p w14:paraId="259CD79C">
      <w:pPr>
        <w:spacing w:line="360" w:lineRule="auto"/>
        <w:rPr>
          <w:rFonts w:asciiTheme="minorEastAsia" w:hAnsiTheme="minorEastAsia" w:eastAsiaTheme="minorEastAsia" w:cstheme="minorEastAsia"/>
          <w:b/>
          <w:sz w:val="24"/>
        </w:rPr>
      </w:pPr>
      <w:r>
        <w:rPr>
          <w:rFonts w:hint="eastAsia" w:asciiTheme="minorEastAsia" w:hAnsiTheme="minorEastAsia" w:eastAsiaTheme="minorEastAsia" w:cstheme="minorEastAsia"/>
          <w:b/>
          <w:sz w:val="24"/>
        </w:rPr>
        <w:t>1</w:t>
      </w:r>
      <w:r>
        <w:rPr>
          <w:rFonts w:hint="eastAsia" w:asciiTheme="minorEastAsia" w:hAnsiTheme="minorEastAsia" w:eastAsiaTheme="minorEastAsia" w:cstheme="minorEastAsia"/>
          <w:b/>
          <w:sz w:val="24"/>
          <w:lang w:eastAsia="zh-CN"/>
        </w:rPr>
        <w:t>.</w:t>
      </w:r>
      <w:r>
        <w:rPr>
          <w:rFonts w:hint="eastAsia" w:asciiTheme="minorEastAsia" w:hAnsiTheme="minorEastAsia" w:eastAsiaTheme="minorEastAsia" w:cstheme="minorEastAsia"/>
          <w:b/>
          <w:sz w:val="24"/>
        </w:rPr>
        <w:t>环境、电源和物理规格</w:t>
      </w:r>
    </w:p>
    <w:p w14:paraId="3E1CD35E">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.1</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工作环境，温度：10°</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val="en-US" w:eastAsia="zh-CN"/>
        </w:rPr>
        <w:t xml:space="preserve"> </w:t>
      </w:r>
      <w:r>
        <w:rPr>
          <w:rFonts w:hint="eastAsia" w:asciiTheme="minorEastAsia" w:hAnsiTheme="minorEastAsia" w:eastAsiaTheme="minorEastAsia" w:cstheme="minorEastAsia"/>
          <w:sz w:val="24"/>
          <w:lang w:eastAsia="zh-CN"/>
        </w:rPr>
        <w:t>0°C，湿度：15</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val="en-US" w:eastAsia="zh-CN"/>
        </w:rPr>
        <w:t xml:space="preserve"> </w:t>
      </w:r>
      <w:r>
        <w:rPr>
          <w:rFonts w:hint="eastAsia" w:asciiTheme="minorEastAsia" w:hAnsiTheme="minorEastAsia" w:eastAsiaTheme="minorEastAsia" w:cstheme="minorEastAsia"/>
          <w:sz w:val="24"/>
          <w:lang w:eastAsia="zh-CN"/>
        </w:rPr>
        <w:t>95%；</w:t>
      </w:r>
    </w:p>
    <w:p w14:paraId="6CCA9D6D">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.2</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电源：220V</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val="en-US" w:eastAsia="zh-CN"/>
        </w:rPr>
        <w:t xml:space="preserve"> </w:t>
      </w:r>
      <w:r>
        <w:rPr>
          <w:rFonts w:hint="eastAsia" w:asciiTheme="minorEastAsia" w:hAnsiTheme="minorEastAsia" w:eastAsiaTheme="minorEastAsia" w:cstheme="minorEastAsia"/>
          <w:sz w:val="24"/>
          <w:lang w:eastAsia="zh-CN"/>
        </w:rPr>
        <w:t>240V，50/60Hz；</w:t>
      </w:r>
    </w:p>
    <w:p w14:paraId="234FCD40">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.3</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标配两节锂电子(非铅酸)后备电池，后备电池使用时间≥150分钟；</w:t>
      </w:r>
    </w:p>
    <w:p w14:paraId="44691CC6">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.4</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标配</w:t>
      </w:r>
      <w:r>
        <w:rPr>
          <w:rFonts w:hint="default" w:asciiTheme="minorEastAsia" w:hAnsiTheme="minorEastAsia" w:eastAsiaTheme="minorEastAsia" w:cstheme="minorEastAsia"/>
          <w:sz w:val="24"/>
          <w:lang w:eastAsia="zh-CN"/>
        </w:rPr>
        <w:t>≥</w:t>
      </w:r>
      <w:r>
        <w:rPr>
          <w:rFonts w:hint="eastAsia" w:asciiTheme="minorEastAsia" w:hAnsiTheme="minorEastAsia" w:eastAsiaTheme="minorEastAsia" w:cstheme="minorEastAsia"/>
          <w:sz w:val="24"/>
          <w:lang w:eastAsia="zh-CN"/>
        </w:rPr>
        <w:t>4个辅助输出电源接口；</w:t>
      </w:r>
    </w:p>
    <w:p w14:paraId="4898C491">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.5</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接口：不少于1 个多功能复用接口、支持网络和软件在线升级功能, 1个RS-232C串行通讯接口，1个VGA 接口；</w:t>
      </w:r>
    </w:p>
    <w:p w14:paraId="6FD5B432">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.6</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机架：带大工作台侧栏杆推车，有多个抽屉，标配独立脚轮刹车；</w:t>
      </w:r>
    </w:p>
    <w:p w14:paraId="4ABF4028">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.7</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适合内窥镜手术模式：具备内置照明顶光灯，能够在黑暗环境中提供麻醉机工作台面照明；</w:t>
      </w:r>
    </w:p>
    <w:p w14:paraId="74A5CFCC">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.8</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具有独立的LED报警指示灯；</w:t>
      </w:r>
    </w:p>
    <w:p w14:paraId="22EAAD56">
      <w:pPr>
        <w:spacing w:line="360" w:lineRule="auto"/>
        <w:rPr>
          <w:rFonts w:hint="eastAsia"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lang w:eastAsia="zh-CN"/>
        </w:rPr>
        <w:t>.9用于对成人、儿童和新生儿的吸入麻醉及呼吸管理。</w:t>
      </w:r>
    </w:p>
    <w:p w14:paraId="6FDEBF70">
      <w:pPr>
        <w:spacing w:line="360" w:lineRule="auto"/>
        <w:rPr>
          <w:rFonts w:hint="default" w:asciiTheme="minorEastAsia" w:hAnsiTheme="minorEastAsia" w:eastAsiaTheme="minorEastAsia" w:cstheme="minorEastAsia"/>
          <w:sz w:val="24"/>
          <w:lang w:val="en-US" w:eastAsia="zh-CN"/>
        </w:rPr>
      </w:pPr>
      <w:r>
        <w:rPr>
          <w:rFonts w:hint="eastAsia" w:asciiTheme="minorEastAsia" w:hAnsiTheme="minorEastAsia" w:eastAsiaTheme="minorEastAsia" w:cstheme="minorEastAsia"/>
          <w:sz w:val="24"/>
          <w:lang w:val="en-US" w:eastAsia="zh-CN"/>
        </w:rPr>
        <w:t>1.10</w:t>
      </w:r>
      <w:r>
        <w:rPr>
          <w:rFonts w:hint="eastAsia" w:asciiTheme="minorEastAsia" w:hAnsiTheme="minorEastAsia" w:eastAsiaTheme="minorEastAsia" w:cstheme="minorEastAsia"/>
          <w:color w:val="000000"/>
          <w:sz w:val="24"/>
          <w:szCs w:val="21"/>
          <w:lang w:eastAsia="zh-CN"/>
        </w:rPr>
        <w:t>麻醉机具有插件槽，可热插</w:t>
      </w:r>
      <w:r>
        <w:rPr>
          <w:rFonts w:hint="eastAsia" w:asciiTheme="minorEastAsia" w:hAnsiTheme="minorEastAsia" w:eastAsiaTheme="minorEastAsia" w:cstheme="minorEastAsia"/>
          <w:color w:val="000000"/>
          <w:sz w:val="24"/>
          <w:szCs w:val="21"/>
          <w:lang w:val="en-US" w:eastAsia="zh-CN"/>
        </w:rPr>
        <w:t>拔</w:t>
      </w:r>
      <w:r>
        <w:rPr>
          <w:rFonts w:hint="eastAsia" w:asciiTheme="minorEastAsia" w:hAnsiTheme="minorEastAsia" w:eastAsiaTheme="minorEastAsia" w:cstheme="minorEastAsia"/>
          <w:color w:val="000000"/>
          <w:sz w:val="24"/>
          <w:szCs w:val="21"/>
          <w:lang w:eastAsia="zh-CN"/>
        </w:rPr>
        <w:t>不少于 1个插件模块，便于临床扩展需要。</w:t>
      </w:r>
    </w:p>
    <w:p w14:paraId="4A3EA4C3">
      <w:pPr>
        <w:spacing w:line="360" w:lineRule="auto"/>
        <w:rPr>
          <w:rFonts w:asciiTheme="minorEastAsia" w:hAnsiTheme="minorEastAsia" w:eastAsiaTheme="minorEastAsia" w:cstheme="minorEastAsia"/>
          <w:b/>
          <w:sz w:val="24"/>
          <w:lang w:eastAsia="zh-CN"/>
        </w:rPr>
      </w:pPr>
      <w:r>
        <w:rPr>
          <w:rFonts w:hint="eastAsia" w:asciiTheme="minorEastAsia" w:hAnsiTheme="minorEastAsia" w:eastAsiaTheme="minorEastAsia" w:cstheme="minorEastAsia"/>
          <w:b/>
          <w:sz w:val="24"/>
          <w:lang w:val="en-US" w:eastAsia="zh-CN"/>
        </w:rPr>
        <w:t>2.</w:t>
      </w:r>
      <w:r>
        <w:rPr>
          <w:rFonts w:hint="eastAsia" w:asciiTheme="minorEastAsia" w:hAnsiTheme="minorEastAsia" w:eastAsiaTheme="minorEastAsia" w:cstheme="minorEastAsia"/>
          <w:b/>
          <w:sz w:val="24"/>
          <w:lang w:eastAsia="zh-CN"/>
        </w:rPr>
        <w:tab/>
      </w:r>
      <w:r>
        <w:rPr>
          <w:rFonts w:hint="eastAsia" w:asciiTheme="minorEastAsia" w:hAnsiTheme="minorEastAsia" w:eastAsiaTheme="minorEastAsia" w:cstheme="minorEastAsia"/>
          <w:b/>
          <w:sz w:val="24"/>
          <w:lang w:eastAsia="zh-CN"/>
        </w:rPr>
        <w:t>气源和气路系统规格</w:t>
      </w:r>
    </w:p>
    <w:p w14:paraId="4F2BBAE2">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.1</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氧气、空气和笑气三气源；</w:t>
      </w:r>
    </w:p>
    <w:p w14:paraId="443538A1">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.2</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具备氧笑联动系统，保证氧浓度不低于25%；</w:t>
      </w:r>
    </w:p>
    <w:p w14:paraId="406B7580">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.3</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快速充氧范围25</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75 l/min；</w:t>
      </w:r>
    </w:p>
    <w:p w14:paraId="68DAF2C5">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.4</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可选配共同新鲜气体输出口（ACGO），输出口无需改装可直接连接特殊的开放式回路，如Bain回路、T管等；</w:t>
      </w:r>
    </w:p>
    <w:p w14:paraId="43C60D59">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.5</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 xml:space="preserve">全电子流量计 (非机械调节电子显示流量计，可直接新鲜气体设置氧浓度和总流量)； </w:t>
      </w:r>
    </w:p>
    <w:p w14:paraId="10741A2C">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.6</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全电子流量计可以设置成总流量模式，也可以设置成单管流量模式；</w:t>
      </w:r>
    </w:p>
    <w:p w14:paraId="1FECDCAB">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.7</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具备备用流量计；</w:t>
      </w:r>
    </w:p>
    <w:p w14:paraId="682A7C3E">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2</w:t>
      </w:r>
      <w:r>
        <w:rPr>
          <w:rFonts w:hint="eastAsia" w:asciiTheme="minorEastAsia" w:hAnsiTheme="minorEastAsia" w:eastAsiaTheme="minorEastAsia" w:cstheme="minorEastAsia"/>
          <w:sz w:val="24"/>
          <w:lang w:eastAsia="zh-CN"/>
        </w:rPr>
        <w:t>.8</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具备辅助流量计，用于辅助吸氧。</w:t>
      </w:r>
    </w:p>
    <w:p w14:paraId="71B82765">
      <w:pPr>
        <w:spacing w:line="360" w:lineRule="auto"/>
        <w:rPr>
          <w:rFonts w:asciiTheme="minorEastAsia" w:hAnsiTheme="minorEastAsia" w:eastAsiaTheme="minorEastAsia" w:cstheme="minorEastAsia"/>
          <w:b/>
          <w:sz w:val="24"/>
          <w:lang w:eastAsia="zh-CN"/>
        </w:rPr>
      </w:pPr>
      <w:r>
        <w:rPr>
          <w:rFonts w:hint="eastAsia" w:asciiTheme="minorEastAsia" w:hAnsiTheme="minorEastAsia" w:eastAsiaTheme="minorEastAsia" w:cstheme="minorEastAsia"/>
          <w:b/>
          <w:sz w:val="24"/>
          <w:lang w:val="en-US" w:eastAsia="zh-CN"/>
        </w:rPr>
        <w:t>3</w:t>
      </w:r>
      <w:r>
        <w:rPr>
          <w:rFonts w:hint="eastAsia" w:asciiTheme="minorEastAsia" w:hAnsiTheme="minorEastAsia" w:eastAsiaTheme="minorEastAsia" w:cstheme="minorEastAsia"/>
          <w:b/>
          <w:sz w:val="24"/>
          <w:lang w:eastAsia="zh-CN"/>
        </w:rPr>
        <w:t>.</w:t>
      </w:r>
      <w:r>
        <w:rPr>
          <w:rFonts w:hint="eastAsia" w:asciiTheme="minorEastAsia" w:hAnsiTheme="minorEastAsia" w:eastAsiaTheme="minorEastAsia" w:cstheme="minorEastAsia"/>
          <w:b/>
          <w:sz w:val="24"/>
          <w:lang w:eastAsia="zh-CN"/>
        </w:rPr>
        <w:tab/>
      </w:r>
      <w:r>
        <w:rPr>
          <w:rFonts w:hint="eastAsia" w:asciiTheme="minorEastAsia" w:hAnsiTheme="minorEastAsia" w:eastAsiaTheme="minorEastAsia" w:cstheme="minorEastAsia"/>
          <w:b/>
          <w:sz w:val="24"/>
          <w:lang w:eastAsia="zh-CN"/>
        </w:rPr>
        <w:t>麻醉挥发罐规格</w:t>
      </w:r>
    </w:p>
    <w:p w14:paraId="6900381A">
      <w:pPr>
        <w:spacing w:line="360" w:lineRule="auto"/>
        <w:rPr>
          <w:rFonts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lang w:val="en-US" w:eastAsia="zh-CN"/>
        </w:rPr>
        <w:t>3</w:t>
      </w:r>
      <w:r>
        <w:rPr>
          <w:rFonts w:hint="eastAsia" w:asciiTheme="minorEastAsia" w:hAnsiTheme="minorEastAsia" w:eastAsiaTheme="minorEastAsia" w:cstheme="minorEastAsia"/>
          <w:sz w:val="24"/>
          <w:highlight w:val="none"/>
          <w:lang w:eastAsia="zh-CN"/>
        </w:rPr>
        <w:t>.1</w:t>
      </w:r>
      <w:r>
        <w:rPr>
          <w:rFonts w:hint="eastAsia" w:asciiTheme="minorEastAsia" w:hAnsiTheme="minorEastAsia" w:eastAsiaTheme="minorEastAsia" w:cstheme="minorEastAsia"/>
          <w:sz w:val="24"/>
          <w:highlight w:val="none"/>
          <w:lang w:eastAsia="zh-CN"/>
        </w:rPr>
        <w:tab/>
      </w:r>
      <w:r>
        <w:rPr>
          <w:rFonts w:hint="eastAsia" w:asciiTheme="minorEastAsia" w:hAnsiTheme="minorEastAsia" w:eastAsiaTheme="minorEastAsia" w:cstheme="minorEastAsia"/>
          <w:sz w:val="24"/>
          <w:highlight w:val="none"/>
          <w:lang w:eastAsia="zh-CN"/>
        </w:rPr>
        <w:t>标配</w:t>
      </w:r>
      <w:r>
        <w:rPr>
          <w:rFonts w:hint="eastAsia" w:asciiTheme="minorEastAsia" w:hAnsiTheme="minorEastAsia" w:eastAsiaTheme="minorEastAsia" w:cstheme="minorEastAsia"/>
          <w:sz w:val="24"/>
          <w:highlight w:val="none"/>
          <w:lang w:val="en-US" w:eastAsia="zh-CN"/>
        </w:rPr>
        <w:t>双</w:t>
      </w:r>
      <w:r>
        <w:rPr>
          <w:rFonts w:hint="eastAsia" w:asciiTheme="minorEastAsia" w:hAnsiTheme="minorEastAsia" w:eastAsiaTheme="minorEastAsia" w:cstheme="minorEastAsia"/>
          <w:sz w:val="24"/>
          <w:highlight w:val="none"/>
          <w:lang w:eastAsia="zh-CN"/>
        </w:rPr>
        <w:t>麻醉罐位；</w:t>
      </w:r>
    </w:p>
    <w:p w14:paraId="6E272E94">
      <w:pPr>
        <w:spacing w:line="360" w:lineRule="auto"/>
        <w:rPr>
          <w:rFonts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lang w:val="en-US" w:eastAsia="zh-CN"/>
        </w:rPr>
        <w:t>3</w:t>
      </w:r>
      <w:r>
        <w:rPr>
          <w:rFonts w:hint="eastAsia" w:asciiTheme="minorEastAsia" w:hAnsiTheme="minorEastAsia" w:eastAsiaTheme="minorEastAsia" w:cstheme="minorEastAsia"/>
          <w:sz w:val="24"/>
          <w:highlight w:val="none"/>
          <w:lang w:eastAsia="zh-CN"/>
        </w:rPr>
        <w:t>.</w:t>
      </w:r>
      <w:r>
        <w:rPr>
          <w:rFonts w:hint="eastAsia" w:asciiTheme="minorEastAsia" w:hAnsiTheme="minorEastAsia" w:eastAsiaTheme="minorEastAsia" w:cstheme="minorEastAsia"/>
          <w:sz w:val="24"/>
          <w:highlight w:val="none"/>
          <w:lang w:val="en-US" w:eastAsia="zh-CN"/>
        </w:rPr>
        <w:t>2</w:t>
      </w:r>
      <w:r>
        <w:rPr>
          <w:rFonts w:hint="eastAsia" w:asciiTheme="minorEastAsia" w:hAnsiTheme="minorEastAsia" w:eastAsiaTheme="minorEastAsia" w:cstheme="minorEastAsia"/>
          <w:sz w:val="24"/>
          <w:highlight w:val="none"/>
          <w:lang w:eastAsia="zh-CN"/>
        </w:rPr>
        <w:tab/>
      </w:r>
      <w:r>
        <w:rPr>
          <w:rFonts w:hint="eastAsia" w:asciiTheme="minorEastAsia" w:hAnsiTheme="minorEastAsia" w:eastAsiaTheme="minorEastAsia" w:cstheme="minorEastAsia"/>
          <w:sz w:val="24"/>
          <w:highlight w:val="none"/>
          <w:lang w:eastAsia="zh-CN"/>
        </w:rPr>
        <w:t>首次加药量(干药芯)≥3</w:t>
      </w:r>
      <w:r>
        <w:rPr>
          <w:rFonts w:hint="eastAsia" w:asciiTheme="minorEastAsia" w:hAnsiTheme="minorEastAsia" w:eastAsiaTheme="minorEastAsia" w:cstheme="minorEastAsia"/>
          <w:sz w:val="24"/>
          <w:highlight w:val="none"/>
          <w:lang w:val="en-US" w:eastAsia="zh-CN"/>
        </w:rPr>
        <w:t>0</w:t>
      </w:r>
      <w:r>
        <w:rPr>
          <w:rFonts w:hint="eastAsia" w:asciiTheme="minorEastAsia" w:hAnsiTheme="minorEastAsia" w:eastAsiaTheme="minorEastAsia" w:cstheme="minorEastAsia"/>
          <w:sz w:val="24"/>
          <w:highlight w:val="none"/>
          <w:lang w:eastAsia="zh-CN"/>
        </w:rPr>
        <w:t>0ml，再次加药量≥</w:t>
      </w:r>
      <w:r>
        <w:rPr>
          <w:rFonts w:hint="eastAsia" w:asciiTheme="minorEastAsia" w:hAnsiTheme="minorEastAsia" w:eastAsiaTheme="minorEastAsia" w:cstheme="minorEastAsia"/>
          <w:sz w:val="24"/>
          <w:highlight w:val="none"/>
          <w:lang w:val="en-US" w:eastAsia="zh-CN"/>
        </w:rPr>
        <w:t>25</w:t>
      </w:r>
      <w:r>
        <w:rPr>
          <w:rFonts w:hint="eastAsia" w:asciiTheme="minorEastAsia" w:hAnsiTheme="minorEastAsia" w:eastAsiaTheme="minorEastAsia" w:cstheme="minorEastAsia"/>
          <w:sz w:val="24"/>
          <w:highlight w:val="none"/>
          <w:lang w:eastAsia="zh-CN"/>
        </w:rPr>
        <w:t>0ml。</w:t>
      </w:r>
    </w:p>
    <w:p w14:paraId="20BAB50E">
      <w:pPr>
        <w:spacing w:line="360" w:lineRule="auto"/>
        <w:rPr>
          <w:rFonts w:asciiTheme="minorEastAsia" w:hAnsiTheme="minorEastAsia" w:eastAsiaTheme="minorEastAsia" w:cstheme="minorEastAsia"/>
          <w:b/>
          <w:sz w:val="24"/>
          <w:lang w:eastAsia="zh-CN"/>
        </w:rPr>
      </w:pPr>
      <w:r>
        <w:rPr>
          <w:rFonts w:hint="eastAsia" w:asciiTheme="minorEastAsia" w:hAnsiTheme="minorEastAsia" w:eastAsiaTheme="minorEastAsia" w:cstheme="minorEastAsia"/>
          <w:b/>
          <w:sz w:val="24"/>
          <w:lang w:val="en-US" w:eastAsia="zh-CN"/>
        </w:rPr>
        <w:t>4</w:t>
      </w:r>
      <w:r>
        <w:rPr>
          <w:rFonts w:hint="eastAsia" w:asciiTheme="minorEastAsia" w:hAnsiTheme="minorEastAsia" w:eastAsiaTheme="minorEastAsia" w:cstheme="minorEastAsia"/>
          <w:b/>
          <w:sz w:val="24"/>
          <w:lang w:eastAsia="zh-CN"/>
        </w:rPr>
        <w:t>.</w:t>
      </w:r>
      <w:r>
        <w:rPr>
          <w:rFonts w:hint="eastAsia" w:asciiTheme="minorEastAsia" w:hAnsiTheme="minorEastAsia" w:eastAsiaTheme="minorEastAsia" w:cstheme="minorEastAsia"/>
          <w:b/>
          <w:sz w:val="24"/>
          <w:lang w:eastAsia="zh-CN"/>
        </w:rPr>
        <w:tab/>
      </w:r>
      <w:r>
        <w:rPr>
          <w:rFonts w:hint="eastAsia" w:asciiTheme="minorEastAsia" w:hAnsiTheme="minorEastAsia" w:eastAsiaTheme="minorEastAsia" w:cstheme="minorEastAsia"/>
          <w:b/>
          <w:sz w:val="24"/>
          <w:lang w:eastAsia="zh-CN"/>
        </w:rPr>
        <w:t>呼吸回路规格</w:t>
      </w:r>
    </w:p>
    <w:p w14:paraId="65DADD95">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4</w:t>
      </w:r>
      <w:r>
        <w:rPr>
          <w:rFonts w:hint="eastAsia" w:asciiTheme="minorEastAsia" w:hAnsiTheme="minorEastAsia" w:eastAsiaTheme="minorEastAsia" w:cstheme="minorEastAsia"/>
          <w:sz w:val="24"/>
          <w:lang w:eastAsia="zh-CN"/>
        </w:rPr>
        <w:t>.1 回路整体可徒手拆卸，一体化回路，无裸露连接管线，防止意外脱落或误连接；</w:t>
      </w:r>
    </w:p>
    <w:p w14:paraId="617AE270">
      <w:pPr>
        <w:spacing w:line="360" w:lineRule="auto"/>
        <w:rPr>
          <w:rFonts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lang w:val="en-US" w:eastAsia="zh-CN"/>
        </w:rPr>
        <w:t>4</w:t>
      </w:r>
      <w:r>
        <w:rPr>
          <w:rFonts w:hint="eastAsia" w:asciiTheme="minorEastAsia" w:hAnsiTheme="minorEastAsia" w:eastAsiaTheme="minorEastAsia" w:cstheme="minorEastAsia"/>
          <w:sz w:val="24"/>
          <w:highlight w:val="none"/>
          <w:lang w:eastAsia="zh-CN"/>
        </w:rPr>
        <w:t>.2 具有回路整体旋转功能，以满足不同手术无需移动麻醉机的要求；</w:t>
      </w:r>
    </w:p>
    <w:p w14:paraId="0EA3E7FE">
      <w:pPr>
        <w:spacing w:line="360" w:lineRule="auto"/>
        <w:rPr>
          <w:rFonts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lang w:val="en-US" w:eastAsia="zh-CN"/>
        </w:rPr>
        <w:t>4</w:t>
      </w:r>
      <w:r>
        <w:rPr>
          <w:rFonts w:hint="eastAsia" w:asciiTheme="minorEastAsia" w:hAnsiTheme="minorEastAsia" w:eastAsiaTheme="minorEastAsia" w:cstheme="minorEastAsia"/>
          <w:sz w:val="24"/>
          <w:highlight w:val="none"/>
          <w:lang w:eastAsia="zh-CN"/>
        </w:rPr>
        <w:t>.3 回路部件可以耐受不低于13</w:t>
      </w:r>
      <w:r>
        <w:rPr>
          <w:rFonts w:hint="eastAsia" w:asciiTheme="minorEastAsia" w:hAnsiTheme="minorEastAsia" w:eastAsiaTheme="minorEastAsia" w:cstheme="minorEastAsia"/>
          <w:sz w:val="24"/>
          <w:highlight w:val="none"/>
          <w:lang w:val="en-US" w:eastAsia="zh-CN"/>
        </w:rPr>
        <w:t>0</w:t>
      </w:r>
      <w:r>
        <w:rPr>
          <w:rFonts w:hint="eastAsia" w:asciiTheme="minorEastAsia" w:hAnsiTheme="minorEastAsia" w:eastAsiaTheme="minorEastAsia" w:cstheme="minorEastAsia"/>
          <w:sz w:val="24"/>
          <w:highlight w:val="none"/>
          <w:lang w:eastAsia="zh-CN"/>
        </w:rPr>
        <w:t>℃高压消毒以避免院内交叉感染；</w:t>
      </w:r>
    </w:p>
    <w:p w14:paraId="23C0ECDF">
      <w:pPr>
        <w:spacing w:line="360" w:lineRule="auto"/>
        <w:rPr>
          <w:rFonts w:hint="eastAsia" w:asciiTheme="minorEastAsia" w:hAnsiTheme="minorEastAsia" w:eastAsiaTheme="minorEastAsia" w:cstheme="minorEastAsia"/>
          <w:sz w:val="24"/>
          <w:highlight w:val="none"/>
          <w:lang w:val="en-US" w:eastAsia="zh-CN"/>
        </w:rPr>
      </w:pPr>
      <w:r>
        <w:rPr>
          <w:rFonts w:hint="eastAsia" w:asciiTheme="minorEastAsia" w:hAnsiTheme="minorEastAsia" w:eastAsiaTheme="minorEastAsia" w:cstheme="minorEastAsia"/>
          <w:sz w:val="24"/>
          <w:highlight w:val="none"/>
          <w:lang w:val="en-US" w:eastAsia="zh-CN"/>
        </w:rPr>
        <w:t>4</w:t>
      </w:r>
      <w:r>
        <w:rPr>
          <w:rFonts w:hint="eastAsia" w:asciiTheme="minorEastAsia" w:hAnsiTheme="minorEastAsia" w:eastAsiaTheme="minorEastAsia" w:cstheme="minorEastAsia"/>
          <w:sz w:val="24"/>
          <w:highlight w:val="none"/>
          <w:lang w:eastAsia="zh-CN"/>
        </w:rPr>
        <w:t>.4 二氧化碳吸收罐，容积≤1500ml；</w:t>
      </w:r>
      <w:r>
        <w:rPr>
          <w:rFonts w:hint="eastAsia" w:asciiTheme="minorEastAsia" w:hAnsiTheme="minorEastAsia" w:eastAsiaTheme="minorEastAsia" w:cstheme="minorEastAsia"/>
          <w:sz w:val="24"/>
          <w:highlight w:val="none"/>
          <w:lang w:val="en-US" w:eastAsia="zh-CN"/>
        </w:rPr>
        <w:t xml:space="preserve"> </w:t>
      </w:r>
    </w:p>
    <w:p w14:paraId="362F5AE5">
      <w:pPr>
        <w:spacing w:line="360" w:lineRule="auto"/>
        <w:rPr>
          <w:rFonts w:asciiTheme="minorEastAsia" w:hAnsiTheme="minorEastAsia" w:eastAsiaTheme="minorEastAsia" w:cstheme="minorEastAsia"/>
          <w:b/>
          <w:sz w:val="24"/>
          <w:highlight w:val="none"/>
          <w:lang w:eastAsia="zh-CN"/>
        </w:rPr>
      </w:pPr>
      <w:r>
        <w:rPr>
          <w:rFonts w:hint="eastAsia" w:asciiTheme="minorEastAsia" w:hAnsiTheme="minorEastAsia" w:eastAsiaTheme="minorEastAsia" w:cstheme="minorEastAsia"/>
          <w:sz w:val="24"/>
          <w:highlight w:val="none"/>
          <w:lang w:val="en-US" w:eastAsia="zh-CN"/>
        </w:rPr>
        <w:t>4</w:t>
      </w:r>
      <w:r>
        <w:rPr>
          <w:rFonts w:hint="eastAsia" w:asciiTheme="minorEastAsia" w:hAnsiTheme="minorEastAsia" w:eastAsiaTheme="minorEastAsia" w:cstheme="minorEastAsia"/>
          <w:sz w:val="24"/>
          <w:highlight w:val="none"/>
          <w:lang w:eastAsia="zh-CN"/>
        </w:rPr>
        <w:t xml:space="preserve">.5 </w:t>
      </w:r>
      <w:r>
        <w:rPr>
          <w:rFonts w:hint="eastAsia" w:asciiTheme="minorEastAsia" w:hAnsiTheme="minorEastAsia" w:eastAsiaTheme="minorEastAsia" w:cstheme="minorEastAsia"/>
          <w:bCs/>
          <w:sz w:val="24"/>
          <w:highlight w:val="none"/>
          <w:lang w:eastAsia="zh-CN"/>
        </w:rPr>
        <w:t>内置双流量传感器，分别在吸入端，呼出端；</w:t>
      </w:r>
    </w:p>
    <w:p w14:paraId="3B82923D">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highlight w:val="none"/>
          <w:lang w:val="en-US" w:eastAsia="zh-CN"/>
        </w:rPr>
        <w:t>4</w:t>
      </w:r>
      <w:r>
        <w:rPr>
          <w:rFonts w:hint="eastAsia" w:asciiTheme="minorEastAsia" w:hAnsiTheme="minorEastAsia" w:eastAsiaTheme="minorEastAsia" w:cstheme="minorEastAsia"/>
          <w:sz w:val="24"/>
          <w:highlight w:val="none"/>
          <w:lang w:eastAsia="zh-CN"/>
        </w:rPr>
        <w:t>.6无需冷凝器，低回路系统容积，在包括2L手动皮囊的情况下，机控模式回路容积不大于</w:t>
      </w:r>
      <w:r>
        <w:rPr>
          <w:rFonts w:hint="eastAsia" w:asciiTheme="minorEastAsia" w:hAnsiTheme="minorEastAsia" w:eastAsiaTheme="minorEastAsia" w:cstheme="minorEastAsia"/>
          <w:sz w:val="24"/>
          <w:highlight w:val="none"/>
          <w:lang w:val="en-US" w:eastAsia="zh-CN"/>
        </w:rPr>
        <w:t>2900</w:t>
      </w:r>
      <w:r>
        <w:rPr>
          <w:rFonts w:hint="eastAsia" w:asciiTheme="minorEastAsia" w:hAnsiTheme="minorEastAsia" w:eastAsiaTheme="minorEastAsia" w:cstheme="minorEastAsia"/>
          <w:sz w:val="24"/>
          <w:highlight w:val="none"/>
          <w:lang w:eastAsia="zh-CN"/>
        </w:rPr>
        <w:t>ml，为快速调</w:t>
      </w:r>
      <w:r>
        <w:rPr>
          <w:rFonts w:hint="eastAsia" w:asciiTheme="minorEastAsia" w:hAnsiTheme="minorEastAsia" w:eastAsiaTheme="minorEastAsia" w:cstheme="minorEastAsia"/>
          <w:sz w:val="24"/>
          <w:lang w:eastAsia="zh-CN"/>
        </w:rPr>
        <w:t>节新鲜气体流量以及输出麻药浓度提供保障；</w:t>
      </w:r>
    </w:p>
    <w:p w14:paraId="37DDFFF8">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4</w:t>
      </w:r>
      <w:r>
        <w:rPr>
          <w:rFonts w:hint="eastAsia" w:asciiTheme="minorEastAsia" w:hAnsiTheme="minorEastAsia" w:eastAsiaTheme="minorEastAsia" w:cstheme="minorEastAsia"/>
          <w:sz w:val="24"/>
          <w:lang w:eastAsia="zh-CN"/>
        </w:rPr>
        <w:t>.7具有回路整体加温功能，无需冷凝器，保证回路不受积水影响，保证流量传感器精准及向病人提供温暖气体，避免对呼吸道的刺激；</w:t>
      </w:r>
    </w:p>
    <w:p w14:paraId="42FBF353">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4</w:t>
      </w:r>
      <w:r>
        <w:rPr>
          <w:rFonts w:hint="eastAsia" w:asciiTheme="minorEastAsia" w:hAnsiTheme="minorEastAsia" w:eastAsiaTheme="minorEastAsia" w:cstheme="minorEastAsia"/>
          <w:sz w:val="24"/>
          <w:lang w:eastAsia="zh-CN"/>
        </w:rPr>
        <w:t>.8标配CO2旁路(Bypass)功能，在机械通气过程中，更换钠石灰罐无需选择确认，无需关停机械通气，可方便直接更换；</w:t>
      </w:r>
    </w:p>
    <w:p w14:paraId="3CFEFB73">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4</w:t>
      </w:r>
      <w:r>
        <w:rPr>
          <w:rFonts w:hint="eastAsia" w:asciiTheme="minorEastAsia" w:hAnsiTheme="minorEastAsia" w:eastAsiaTheme="minorEastAsia" w:cstheme="minorEastAsia"/>
          <w:sz w:val="24"/>
          <w:lang w:eastAsia="zh-CN"/>
        </w:rPr>
        <w:t>.9具备智能回路识别报警系统，当二氧化碳吸收器未锁定时，机器能智能识别，并报警提示。</w:t>
      </w:r>
    </w:p>
    <w:p w14:paraId="04AC06FE">
      <w:pPr>
        <w:spacing w:line="360" w:lineRule="auto"/>
        <w:rPr>
          <w:rFonts w:asciiTheme="minorEastAsia" w:hAnsiTheme="minorEastAsia" w:eastAsiaTheme="minorEastAsia" w:cstheme="minorEastAsia"/>
          <w:b/>
          <w:sz w:val="24"/>
          <w:lang w:eastAsia="zh-CN"/>
        </w:rPr>
      </w:pPr>
      <w:r>
        <w:rPr>
          <w:rFonts w:hint="eastAsia" w:asciiTheme="minorEastAsia" w:hAnsiTheme="minorEastAsia" w:eastAsiaTheme="minorEastAsia" w:cstheme="minorEastAsia"/>
          <w:b/>
          <w:sz w:val="24"/>
          <w:lang w:val="en-US" w:eastAsia="zh-CN"/>
        </w:rPr>
        <w:t>5</w:t>
      </w:r>
      <w:r>
        <w:rPr>
          <w:rFonts w:hint="eastAsia" w:asciiTheme="minorEastAsia" w:hAnsiTheme="minorEastAsia" w:eastAsiaTheme="minorEastAsia" w:cstheme="minorEastAsia"/>
          <w:b/>
          <w:sz w:val="24"/>
          <w:lang w:eastAsia="zh-CN"/>
        </w:rPr>
        <w:t>.</w:t>
      </w:r>
      <w:r>
        <w:rPr>
          <w:rFonts w:hint="eastAsia" w:asciiTheme="minorEastAsia" w:hAnsiTheme="minorEastAsia" w:eastAsiaTheme="minorEastAsia" w:cstheme="minorEastAsia"/>
          <w:b/>
          <w:sz w:val="24"/>
          <w:lang w:eastAsia="zh-CN"/>
        </w:rPr>
        <w:tab/>
      </w:r>
      <w:r>
        <w:rPr>
          <w:rFonts w:hint="eastAsia" w:asciiTheme="minorEastAsia" w:hAnsiTheme="minorEastAsia" w:eastAsiaTheme="minorEastAsia" w:cstheme="minorEastAsia"/>
          <w:b/>
          <w:sz w:val="24"/>
          <w:lang w:eastAsia="zh-CN"/>
        </w:rPr>
        <w:t xml:space="preserve"> 呼吸机规格</w:t>
      </w:r>
    </w:p>
    <w:p w14:paraId="595695B4">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.1</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气动电控呼吸机，全中文操作和显示；</w:t>
      </w:r>
    </w:p>
    <w:p w14:paraId="3A14087F">
      <w:pPr>
        <w:spacing w:line="360" w:lineRule="auto"/>
        <w:rPr>
          <w:rFonts w:hint="eastAsia"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rPr>
        <w:t>.2</w:t>
      </w:r>
      <w:r>
        <w:rPr>
          <w:rFonts w:hint="eastAsia" w:asciiTheme="minorEastAsia" w:hAnsiTheme="minorEastAsia" w:eastAsiaTheme="minorEastAsia" w:cstheme="minorEastAsia"/>
          <w:sz w:val="24"/>
        </w:rPr>
        <w:tab/>
      </w:r>
      <w:r>
        <w:rPr>
          <w:rFonts w:hint="eastAsia" w:asciiTheme="minorEastAsia" w:hAnsiTheme="minorEastAsia" w:eastAsiaTheme="minorEastAsia" w:cstheme="minorEastAsia"/>
          <w:sz w:val="24"/>
        </w:rPr>
        <w:t>标配VCV、PCV、SIMV（SIMV-VC、SIMV-PC）通气模式</w:t>
      </w:r>
      <w:r>
        <w:rPr>
          <w:rFonts w:hint="eastAsia" w:asciiTheme="minorEastAsia" w:hAnsiTheme="minorEastAsia" w:eastAsiaTheme="minorEastAsia" w:cstheme="minorEastAsia"/>
          <w:sz w:val="24"/>
          <w:lang w:eastAsia="zh-CN"/>
        </w:rPr>
        <w:t>；</w:t>
      </w:r>
    </w:p>
    <w:p w14:paraId="52008513">
      <w:pPr>
        <w:spacing w:line="360" w:lineRule="auto"/>
        <w:rPr>
          <w:rFonts w:hint="eastAsia"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rPr>
        <w:t>.3</w:t>
      </w:r>
      <w:r>
        <w:rPr>
          <w:rFonts w:hint="eastAsia" w:asciiTheme="minorEastAsia" w:hAnsiTheme="minorEastAsia" w:eastAsiaTheme="minorEastAsia" w:cstheme="minorEastAsia"/>
          <w:sz w:val="24"/>
        </w:rPr>
        <w:tab/>
      </w:r>
      <w:r>
        <w:rPr>
          <w:rFonts w:hint="eastAsia" w:asciiTheme="minorEastAsia" w:hAnsiTheme="minorEastAsia" w:eastAsiaTheme="minorEastAsia" w:cstheme="minorEastAsia"/>
          <w:sz w:val="24"/>
        </w:rPr>
        <w:t>可选配PCV-VG(AutoFlow)通气模式</w:t>
      </w:r>
      <w:r>
        <w:rPr>
          <w:rFonts w:hint="eastAsia" w:asciiTheme="minorEastAsia" w:hAnsiTheme="minorEastAsia" w:eastAsiaTheme="minorEastAsia" w:cstheme="minorEastAsia"/>
          <w:sz w:val="24"/>
          <w:lang w:eastAsia="zh-CN"/>
        </w:rPr>
        <w:t>；</w:t>
      </w:r>
    </w:p>
    <w:p w14:paraId="3AC3F5D8">
      <w:pPr>
        <w:spacing w:line="360" w:lineRule="auto"/>
        <w:rPr>
          <w:rFonts w:hint="eastAsia"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rPr>
        <w:t>.4</w:t>
      </w:r>
      <w:r>
        <w:rPr>
          <w:rFonts w:hint="eastAsia" w:asciiTheme="minorEastAsia" w:hAnsiTheme="minorEastAsia" w:eastAsiaTheme="minorEastAsia" w:cstheme="minorEastAsia"/>
          <w:sz w:val="24"/>
        </w:rPr>
        <w:tab/>
      </w:r>
      <w:r>
        <w:rPr>
          <w:rFonts w:hint="eastAsia" w:asciiTheme="minorEastAsia" w:hAnsiTheme="minorEastAsia" w:eastAsiaTheme="minorEastAsia" w:cstheme="minorEastAsia"/>
          <w:sz w:val="24"/>
        </w:rPr>
        <w:t>可选肺保护工具：专业PEEP递增法肺复张工具</w:t>
      </w:r>
      <w:r>
        <w:rPr>
          <w:rFonts w:hint="eastAsia" w:asciiTheme="minorEastAsia" w:hAnsiTheme="minorEastAsia" w:eastAsiaTheme="minorEastAsia" w:cstheme="minorEastAsia"/>
          <w:sz w:val="24"/>
          <w:lang w:eastAsia="zh-CN"/>
        </w:rPr>
        <w:t>；</w:t>
      </w:r>
    </w:p>
    <w:p w14:paraId="7F3023FE">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.5</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潮气量设置范围：10ml</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1500ml（压力模式下潮气量可以达到5ml）；</w:t>
      </w:r>
    </w:p>
    <w:p w14:paraId="30BEE0A7">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.6</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吸气压力设置范围：5</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70cmH2O （PEEP+）；</w:t>
      </w:r>
    </w:p>
    <w:p w14:paraId="53965CBB">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.7</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支持压力： 3cmH2O</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60cmH2O；</w:t>
      </w:r>
    </w:p>
    <w:p w14:paraId="600C4F1E">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.8</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呼气末正压(PEEP)，显示屏设置范围：OFF，3到30cmH2O；</w:t>
      </w:r>
    </w:p>
    <w:p w14:paraId="527303B0">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.9</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呼吸频率：4</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100次/分钟；</w:t>
      </w:r>
    </w:p>
    <w:p w14:paraId="6D8957A5">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.10吸呼比：4:1到1:8；</w:t>
      </w:r>
    </w:p>
    <w:p w14:paraId="4A458025">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.11压力限制范围：10到100 cmH2O；</w:t>
      </w:r>
    </w:p>
    <w:p w14:paraId="6863F55C">
      <w:pPr>
        <w:spacing w:line="360" w:lineRule="auto"/>
        <w:rPr>
          <w:rFonts w:hint="eastAsia"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.12吸气暂停：可设置OFF，调节范围5%</w:t>
      </w:r>
      <w:r>
        <w:rPr>
          <w:rFonts w:hint="eastAsia" w:ascii="微软雅黑" w:hAnsi="微软雅黑" w:eastAsia="微软雅黑" w:cs="微软雅黑"/>
          <w:sz w:val="24"/>
          <w:lang w:eastAsia="zh-CN"/>
        </w:rPr>
        <w:t>~</w:t>
      </w:r>
      <w:r>
        <w:rPr>
          <w:rFonts w:hint="eastAsia" w:asciiTheme="minorEastAsia" w:hAnsiTheme="minorEastAsia" w:eastAsiaTheme="minorEastAsia" w:cstheme="minorEastAsia"/>
          <w:sz w:val="24"/>
          <w:lang w:eastAsia="zh-CN"/>
        </w:rPr>
        <w:t>60% ；</w:t>
      </w:r>
    </w:p>
    <w:p w14:paraId="791ECCA7">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5</w:t>
      </w:r>
      <w:r>
        <w:rPr>
          <w:rFonts w:hint="eastAsia" w:asciiTheme="minorEastAsia" w:hAnsiTheme="minorEastAsia" w:eastAsiaTheme="minorEastAsia" w:cstheme="minorEastAsia"/>
          <w:sz w:val="24"/>
          <w:lang w:eastAsia="zh-CN"/>
        </w:rPr>
        <w:t>.13动态潮气量实时自动补偿功能，呼吸机根据测得的吸入潮气量来调节送气的流速，动态补偿通气系统的顺应性和系统微量泄漏等带来的潮气量损失，同时消除新鲜气体的影响。</w:t>
      </w:r>
    </w:p>
    <w:p w14:paraId="61EDAA12">
      <w:pPr>
        <w:spacing w:line="360" w:lineRule="auto"/>
        <w:rPr>
          <w:rFonts w:asciiTheme="minorEastAsia" w:hAnsiTheme="minorEastAsia" w:eastAsiaTheme="minorEastAsia" w:cstheme="minorEastAsia"/>
          <w:b/>
          <w:sz w:val="24"/>
          <w:lang w:eastAsia="zh-CN"/>
        </w:rPr>
      </w:pPr>
      <w:r>
        <w:rPr>
          <w:rFonts w:hint="eastAsia" w:asciiTheme="minorEastAsia" w:hAnsiTheme="minorEastAsia" w:eastAsiaTheme="minorEastAsia" w:cstheme="minorEastAsia"/>
          <w:b/>
          <w:sz w:val="24"/>
          <w:lang w:val="en-US" w:eastAsia="zh-CN"/>
        </w:rPr>
        <w:t>6</w:t>
      </w:r>
      <w:r>
        <w:rPr>
          <w:rFonts w:hint="eastAsia" w:asciiTheme="minorEastAsia" w:hAnsiTheme="minorEastAsia" w:eastAsiaTheme="minorEastAsia" w:cstheme="minorEastAsia"/>
          <w:b/>
          <w:sz w:val="24"/>
          <w:lang w:eastAsia="zh-CN"/>
        </w:rPr>
        <w:t>.</w:t>
      </w:r>
      <w:r>
        <w:rPr>
          <w:rFonts w:hint="eastAsia" w:asciiTheme="minorEastAsia" w:hAnsiTheme="minorEastAsia" w:eastAsiaTheme="minorEastAsia" w:cstheme="minorEastAsia"/>
          <w:b/>
          <w:sz w:val="24"/>
          <w:lang w:eastAsia="zh-CN"/>
        </w:rPr>
        <w:tab/>
      </w:r>
      <w:r>
        <w:rPr>
          <w:rFonts w:hint="eastAsia" w:asciiTheme="minorEastAsia" w:hAnsiTheme="minorEastAsia" w:eastAsiaTheme="minorEastAsia" w:cstheme="minorEastAsia"/>
          <w:b/>
          <w:sz w:val="24"/>
          <w:lang w:eastAsia="zh-CN"/>
        </w:rPr>
        <w:t>控制、监测与报警</w:t>
      </w:r>
    </w:p>
    <w:p w14:paraId="5A89E89D">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.1</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具备三级声光报警功能，有独立红黄报警灯显示；</w:t>
      </w:r>
    </w:p>
    <w:p w14:paraId="3B1976B7">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.2</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采用内嵌式彩色触摸屏≥15寸；</w:t>
      </w:r>
    </w:p>
    <w:p w14:paraId="4A1A1A73">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.3</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同屏幕3通道任意波形显示（压力时间波形，流速时间波形，容量时间波形，可选呼末CO2波形），波形和环图可以同屏显示；</w:t>
      </w:r>
    </w:p>
    <w:p w14:paraId="69355C15">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.4</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分钟通气量监测范围：0L/min 到99L/min；</w:t>
      </w:r>
    </w:p>
    <w:p w14:paraId="1E365EEB">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.5</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潮气量监测范围：0到2500ml；</w:t>
      </w:r>
    </w:p>
    <w:p w14:paraId="4B988A7A">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.6</w:t>
      </w:r>
      <w:r>
        <w:rPr>
          <w:rFonts w:hint="eastAsia" w:asciiTheme="minorEastAsia" w:hAnsiTheme="minorEastAsia" w:eastAsiaTheme="minorEastAsia" w:cstheme="minorEastAsia"/>
          <w:sz w:val="24"/>
          <w:lang w:val="en-US" w:eastAsia="zh-CN"/>
        </w:rPr>
        <w:t xml:space="preserve"> </w:t>
      </w:r>
      <w:r>
        <w:rPr>
          <w:rFonts w:hint="eastAsia" w:asciiTheme="minorEastAsia" w:hAnsiTheme="minorEastAsia" w:eastAsiaTheme="minorEastAsia" w:cstheme="minorEastAsia"/>
          <w:sz w:val="24"/>
          <w:lang w:eastAsia="zh-CN"/>
        </w:rPr>
        <w:t>配插件：呼末二氧化碳监测模块；</w:t>
      </w:r>
    </w:p>
    <w:p w14:paraId="4C601523">
      <w:pPr>
        <w:spacing w:line="360" w:lineRule="auto"/>
        <w:rPr>
          <w:rFonts w:asciiTheme="minorEastAsia" w:hAnsiTheme="minorEastAsia" w:eastAsiaTheme="minorEastAsia" w:cstheme="minorEastAsia"/>
          <w:sz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.7</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val="en-US" w:eastAsia="zh-CN"/>
        </w:rPr>
        <w:t>可选</w:t>
      </w:r>
      <w:r>
        <w:rPr>
          <w:rFonts w:hint="eastAsia" w:asciiTheme="minorEastAsia" w:hAnsiTheme="minorEastAsia" w:eastAsiaTheme="minorEastAsia" w:cstheme="minorEastAsia"/>
          <w:sz w:val="24"/>
          <w:lang w:eastAsia="zh-CN"/>
        </w:rPr>
        <w:t>配插件：AG、Bis模块，适应全凭静脉无需监测麻醉气体的需求；</w:t>
      </w:r>
    </w:p>
    <w:p w14:paraId="62181591">
      <w:pPr>
        <w:numPr>
          <w:ilvl w:val="255"/>
          <w:numId w:val="0"/>
        </w:numPr>
        <w:spacing w:line="360" w:lineRule="auto"/>
        <w:rPr>
          <w:rFonts w:ascii="宋体" w:hAnsi="宋体" w:eastAsia="宋体" w:cs="宋体"/>
          <w:b/>
          <w:bCs/>
          <w:color w:val="auto"/>
          <w:spacing w:val="-2"/>
          <w:sz w:val="24"/>
          <w:szCs w:val="24"/>
          <w:lang w:eastAsia="zh-CN"/>
        </w:rPr>
      </w:pPr>
      <w:r>
        <w:rPr>
          <w:rFonts w:hint="eastAsia" w:asciiTheme="minorEastAsia" w:hAnsiTheme="minorEastAsia" w:eastAsiaTheme="minorEastAsia" w:cstheme="minorEastAsia"/>
          <w:sz w:val="24"/>
          <w:lang w:val="en-US" w:eastAsia="zh-CN"/>
        </w:rPr>
        <w:t>6</w:t>
      </w:r>
      <w:r>
        <w:rPr>
          <w:rFonts w:hint="eastAsia" w:asciiTheme="minorEastAsia" w:hAnsiTheme="minorEastAsia" w:eastAsiaTheme="minorEastAsia" w:cstheme="minorEastAsia"/>
          <w:sz w:val="24"/>
          <w:lang w:eastAsia="zh-CN"/>
        </w:rPr>
        <w:t>.8</w:t>
      </w:r>
      <w:r>
        <w:rPr>
          <w:rFonts w:hint="eastAsia" w:asciiTheme="minorEastAsia" w:hAnsiTheme="minorEastAsia" w:eastAsiaTheme="minorEastAsia" w:cstheme="minorEastAsia"/>
          <w:sz w:val="24"/>
          <w:lang w:eastAsia="zh-CN"/>
        </w:rPr>
        <w:tab/>
      </w:r>
      <w:r>
        <w:rPr>
          <w:rFonts w:hint="eastAsia" w:asciiTheme="minorEastAsia" w:hAnsiTheme="minorEastAsia" w:eastAsiaTheme="minorEastAsia" w:cstheme="minorEastAsia"/>
          <w:sz w:val="24"/>
          <w:lang w:eastAsia="zh-CN"/>
        </w:rPr>
        <w:t>监测参数：呼吸频率、潮气量、分钟通气量、吸呼比、气道压（峰压、平台压、平均压、PEEP）、气道阻力、顺应性；麻醉气体分析（N2O，EtCO2，自动识别五种麻醉气体吸入呼出浓度监测）、呼吸环（P-V，P-F，F-V）监测。</w:t>
      </w:r>
    </w:p>
    <w:p w14:paraId="5BAA4934">
      <w:pPr>
        <w:spacing w:before="153" w:line="360" w:lineRule="auto"/>
        <w:rPr>
          <w:rFonts w:ascii="宋体" w:hAnsi="宋体" w:eastAsia="宋体" w:cs="宋体"/>
          <w:b/>
          <w:bCs/>
          <w:color w:val="auto"/>
          <w:spacing w:val="-2"/>
          <w:sz w:val="24"/>
          <w:szCs w:val="24"/>
          <w:lang w:eastAsia="zh-CN"/>
        </w:rPr>
      </w:pPr>
      <w:r>
        <w:rPr>
          <w:rFonts w:hint="eastAsia" w:ascii="宋体" w:hAnsi="宋体" w:eastAsia="宋体" w:cs="宋体"/>
          <w:b/>
          <w:bCs/>
          <w:color w:val="auto"/>
          <w:spacing w:val="-2"/>
          <w:sz w:val="24"/>
          <w:szCs w:val="24"/>
          <w:lang w:eastAsia="zh-CN"/>
        </w:rPr>
        <w:t>品目二：监护仪</w:t>
      </w:r>
    </w:p>
    <w:p w14:paraId="2CD911E4">
      <w:pPr>
        <w:spacing w:line="360" w:lineRule="auto"/>
        <w:rPr>
          <w:rFonts w:asciiTheme="minorEastAsia" w:hAnsiTheme="minorEastAsia" w:eastAsiaTheme="minorEastAsia" w:cstheme="minorEastAsia"/>
          <w:b/>
          <w:bCs/>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lang w:eastAsia="zh-CN"/>
          <w14:textFill>
            <w14:solidFill>
              <w14:schemeClr w14:val="tx1"/>
            </w14:solidFill>
          </w14:textFill>
        </w:rPr>
        <w:t>一）监护仪结构</w:t>
      </w:r>
    </w:p>
    <w:p w14:paraId="4EA06C77">
      <w:pPr>
        <w:pStyle w:val="9"/>
        <w:numPr>
          <w:ilvl w:val="0"/>
          <w:numId w:val="1"/>
        </w:numPr>
        <w:spacing w:line="360" w:lineRule="auto"/>
        <w:ind w:firstLineChars="0"/>
        <w:rPr>
          <w:rFonts w:asciiTheme="minorEastAsia" w:hAnsiTheme="minorEastAsia" w:eastAsiaTheme="minorEastAsia" w:cstheme="minorEastAsia"/>
          <w:b/>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color w:val="000000" w:themeColor="text1"/>
          <w:sz w:val="24"/>
          <w:lang w:eastAsia="zh-CN"/>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lang w:eastAsia="zh-CN"/>
          <w14:textFill>
            <w14:solidFill>
              <w14:schemeClr w14:val="tx1"/>
            </w14:solidFill>
          </w14:textFill>
        </w:rPr>
        <w:t>模块化插件式床边监护仪，主机、显示屏和插件槽一体化设计，主机模块插槽数≥</w:t>
      </w:r>
      <w:r>
        <w:rPr>
          <w:rFonts w:hint="eastAsia" w:asciiTheme="minorEastAsia" w:hAnsiTheme="minorEastAsia" w:eastAsiaTheme="minorEastAsia" w:cstheme="minorEastAsia"/>
          <w:b w:val="0"/>
          <w:bCs/>
          <w:color w:val="000000" w:themeColor="text1"/>
          <w:sz w:val="24"/>
          <w:lang w:val="en-US" w:eastAsia="zh-CN"/>
          <w14:textFill>
            <w14:solidFill>
              <w14:schemeClr w14:val="tx1"/>
            </w14:solidFill>
          </w14:textFill>
        </w:rPr>
        <w:t>2</w:t>
      </w:r>
      <w:r>
        <w:rPr>
          <w:rFonts w:hint="eastAsia" w:asciiTheme="minorEastAsia" w:hAnsiTheme="minorEastAsia" w:eastAsiaTheme="minorEastAsia" w:cstheme="minorEastAsia"/>
          <w:b w:val="0"/>
          <w:bCs/>
          <w:color w:val="000000" w:themeColor="text1"/>
          <w:sz w:val="24"/>
          <w:lang w:eastAsia="zh-CN"/>
          <w14:textFill>
            <w14:solidFill>
              <w14:schemeClr w14:val="tx1"/>
            </w14:solidFill>
          </w14:textFill>
        </w:rPr>
        <w:t>个；</w:t>
      </w:r>
    </w:p>
    <w:p w14:paraId="7680E542">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监护仪主机（非辅助插件箱）每个槽位均具备插件模块红外通讯接口以及金属硬件通讯接口（非供电接口），保证模块通讯速率及稳定性；</w:t>
      </w:r>
    </w:p>
    <w:p w14:paraId="4FD52AF6">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≥12英寸彩色电容触摸屏，≥1280×800像素，≥8通道显示，显示屏亮度自动调节，屏幕支持手势滑动操作，支持穿戴医用防护手套操作；</w:t>
      </w:r>
    </w:p>
    <w:p w14:paraId="6A53D10A">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可</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内置高能锂电池，供电时间≥4小时；</w:t>
      </w:r>
    </w:p>
    <w:p w14:paraId="5A5FCB6D">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配置≥4个USB接口，支持连接鼠标、键盘、条码扫描枪和遥控器等USB设备；</w:t>
      </w:r>
    </w:p>
    <w:p w14:paraId="1D2E3DE6">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 xml:space="preserve">监护仪主机工作温度环境范围：0～40°C； </w:t>
      </w:r>
    </w:p>
    <w:p w14:paraId="4EDF5308">
      <w:pPr>
        <w:pStyle w:val="9"/>
        <w:numPr>
          <w:ilvl w:val="0"/>
          <w:numId w:val="1"/>
        </w:numPr>
        <w:spacing w:line="360" w:lineRule="auto"/>
        <w:ind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监护仪清洁消毒维护支持的消毒剂≥40种；</w:t>
      </w:r>
    </w:p>
    <w:p w14:paraId="5BF2F5E7">
      <w:pPr>
        <w:pStyle w:val="9"/>
        <w:numPr>
          <w:ilvl w:val="0"/>
          <w:numId w:val="1"/>
        </w:numPr>
        <w:spacing w:line="360" w:lineRule="auto"/>
        <w:ind w:firstLineChars="0"/>
        <w:rPr>
          <w:rFonts w:hint="eastAsia"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心电支持≥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 xml:space="preserve">个分析导联实时动态同步分析，而不是仅实现多个导联波形同屏显示。 </w:t>
      </w:r>
    </w:p>
    <w:p w14:paraId="1966D381">
      <w:pPr>
        <w:spacing w:line="360" w:lineRule="auto"/>
        <w:rPr>
          <w:rFonts w:asciiTheme="minorEastAsia" w:hAnsiTheme="minorEastAsia" w:eastAsiaTheme="minorEastAsia" w:cstheme="minorEastAsia"/>
          <w:b/>
          <w:bCs/>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lang w:eastAsia="zh-CN"/>
          <w14:textFill>
            <w14:solidFill>
              <w14:schemeClr w14:val="tx1"/>
            </w14:solidFill>
          </w14:textFill>
        </w:rPr>
        <w:t>二）监测参数：</w:t>
      </w:r>
    </w:p>
    <w:p w14:paraId="662445A7">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color w:val="000000" w:themeColor="text1"/>
          <w:sz w:val="24"/>
          <w:lang w:eastAsia="zh-CN"/>
          <w14:textFill>
            <w14:solidFill>
              <w14:schemeClr w14:val="tx1"/>
            </w14:solidFill>
          </w14:textFill>
        </w:rPr>
        <w:t>基本功能模块支持心电，呼吸，心率，无创血压，血氧饱和度，脉搏，双通道体温和双通道有创血压的同时监测；</w:t>
      </w:r>
    </w:p>
    <w:p w14:paraId="49E711D9">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ECG支持3/5导心电检测</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w:t>
      </w:r>
    </w:p>
    <w:p w14:paraId="5A570C83">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支持室上性心动过速和SVCs/min等室上性心律失常分析</w:t>
      </w:r>
    </w:p>
    <w:p w14:paraId="3067F01B">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提供ST段分析功能，适用于成人，小儿和新生儿，支持在专门的窗口中分组显示心脏前壁，下壁和侧壁的ST实时片段和参考片段 ；</w:t>
      </w:r>
    </w:p>
    <w:p w14:paraId="22E5CE67">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支持RR呼吸率测量，测量范围：1～200rpm；</w:t>
      </w:r>
    </w:p>
    <w:p w14:paraId="4E400CA6">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QT和QTc实时监测参数测量范围：200～800 ms；</w:t>
      </w:r>
    </w:p>
    <w:p w14:paraId="672009A7">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无创血压提供手动、自动间隔、连续、序列、整点五种测量模式；</w:t>
      </w:r>
    </w:p>
    <w:p w14:paraId="516B9500">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NIBP 成人病人类型收缩压测量：25～290mmHg；</w:t>
      </w:r>
    </w:p>
    <w:p w14:paraId="70D248BA">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配置指套式血氧探头，支持浸泡清洁与消毒，防水等级IPX7；</w:t>
      </w:r>
    </w:p>
    <w:p w14:paraId="0457A7C2">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支持双通道有创压IBP监测，支持升级</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不少于</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6通道有创压监测；</w:t>
      </w:r>
    </w:p>
    <w:p w14:paraId="22AC9C57">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有创压适用于成人，小儿和新生儿，有创压测量范围：-50～360mmHg；</w:t>
      </w:r>
    </w:p>
    <w:p w14:paraId="5A47E16B">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不少于</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6道IBP波形叠加显示，满足临床对比查看和节约显示空间的需求；</w:t>
      </w:r>
    </w:p>
    <w:p w14:paraId="394D781A">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支持主流、旁流、微流EtCO2监测模块，旁流EtCO2监测模块支持升级顺磁氧监测技术进行氧气监测，水槽要求易用快速更换；</w:t>
      </w:r>
    </w:p>
    <w:p w14:paraId="64C6BD70">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心肺复苏质量指数或EtCO2监测模块，实现评估人工心肺复苏质量；</w:t>
      </w:r>
    </w:p>
    <w:p w14:paraId="0F65E38F">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CPR按压传感器，直观显示按压频率和按压深度；</w:t>
      </w:r>
    </w:p>
    <w:p w14:paraId="0D82145C">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肌松NMT模块，采用三轴加速度传感器技术；</w:t>
      </w:r>
    </w:p>
    <w:p w14:paraId="59EE59CC">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麻醉深度BIS或脑电麻醉深度指数</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模块</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，实现患者麻醉深度的监测；</w:t>
      </w:r>
    </w:p>
    <w:p w14:paraId="31808BEE">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脑电图EEG，振幅整合脑电图aEEG监测模块，可提供4通道脑电图以及DSA致密频谱密度查看；</w:t>
      </w:r>
    </w:p>
    <w:p w14:paraId="0BCD4C00">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微创连续血流动力学监测模块，非无创电阻抗法，具有更好的监测准确性，可采用PiCCO或类似技术，实现CCO连续心排量、SVV每搏变异量等血液动力学监测参数，直观观察病人的变化情况；</w:t>
      </w:r>
    </w:p>
    <w:p w14:paraId="615636C4">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FloTrac监测功能模块或可实现FloTrac技术单机产品，非漂浮导管热稀释法或无创阻抗法，可通过监测桡动脉压力提供连续心排量（CCO），每搏量变异（SVV），实时外周血管阻力（SVR）等监测参数，满足连续血流动力学监测需求；</w:t>
      </w:r>
    </w:p>
    <w:p w14:paraId="1B278A1B">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选配模块，</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进行RM呼吸力学监测，提供≥18项呼吸力学参数参数指标，可监测包括： PIF峰值吸气流量，PEF峰值呼气流量， WOB病人呼吸功，NIF负吸入压力，RSBI浅呼吸指数；</w:t>
      </w:r>
    </w:p>
    <w:p w14:paraId="13EC44D5">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支持</w:t>
      </w: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选配模块，</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进行ICG参数监测，可无创监测患者连续心排量；</w:t>
      </w:r>
    </w:p>
    <w:p w14:paraId="7FCE52F5">
      <w:pPr>
        <w:pStyle w:val="9"/>
        <w:numPr>
          <w:ilvl w:val="0"/>
          <w:numId w:val="2"/>
        </w:numPr>
        <w:spacing w:line="360" w:lineRule="auto"/>
        <w:ind w:left="425" w:hanging="425"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选配模块，</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可与主流品牌的呼吸机、输注泵产品相连，实现呼吸机、输注泵设备的信息在监护仪上显示、存储、记录、打印或者用于参与计算。</w:t>
      </w:r>
    </w:p>
    <w:p w14:paraId="1B855796">
      <w:pPr>
        <w:spacing w:line="360" w:lineRule="auto"/>
        <w:rPr>
          <w:rFonts w:asciiTheme="minorEastAsia" w:hAnsiTheme="minorEastAsia" w:eastAsiaTheme="minorEastAsia" w:cstheme="minorEastAsia"/>
          <w:b/>
          <w:bCs/>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lang w:eastAsia="zh-CN"/>
          <w14:textFill>
            <w14:solidFill>
              <w14:schemeClr w14:val="tx1"/>
            </w14:solidFill>
          </w14:textFill>
        </w:rPr>
        <w:t>三）系统功能：</w:t>
      </w:r>
    </w:p>
    <w:p w14:paraId="11CDBC49">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1. 具有图形化报警指示功能，帮助医护团队快速识别报警来源；</w:t>
      </w:r>
    </w:p>
    <w:p w14:paraId="456B9422">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2. 具有报警升级功能，当参数报警经过一定的时间未被处理或伴发了其他报警，就会升级到更高一个级别；</w:t>
      </w:r>
    </w:p>
    <w:p w14:paraId="2A9E6A39">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3. 具有特殊报警音，当监护仪在病人发生致命性参数报警时，发出特殊的报警音进行提示病人处于危急状态；</w:t>
      </w:r>
    </w:p>
    <w:p w14:paraId="4F0D5180">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4. 支持根据病人的参数趋势变化，自动推送推荐报警限；</w:t>
      </w:r>
    </w:p>
    <w:p w14:paraId="0CA997FA">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5. 具备参数组合报警功能（并非早期预警评分EWS），可对患者同时多个参数变化给出统一报警提示，预示病人不同生理系统状态改变，提供≥10个预设组合报警，并允许自定义≥10个组合报警；</w:t>
      </w:r>
    </w:p>
    <w:p w14:paraId="1DE27406">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6. 标配具备血流动力学，药物计算，氧合计算，通气计算和肾功能计算功能 ；</w:t>
      </w:r>
    </w:p>
    <w:p w14:paraId="30E12D4B">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7. 提供CCHD新生儿先心病筛查工具，并可以支持美标法及双标法筛查流程，双标法筛查流程复合《全国新生儿先天性心脏病筛查手册》（2018版）</w:t>
      </w:r>
    </w:p>
    <w:p w14:paraId="2B10E974">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8. 支持≥100小时趋势表和趋势图回顾，最小分辨率1分钟；</w:t>
      </w:r>
    </w:p>
    <w:p w14:paraId="1642FB8B">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9. 支持≥800条事件回顾。每条报警事件至少能够存储32秒三道相关波形，以及报警触发时所有测量参数值；</w:t>
      </w:r>
    </w:p>
    <w:p w14:paraId="778EB141">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10. 具备≥40小时全息波形的存储与回顾功能；</w:t>
      </w:r>
    </w:p>
    <w:p w14:paraId="7D164FD3">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11. 支持≥120小时（分辨率1分钟）ST模板存储与回顾；</w:t>
      </w:r>
    </w:p>
    <w:p w14:paraId="17DDB719">
      <w:pPr>
        <w:pStyle w:val="9"/>
        <w:spacing w:line="360" w:lineRule="auto"/>
        <w:ind w:firstLine="0" w:firstLineChars="0"/>
        <w:rPr>
          <w:rFonts w:asciiTheme="minorEastAsia" w:hAnsiTheme="minorEastAsia" w:eastAsiaTheme="minorEastAsia" w:cstheme="minorEastAsia"/>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lang w:eastAsia="zh-CN"/>
          <w14:textFill>
            <w14:solidFill>
              <w14:schemeClr w14:val="tx1"/>
            </w14:solidFill>
          </w14:textFill>
        </w:rPr>
        <w:t>12. 支持与除颤监护仪，遥测混合联通至中心监护系统，实现护士站的集中管理。</w:t>
      </w:r>
    </w:p>
    <w:p w14:paraId="0ECFD4BF">
      <w:pPr>
        <w:spacing w:line="360" w:lineRule="auto"/>
        <w:rPr>
          <w:rFonts w:asciiTheme="minorEastAsia" w:hAnsiTheme="minorEastAsia" w:eastAsiaTheme="minorEastAsia" w:cstheme="minorEastAsia"/>
          <w:b/>
          <w:bCs/>
          <w:color w:val="000000" w:themeColor="text1"/>
          <w:sz w:val="24"/>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lang w:eastAsia="zh-CN"/>
          <w14:textFill>
            <w14:solidFill>
              <w14:schemeClr w14:val="tx1"/>
            </w14:solidFill>
          </w14:textFill>
        </w:rPr>
        <w:t>四）产品设计</w:t>
      </w:r>
    </w:p>
    <w:p w14:paraId="7E7DB893">
      <w:pPr>
        <w:pStyle w:val="9"/>
        <w:spacing w:before="153" w:line="360" w:lineRule="auto"/>
        <w:ind w:firstLine="0" w:firstLineChars="0"/>
        <w:rPr>
          <w:rFonts w:ascii="宋体" w:hAnsi="宋体" w:eastAsia="宋体" w:cs="宋体"/>
          <w:color w:val="auto"/>
          <w:spacing w:val="-2"/>
          <w:sz w:val="24"/>
          <w:szCs w:val="24"/>
          <w:lang w:eastAsia="zh-CN"/>
        </w:rPr>
      </w:pPr>
      <w:r>
        <w:rPr>
          <w:rFonts w:hint="eastAsia" w:asciiTheme="minorEastAsia" w:hAnsiTheme="minorEastAsia" w:eastAsiaTheme="minorEastAsia" w:cstheme="minorEastAsia"/>
          <w:color w:val="000000" w:themeColor="text1"/>
          <w:sz w:val="24"/>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lang w:eastAsia="zh-CN"/>
          <w14:textFill>
            <w14:solidFill>
              <w14:schemeClr w14:val="tx1"/>
            </w14:solidFill>
          </w14:textFill>
        </w:rPr>
        <w:t xml:space="preserve">  产品设计使用年限≥10年。</w:t>
      </w:r>
    </w:p>
    <w:p w14:paraId="17DD3D6B">
      <w:pPr>
        <w:spacing w:line="360" w:lineRule="auto"/>
        <w:textAlignment w:val="center"/>
        <w:rPr>
          <w:color w:val="auto"/>
          <w:lang w:eastAsia="zh-CN"/>
        </w:rPr>
      </w:pPr>
    </w:p>
    <w:p w14:paraId="611A9217">
      <w:pPr>
        <w:widowControl w:val="0"/>
        <w:spacing w:line="243" w:lineRule="auto"/>
        <w:rPr>
          <w:color w:val="auto"/>
          <w:lang w:eastAsia="zh-CN"/>
        </w:rPr>
      </w:pPr>
    </w:p>
    <w:p w14:paraId="389F223A">
      <w:pPr>
        <w:widowControl w:val="0"/>
        <w:spacing w:line="245" w:lineRule="auto"/>
        <w:rPr>
          <w:color w:val="auto"/>
          <w:lang w:eastAsia="zh-CN"/>
        </w:rPr>
      </w:pPr>
    </w:p>
    <w:p w14:paraId="571B3AEA">
      <w:pPr>
        <w:widowControl w:val="0"/>
        <w:spacing w:line="245" w:lineRule="auto"/>
        <w:rPr>
          <w:color w:val="auto"/>
          <w:lang w:eastAsia="zh-CN"/>
        </w:rPr>
      </w:pPr>
    </w:p>
    <w:p w14:paraId="46CBD524">
      <w:pPr>
        <w:pStyle w:val="2"/>
        <w:spacing w:before="0" w:after="0"/>
        <w:jc w:val="center"/>
        <w:rPr>
          <w:lang w:eastAsia="zh-CN"/>
        </w:rPr>
      </w:pPr>
      <w:bookmarkStart w:id="1" w:name="_Toc13110"/>
      <w:bookmarkStart w:id="2" w:name="_Toc1205"/>
      <w:r>
        <w:rPr>
          <w:rFonts w:hint="eastAsia"/>
          <w:lang w:eastAsia="zh-CN"/>
        </w:rPr>
        <w:t>三、</w:t>
      </w:r>
      <w:r>
        <w:rPr>
          <w:lang w:eastAsia="zh-CN"/>
        </w:rPr>
        <w:t xml:space="preserve"> 商务条件</w:t>
      </w:r>
      <w:bookmarkEnd w:id="1"/>
      <w:bookmarkEnd w:id="2"/>
    </w:p>
    <w:p w14:paraId="6B4282B3">
      <w:pPr>
        <w:widowControl w:val="0"/>
        <w:kinsoku/>
        <w:autoSpaceDE/>
        <w:autoSpaceDN/>
        <w:adjustRightInd/>
        <w:spacing w:line="360" w:lineRule="auto"/>
        <w:ind w:firstLine="480" w:firstLineChars="200"/>
        <w:textAlignment w:val="auto"/>
        <w:rPr>
          <w:rFonts w:ascii="宋体" w:hAnsi="宋体" w:eastAsia="宋体" w:cs="宋体"/>
          <w:spacing w:val="-5"/>
          <w:sz w:val="24"/>
          <w:szCs w:val="24"/>
          <w:highlight w:val="none"/>
        </w:rPr>
      </w:pPr>
      <w:r>
        <w:rPr>
          <w:rFonts w:hint="eastAsia" w:ascii="宋体" w:hAnsi="宋体" w:cs="宋体"/>
          <w:b/>
          <w:color w:val="000000" w:themeColor="text1"/>
          <w:sz w:val="24"/>
          <w:szCs w:val="24"/>
          <w:lang w:eastAsia="zh-CN"/>
          <w14:textFill>
            <w14:solidFill>
              <w14:schemeClr w14:val="tx1"/>
            </w14:solidFill>
          </w14:textFill>
        </w:rPr>
        <w:t>1、交货期：</w:t>
      </w:r>
      <w:r>
        <w:rPr>
          <w:rFonts w:hint="eastAsia" w:ascii="宋体" w:hAnsi="宋体" w:eastAsia="宋体" w:cs="宋体"/>
          <w:bCs/>
          <w:sz w:val="24"/>
          <w:szCs w:val="24"/>
          <w:highlight w:val="none"/>
          <w:lang w:eastAsia="zh-CN" w:bidi="ar"/>
        </w:rPr>
        <w:t>合同签订后</w:t>
      </w:r>
      <w:r>
        <w:rPr>
          <w:rFonts w:hint="eastAsia" w:ascii="宋体" w:hAnsi="宋体" w:eastAsia="宋体" w:cs="宋体"/>
          <w:bCs/>
          <w:sz w:val="24"/>
          <w:szCs w:val="24"/>
          <w:highlight w:val="none"/>
          <w:lang w:val="en-US" w:eastAsia="zh-CN" w:bidi="ar"/>
        </w:rPr>
        <w:t>30</w:t>
      </w:r>
      <w:r>
        <w:rPr>
          <w:rFonts w:hint="eastAsia" w:ascii="宋体" w:hAnsi="宋体" w:eastAsia="宋体" w:cs="宋体"/>
          <w:bCs/>
          <w:sz w:val="24"/>
          <w:szCs w:val="24"/>
          <w:highlight w:val="none"/>
          <w:lang w:eastAsia="zh-CN" w:bidi="ar"/>
        </w:rPr>
        <w:t>日内完成安装、调试并交付使用。</w:t>
      </w:r>
    </w:p>
    <w:p w14:paraId="6E52ACA8">
      <w:pPr>
        <w:spacing w:line="360" w:lineRule="auto"/>
        <w:ind w:firstLine="480" w:firstLineChars="200"/>
        <w:rPr>
          <w:rFonts w:ascii="宋体" w:hAnsi="宋体" w:cs="宋体"/>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eastAsia="zh-CN"/>
          <w14:textFill>
            <w14:solidFill>
              <w14:schemeClr w14:val="tx1"/>
            </w14:solidFill>
          </w14:textFill>
        </w:rPr>
        <w:t>2、交货地点：</w:t>
      </w:r>
      <w:r>
        <w:rPr>
          <w:rFonts w:hint="eastAsia" w:ascii="宋体" w:hAnsi="宋体" w:cs="宋体"/>
          <w:color w:val="000000" w:themeColor="text1"/>
          <w:sz w:val="24"/>
          <w:szCs w:val="24"/>
          <w:lang w:eastAsia="zh-CN"/>
          <w14:textFill>
            <w14:solidFill>
              <w14:schemeClr w14:val="tx1"/>
            </w14:solidFill>
          </w14:textFill>
        </w:rPr>
        <w:t>采购人指定地点。</w:t>
      </w:r>
    </w:p>
    <w:p w14:paraId="4933607E">
      <w:pPr>
        <w:spacing w:line="360" w:lineRule="auto"/>
        <w:ind w:firstLine="480" w:firstLineChars="200"/>
        <w:rPr>
          <w:rFonts w:ascii="宋体" w:hAnsi="宋体" w:cs="宋体"/>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eastAsia="zh-CN"/>
          <w14:textFill>
            <w14:solidFill>
              <w14:schemeClr w14:val="tx1"/>
            </w14:solidFill>
          </w14:textFill>
        </w:rPr>
        <w:t>3、质保期</w:t>
      </w:r>
      <w:r>
        <w:rPr>
          <w:rFonts w:hint="eastAsia" w:ascii="宋体" w:hAnsi="宋体" w:cs="宋体"/>
          <w:color w:val="000000" w:themeColor="text1"/>
          <w:sz w:val="24"/>
          <w:szCs w:val="24"/>
          <w:lang w:eastAsia="zh-CN"/>
          <w14:textFill>
            <w14:solidFill>
              <w14:schemeClr w14:val="tx1"/>
            </w14:solidFill>
          </w14:textFill>
        </w:rPr>
        <w:t>：</w:t>
      </w:r>
      <w:r>
        <w:rPr>
          <w:rFonts w:ascii="宋体" w:hAnsi="宋体" w:eastAsia="宋体" w:cs="宋体"/>
          <w:spacing w:val="-3"/>
          <w:sz w:val="24"/>
          <w:szCs w:val="24"/>
        </w:rPr>
        <w:t>自验收合格之日起</w:t>
      </w:r>
      <w:r>
        <w:rPr>
          <w:rFonts w:hint="eastAsia" w:ascii="宋体" w:hAnsi="宋体" w:eastAsia="宋体" w:cs="宋体"/>
          <w:spacing w:val="-3"/>
          <w:sz w:val="24"/>
          <w:szCs w:val="24"/>
          <w:lang w:val="en-US" w:eastAsia="zh-CN"/>
        </w:rPr>
        <w:t>壹</w:t>
      </w:r>
      <w:r>
        <w:rPr>
          <w:rFonts w:ascii="宋体" w:hAnsi="宋体" w:eastAsia="宋体" w:cs="宋体"/>
          <w:spacing w:val="-3"/>
          <w:sz w:val="24"/>
          <w:szCs w:val="24"/>
        </w:rPr>
        <w:t>年。</w:t>
      </w:r>
    </w:p>
    <w:p w14:paraId="095443D8">
      <w:pPr>
        <w:spacing w:line="360" w:lineRule="auto"/>
        <w:ind w:firstLine="480" w:firstLineChars="200"/>
        <w:rPr>
          <w:rFonts w:hint="eastAsia" w:ascii="宋体" w:hAnsi="宋体" w:eastAsia="宋体" w:cs="宋体"/>
          <w:bCs/>
          <w:sz w:val="24"/>
          <w:szCs w:val="24"/>
          <w:highlight w:val="none"/>
          <w:lang w:val="en-US" w:eastAsia="zh-CN" w:bidi="ar"/>
        </w:rPr>
      </w:pPr>
      <w:r>
        <w:rPr>
          <w:rFonts w:hint="eastAsia" w:ascii="宋体" w:hAnsi="宋体" w:cs="宋体"/>
          <w:b/>
          <w:bCs/>
          <w:color w:val="000000" w:themeColor="text1"/>
          <w:sz w:val="24"/>
          <w:szCs w:val="24"/>
          <w:lang w:eastAsia="zh-CN"/>
          <w14:textFill>
            <w14:solidFill>
              <w14:schemeClr w14:val="tx1"/>
            </w14:solidFill>
          </w14:textFill>
        </w:rPr>
        <w:t>4</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cs="宋体"/>
          <w:b/>
          <w:bCs/>
          <w:color w:val="000000" w:themeColor="text1"/>
          <w:sz w:val="24"/>
          <w:szCs w:val="24"/>
          <w:lang w:eastAsia="zh-CN"/>
          <w14:textFill>
            <w14:solidFill>
              <w14:schemeClr w14:val="tx1"/>
            </w14:solidFill>
          </w14:textFill>
        </w:rPr>
        <w:t>付款方式：</w:t>
      </w:r>
      <w:r>
        <w:rPr>
          <w:rFonts w:ascii="宋体" w:hAnsi="宋体" w:eastAsia="宋体" w:cs="宋体"/>
          <w:spacing w:val="-2"/>
          <w:sz w:val="24"/>
          <w:szCs w:val="24"/>
          <w:highlight w:val="none"/>
        </w:rPr>
        <w:t>项目</w:t>
      </w:r>
      <w:r>
        <w:rPr>
          <w:rFonts w:hint="eastAsia" w:ascii="宋体" w:hAnsi="宋体" w:eastAsia="宋体" w:cs="宋体"/>
          <w:spacing w:val="-2"/>
          <w:sz w:val="24"/>
          <w:szCs w:val="24"/>
          <w:highlight w:val="none"/>
          <w:lang w:eastAsia="zh-CN"/>
        </w:rPr>
        <w:t>完成</w:t>
      </w:r>
      <w:r>
        <w:rPr>
          <w:rFonts w:hint="default" w:ascii="宋体" w:hAnsi="宋体" w:eastAsia="宋体" w:cs="宋体"/>
          <w:color w:val="000000"/>
          <w:spacing w:val="-3"/>
          <w:sz w:val="24"/>
          <w:szCs w:val="24"/>
          <w:highlight w:val="none"/>
          <w:lang w:val="en-US" w:eastAsia="zh-CN"/>
        </w:rPr>
        <w:t>安装调试培训</w:t>
      </w:r>
      <w:r>
        <w:rPr>
          <w:rFonts w:hint="eastAsia" w:ascii="宋体" w:hAnsi="宋体" w:eastAsia="宋体" w:cs="宋体"/>
          <w:color w:val="000000"/>
          <w:spacing w:val="-3"/>
          <w:sz w:val="24"/>
          <w:szCs w:val="24"/>
          <w:lang w:val="en-US" w:eastAsia="zh-CN"/>
        </w:rPr>
        <w:t>并</w:t>
      </w:r>
      <w:r>
        <w:rPr>
          <w:rFonts w:ascii="宋体" w:hAnsi="宋体" w:eastAsia="宋体" w:cs="宋体"/>
          <w:spacing w:val="-3"/>
          <w:sz w:val="24"/>
          <w:szCs w:val="24"/>
          <w:highlight w:val="none"/>
        </w:rPr>
        <w:t>验收合格后</w:t>
      </w:r>
      <w:r>
        <w:rPr>
          <w:rFonts w:hint="default" w:ascii="宋体" w:hAnsi="宋体" w:eastAsia="宋体" w:cs="宋体"/>
          <w:color w:val="000000"/>
          <w:spacing w:val="-3"/>
          <w:sz w:val="24"/>
          <w:szCs w:val="24"/>
          <w:highlight w:val="none"/>
          <w:lang w:val="en-US" w:eastAsia="zh-CN"/>
        </w:rPr>
        <w:t>一次性支付</w:t>
      </w:r>
      <w:r>
        <w:rPr>
          <w:rFonts w:ascii="宋体" w:hAnsi="宋体" w:eastAsia="宋体" w:cs="宋体"/>
          <w:spacing w:val="-2"/>
          <w:sz w:val="24"/>
          <w:szCs w:val="24"/>
          <w:highlight w:val="none"/>
        </w:rPr>
        <w:t>合同</w:t>
      </w:r>
      <w:r>
        <w:rPr>
          <w:rFonts w:hint="eastAsia" w:ascii="宋体" w:hAnsi="宋体" w:eastAsia="宋体" w:cs="宋体"/>
          <w:bCs/>
          <w:sz w:val="24"/>
          <w:szCs w:val="24"/>
          <w:highlight w:val="none"/>
          <w:lang w:eastAsia="zh-CN" w:bidi="ar"/>
        </w:rPr>
        <w:t>款</w:t>
      </w:r>
      <w:r>
        <w:rPr>
          <w:rFonts w:hint="eastAsia" w:ascii="宋体" w:hAnsi="宋体" w:eastAsia="宋体" w:cs="宋体"/>
          <w:bCs/>
          <w:sz w:val="24"/>
          <w:szCs w:val="24"/>
          <w:highlight w:val="none"/>
          <w:lang w:val="en-US" w:eastAsia="zh-CN" w:bidi="ar"/>
        </w:rPr>
        <w:t xml:space="preserve"> </w:t>
      </w:r>
    </w:p>
    <w:p w14:paraId="72BE7E01">
      <w:pPr>
        <w:spacing w:line="360" w:lineRule="auto"/>
        <w:ind w:firstLine="480" w:firstLineChars="200"/>
        <w:rPr>
          <w:rFonts w:ascii="宋体" w:hAnsi="宋体" w:eastAsia="宋体" w:cs="宋体"/>
          <w:spacing w:val="-2"/>
          <w:sz w:val="24"/>
          <w:szCs w:val="24"/>
        </w:rPr>
      </w:pPr>
      <w:r>
        <w:rPr>
          <w:rFonts w:hint="eastAsia" w:ascii="宋体" w:hAnsi="宋体" w:cs="宋体"/>
          <w:b/>
          <w:bCs/>
          <w:color w:val="000000" w:themeColor="text1"/>
          <w:sz w:val="24"/>
          <w:szCs w:val="24"/>
          <w:lang w:eastAsia="zh-CN"/>
          <w14:textFill>
            <w14:solidFill>
              <w14:schemeClr w14:val="tx1"/>
            </w14:solidFill>
          </w14:textFill>
        </w:rPr>
        <w:t>5、验收</w:t>
      </w:r>
      <w:r>
        <w:rPr>
          <w:rFonts w:hint="eastAsia" w:ascii="宋体" w:hAnsi="宋体" w:cs="宋体"/>
          <w:color w:val="000000" w:themeColor="text1"/>
          <w:sz w:val="24"/>
          <w:szCs w:val="24"/>
          <w:lang w:eastAsia="zh-CN"/>
          <w14:textFill>
            <w14:solidFill>
              <w14:schemeClr w14:val="tx1"/>
            </w14:solidFill>
          </w14:textFill>
        </w:rPr>
        <w:t>：</w:t>
      </w:r>
      <w:r>
        <w:rPr>
          <w:rFonts w:ascii="宋体" w:hAnsi="宋体" w:eastAsia="宋体" w:cs="宋体"/>
          <w:spacing w:val="-1"/>
          <w:sz w:val="24"/>
          <w:szCs w:val="24"/>
        </w:rPr>
        <w:t>本项目验收按国家标准和行业相关标准及招标文件要求进行质量验收，采购人根据需要可委托第三方进行验收，费用由中标人支付，验收合格</w:t>
      </w:r>
      <w:r>
        <w:rPr>
          <w:rFonts w:ascii="宋体" w:hAnsi="宋体" w:eastAsia="宋体" w:cs="宋体"/>
          <w:sz w:val="24"/>
          <w:szCs w:val="24"/>
        </w:rPr>
        <w:t>后，双方共同签署验收合格证书，签署验收合格</w:t>
      </w:r>
      <w:r>
        <w:rPr>
          <w:rFonts w:ascii="宋体" w:hAnsi="宋体" w:eastAsia="宋体" w:cs="宋体"/>
          <w:spacing w:val="-1"/>
          <w:sz w:val="24"/>
          <w:szCs w:val="24"/>
        </w:rPr>
        <w:t>之日起进入质保期。若验收时</w:t>
      </w:r>
      <w:r>
        <w:rPr>
          <w:rFonts w:ascii="宋体" w:hAnsi="宋体" w:eastAsia="宋体" w:cs="宋体"/>
          <w:sz w:val="24"/>
          <w:szCs w:val="24"/>
        </w:rPr>
        <w:t>有某技术参数不能满足招标文件技术要求的，采购</w:t>
      </w:r>
      <w:r>
        <w:rPr>
          <w:rFonts w:ascii="宋体" w:hAnsi="宋体" w:eastAsia="宋体" w:cs="宋体"/>
          <w:spacing w:val="-1"/>
          <w:sz w:val="24"/>
          <w:szCs w:val="24"/>
        </w:rPr>
        <w:t>人有权要求索赔，以上所产</w:t>
      </w:r>
      <w:r>
        <w:rPr>
          <w:rFonts w:ascii="宋体" w:hAnsi="宋体" w:eastAsia="宋体" w:cs="宋体"/>
          <w:spacing w:val="-2"/>
          <w:sz w:val="24"/>
          <w:szCs w:val="24"/>
        </w:rPr>
        <w:t>生的一切费用由中标人全部承担并承担相应的法律责任。</w:t>
      </w:r>
    </w:p>
    <w:p w14:paraId="73E8CCCD">
      <w:pPr>
        <w:spacing w:line="360" w:lineRule="auto"/>
        <w:ind w:firstLine="480" w:firstLineChars="200"/>
        <w:rPr>
          <w:rFonts w:hint="eastAsia" w:ascii="宋体" w:hAnsi="宋体" w:cs="宋体"/>
          <w:b/>
          <w:bCs/>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6、</w:t>
      </w:r>
      <w:r>
        <w:rPr>
          <w:rFonts w:hint="eastAsia" w:ascii="宋体" w:hAnsi="宋体" w:cs="宋体"/>
          <w:b/>
          <w:bCs/>
          <w:color w:val="000000" w:themeColor="text1"/>
          <w:sz w:val="24"/>
          <w:szCs w:val="24"/>
          <w:lang w:eastAsia="zh-CN"/>
          <w14:textFill>
            <w14:solidFill>
              <w14:schemeClr w14:val="tx1"/>
            </w14:solidFill>
          </w14:textFill>
        </w:rPr>
        <w:t>售后服务要求：</w:t>
      </w:r>
    </w:p>
    <w:p w14:paraId="7795710F">
      <w:pPr>
        <w:spacing w:line="360" w:lineRule="auto"/>
        <w:ind w:firstLine="476" w:firstLineChars="200"/>
        <w:rPr>
          <w:rFonts w:ascii="宋体" w:hAnsi="宋体" w:eastAsia="宋体" w:cs="宋体"/>
          <w:spacing w:val="-1"/>
          <w:sz w:val="24"/>
          <w:szCs w:val="24"/>
        </w:rPr>
      </w:pPr>
      <w:r>
        <w:rPr>
          <w:rFonts w:ascii="宋体" w:hAnsi="宋体" w:eastAsia="宋体" w:cs="宋体"/>
          <w:spacing w:val="-1"/>
          <w:sz w:val="24"/>
          <w:szCs w:val="24"/>
        </w:rPr>
        <w:t>1）在货物使用期间，根据采购人、使用单位的检验结果，如果发现货物的质量或规格与合同要求不符，或货物被证实使用不合适的材料，采购人或使用单位有权向中标供应商提出索赔并要求退货或换货。</w:t>
      </w:r>
    </w:p>
    <w:p w14:paraId="691C4CC7">
      <w:pPr>
        <w:spacing w:line="360" w:lineRule="auto"/>
        <w:ind w:firstLine="476" w:firstLineChars="200"/>
        <w:rPr>
          <w:rFonts w:hint="eastAsia" w:ascii="宋体" w:hAnsi="宋体" w:cs="宋体"/>
          <w:b w:val="0"/>
          <w:bCs w:val="0"/>
          <w:color w:val="000000" w:themeColor="text1"/>
          <w:sz w:val="24"/>
          <w:szCs w:val="24"/>
          <w:highlight w:val="yellow"/>
          <w:lang w:eastAsia="zh-CN"/>
          <w14:textFill>
            <w14:solidFill>
              <w14:schemeClr w14:val="tx1"/>
            </w14:solidFill>
          </w14:textFill>
        </w:rPr>
      </w:pPr>
      <w:r>
        <w:rPr>
          <w:rFonts w:ascii="宋体" w:hAnsi="宋体" w:eastAsia="宋体" w:cs="宋体"/>
          <w:spacing w:val="-1"/>
          <w:sz w:val="24"/>
          <w:szCs w:val="24"/>
        </w:rPr>
        <w:t>2）</w:t>
      </w:r>
      <w:r>
        <w:rPr>
          <w:rFonts w:ascii="宋体" w:hAnsi="宋体" w:eastAsia="宋体" w:cs="宋体"/>
          <w:spacing w:val="-1"/>
          <w:sz w:val="24"/>
          <w:szCs w:val="24"/>
          <w:highlight w:val="none"/>
        </w:rPr>
        <w:t>所有货物在质量保证期内由于质量缺陷需要更换的应提供上门免费更换，保修期内出现任何问题，中标供应商应在接到采购人或使用单位通知后</w:t>
      </w:r>
      <w:r>
        <w:rPr>
          <w:rFonts w:hint="eastAsia" w:ascii="宋体" w:hAnsi="宋体" w:eastAsia="宋体" w:cs="宋体"/>
          <w:spacing w:val="-1"/>
          <w:sz w:val="24"/>
          <w:szCs w:val="24"/>
          <w:highlight w:val="none"/>
          <w:lang w:val="en-US" w:eastAsia="zh-CN"/>
        </w:rPr>
        <w:t>1</w:t>
      </w:r>
      <w:r>
        <w:rPr>
          <w:rFonts w:ascii="宋体" w:hAnsi="宋体" w:eastAsia="宋体" w:cs="宋体"/>
          <w:spacing w:val="-3"/>
          <w:sz w:val="24"/>
          <w:szCs w:val="24"/>
          <w:highlight w:val="none"/>
        </w:rPr>
        <w:t>小时内响应，24 小时</w:t>
      </w:r>
      <w:r>
        <w:rPr>
          <w:rFonts w:ascii="宋体" w:hAnsi="宋体" w:eastAsia="宋体" w:cs="宋体"/>
          <w:spacing w:val="-1"/>
          <w:sz w:val="24"/>
          <w:szCs w:val="24"/>
          <w:highlight w:val="none"/>
        </w:rPr>
        <w:t>内</w:t>
      </w:r>
      <w:r>
        <w:rPr>
          <w:rFonts w:hint="eastAsia" w:ascii="宋体" w:hAnsi="宋体" w:eastAsia="宋体" w:cs="宋体"/>
          <w:spacing w:val="-1"/>
          <w:sz w:val="24"/>
          <w:szCs w:val="24"/>
          <w:highlight w:val="none"/>
          <w:lang w:eastAsia="zh-CN"/>
        </w:rPr>
        <w:t>到达现场提供免费服务，</w:t>
      </w:r>
      <w:r>
        <w:rPr>
          <w:rFonts w:hint="eastAsia" w:ascii="宋体" w:hAnsi="宋体" w:eastAsia="宋体" w:cs="宋体"/>
          <w:spacing w:val="-1"/>
          <w:sz w:val="24"/>
          <w:szCs w:val="24"/>
          <w:highlight w:val="none"/>
          <w:lang w:val="en-US" w:eastAsia="zh-CN"/>
        </w:rPr>
        <w:t>如24小时内未解决问题（未修复）则提供备用机</w:t>
      </w:r>
      <w:r>
        <w:rPr>
          <w:rFonts w:hint="eastAsia" w:ascii="宋体" w:hAnsi="宋体" w:eastAsia="宋体" w:cs="宋体"/>
          <w:spacing w:val="-1"/>
          <w:sz w:val="24"/>
          <w:szCs w:val="24"/>
          <w:highlight w:val="none"/>
          <w:lang w:eastAsia="zh-CN"/>
        </w:rPr>
        <w:t>。</w:t>
      </w:r>
    </w:p>
    <w:p w14:paraId="59E3E936">
      <w:pPr>
        <w:spacing w:line="360" w:lineRule="auto"/>
        <w:ind w:firstLine="480" w:firstLineChars="200"/>
        <w:rPr>
          <w:rFonts w:hint="eastAsia" w:ascii="宋体" w:hAnsi="宋体" w:cs="宋体"/>
          <w:b w:val="0"/>
          <w:bCs w:val="0"/>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7</w:t>
      </w:r>
      <w:r>
        <w:rPr>
          <w:rFonts w:hint="eastAsia" w:ascii="宋体" w:hAnsi="宋体" w:cs="宋体"/>
          <w:b/>
          <w:bCs/>
          <w:color w:val="000000" w:themeColor="text1"/>
          <w:sz w:val="24"/>
          <w:szCs w:val="24"/>
          <w:lang w:eastAsia="zh-CN"/>
          <w14:textFill>
            <w14:solidFill>
              <w14:schemeClr w14:val="tx1"/>
            </w14:solidFill>
          </w14:textFill>
        </w:rPr>
        <w:t>、</w:t>
      </w:r>
      <w:r>
        <w:rPr>
          <w:rFonts w:hint="eastAsia" w:ascii="宋体" w:hAnsi="宋体" w:cs="宋体"/>
          <w:b w:val="0"/>
          <w:bCs w:val="0"/>
          <w:color w:val="000000" w:themeColor="text1"/>
          <w:sz w:val="24"/>
          <w:szCs w:val="24"/>
          <w:lang w:eastAsia="zh-CN"/>
          <w14:textFill>
            <w14:solidFill>
              <w14:schemeClr w14:val="tx1"/>
            </w14:solidFill>
          </w14:textFill>
        </w:rPr>
        <w:t>提供的货物均应符合现行国内和行业相关标准。</w:t>
      </w:r>
    </w:p>
    <w:p w14:paraId="773F3CDA">
      <w:pPr>
        <w:spacing w:line="360" w:lineRule="auto"/>
        <w:ind w:firstLine="480" w:firstLineChars="200"/>
        <w:rPr>
          <w:rFonts w:hint="eastAsia" w:ascii="宋体" w:hAnsi="宋体" w:cs="宋体"/>
          <w:b w:val="0"/>
          <w:bCs w:val="0"/>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8、投标报价：</w:t>
      </w:r>
      <w:r>
        <w:rPr>
          <w:rFonts w:hint="eastAsia" w:ascii="宋体" w:hAnsi="宋体" w:cs="宋体"/>
          <w:b w:val="0"/>
          <w:bCs w:val="0"/>
          <w:color w:val="000000" w:themeColor="text1"/>
          <w:sz w:val="24"/>
          <w:szCs w:val="24"/>
          <w:lang w:eastAsia="zh-CN"/>
          <w14:textFill>
            <w14:solidFill>
              <w14:schemeClr w14:val="tx1"/>
            </w14:solidFill>
          </w14:textFill>
        </w:rPr>
        <w:t>本项目为交钥匙工程，在开标一览表中报价，包括</w:t>
      </w:r>
      <w:r>
        <w:rPr>
          <w:rFonts w:hint="eastAsia" w:ascii="宋体" w:hAnsi="宋体" w:cs="宋体"/>
          <w:b w:val="0"/>
          <w:bCs w:val="0"/>
          <w:color w:val="000000" w:themeColor="text1"/>
          <w:sz w:val="24"/>
          <w:szCs w:val="24"/>
          <w:lang w:val="en-US" w:eastAsia="zh-CN"/>
          <w14:textFill>
            <w14:solidFill>
              <w14:schemeClr w14:val="tx1"/>
            </w14:solidFill>
          </w14:textFill>
        </w:rPr>
        <w:t>代理服务费、</w:t>
      </w:r>
      <w:r>
        <w:rPr>
          <w:rFonts w:hint="eastAsia" w:ascii="宋体" w:hAnsi="宋体" w:cs="宋体"/>
          <w:b w:val="0"/>
          <w:bCs w:val="0"/>
          <w:color w:val="000000" w:themeColor="text1"/>
          <w:sz w:val="24"/>
          <w:szCs w:val="24"/>
          <w:lang w:eastAsia="zh-CN"/>
          <w14:textFill>
            <w14:solidFill>
              <w14:schemeClr w14:val="tx1"/>
            </w14:solidFill>
          </w14:textFill>
        </w:rPr>
        <w:t>成本费用、运杂费、售后服务费（含技术培训费）、运费和保险费、验收费、利税以及合同实施过程中的应预见或不可预见等一切可能发生的费用。</w:t>
      </w:r>
    </w:p>
    <w:p w14:paraId="5118BF72">
      <w:pPr>
        <w:spacing w:line="360" w:lineRule="auto"/>
        <w:ind w:firstLine="480" w:firstLineChars="200"/>
        <w:rPr>
          <w:rFonts w:hint="eastAsia" w:ascii="宋体" w:hAnsi="宋体" w:cs="宋体"/>
          <w:b w:val="0"/>
          <w:bCs w:val="0"/>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9、知识产权：</w:t>
      </w:r>
      <w:r>
        <w:rPr>
          <w:rFonts w:hint="eastAsia" w:ascii="宋体" w:hAnsi="宋体" w:cs="宋体"/>
          <w:b w:val="0"/>
          <w:bCs w:val="0"/>
          <w:color w:val="000000" w:themeColor="text1"/>
          <w:sz w:val="24"/>
          <w:szCs w:val="24"/>
          <w:lang w:eastAsia="zh-CN"/>
          <w14:textFill>
            <w14:solidFill>
              <w14:schemeClr w14:val="tx1"/>
            </w14:solidFill>
          </w14:textFill>
        </w:rPr>
        <w:t>采购人在使用货物或货物的任何部分时不受任何关于侵犯所有权和工业产权、著作权（版权）等知识产权的指控（采购人是免责的）。如果任何第三方提出侵权指控，中标人承担一切与之有关的责任。</w:t>
      </w:r>
    </w:p>
    <w:p w14:paraId="025DD4C3">
      <w:pPr>
        <w:spacing w:line="360" w:lineRule="auto"/>
        <w:ind w:firstLine="480" w:firstLineChars="200"/>
        <w:rPr>
          <w:rFonts w:hint="eastAsia" w:ascii="宋体" w:hAnsi="宋体" w:cs="宋体"/>
          <w:b w:val="0"/>
          <w:bCs w:val="0"/>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10、</w:t>
      </w:r>
      <w:r>
        <w:rPr>
          <w:rFonts w:hint="eastAsia" w:ascii="宋体" w:hAnsi="宋体" w:cs="宋体"/>
          <w:b w:val="0"/>
          <w:bCs w:val="0"/>
          <w:color w:val="000000" w:themeColor="text1"/>
          <w:sz w:val="24"/>
          <w:szCs w:val="24"/>
          <w:lang w:eastAsia="zh-CN"/>
          <w14:textFill>
            <w14:solidFill>
              <w14:schemeClr w14:val="tx1"/>
            </w14:solidFill>
          </w14:textFill>
        </w:rPr>
        <w:t>投标人应充分考虑本项目合同实施期间可能发生的一切费用，并承担由此而带来的风险。凡投标人在报价中未列明但又为招标所必备的项目或遗漏项目，采购人将一律视为已包括在其报价中，在合同执行中将不予考虑。</w:t>
      </w:r>
    </w:p>
    <w:p w14:paraId="2228BC24">
      <w:pPr>
        <w:spacing w:line="360" w:lineRule="auto"/>
        <w:ind w:firstLine="480" w:firstLineChars="200"/>
        <w:rPr>
          <w:rFonts w:hint="eastAsia" w:ascii="宋体" w:hAnsi="宋体" w:cs="宋体"/>
          <w:b w:val="0"/>
          <w:bCs w:val="0"/>
          <w:color w:val="000000" w:themeColor="text1"/>
          <w:sz w:val="24"/>
          <w:szCs w:val="24"/>
          <w:lang w:eastAsia="zh-CN"/>
          <w14:textFill>
            <w14:solidFill>
              <w14:schemeClr w14:val="tx1"/>
            </w14:solidFill>
          </w14:textFill>
        </w:rPr>
      </w:pPr>
      <w:r>
        <w:rPr>
          <w:rFonts w:hint="eastAsia" w:ascii="宋体" w:hAnsi="宋体" w:cs="宋体"/>
          <w:b/>
          <w:bCs/>
          <w:color w:val="000000" w:themeColor="text1"/>
          <w:sz w:val="24"/>
          <w:szCs w:val="24"/>
          <w:lang w:val="en-US" w:eastAsia="zh-CN"/>
          <w14:textFill>
            <w14:solidFill>
              <w14:schemeClr w14:val="tx1"/>
            </w14:solidFill>
          </w14:textFill>
        </w:rPr>
        <w:t>11、</w:t>
      </w:r>
      <w:r>
        <w:rPr>
          <w:rFonts w:hint="eastAsia" w:ascii="宋体" w:hAnsi="宋体" w:cs="宋体"/>
          <w:b w:val="0"/>
          <w:bCs w:val="0"/>
          <w:color w:val="000000" w:themeColor="text1"/>
          <w:sz w:val="24"/>
          <w:szCs w:val="24"/>
          <w:lang w:eastAsia="zh-CN"/>
          <w14:textFill>
            <w14:solidFill>
              <w14:schemeClr w14:val="tx1"/>
            </w14:solidFill>
          </w14:textFill>
        </w:rPr>
        <w:t>其他未尽事宜，请与采购人联系。</w:t>
      </w:r>
    </w:p>
    <w:p w14:paraId="0446B77A">
      <w:pPr>
        <w:spacing w:before="182" w:line="219" w:lineRule="auto"/>
        <w:ind w:left="41"/>
        <w:rPr>
          <w:rFonts w:hint="eastAsia" w:ascii="宋体" w:hAnsi="宋体" w:eastAsia="宋体" w:cs="宋体"/>
          <w:sz w:val="24"/>
          <w:szCs w:val="24"/>
          <w:lang w:val="en-US" w:eastAsia="zh-CN"/>
        </w:rPr>
        <w:sectPr>
          <w:footerReference r:id="rId4" w:type="default"/>
          <w:pgSz w:w="11905" w:h="16839"/>
          <w:pgMar w:top="1374" w:right="1757" w:bottom="1422" w:left="1757" w:header="749" w:footer="1176" w:gutter="0"/>
          <w:cols w:space="720" w:num="1"/>
        </w:sectPr>
      </w:pPr>
      <w:r>
        <w:rPr>
          <w:rFonts w:ascii="宋体" w:hAnsi="宋体" w:eastAsia="宋体" w:cs="宋体"/>
          <w:b/>
          <w:bCs/>
          <w:spacing w:val="-4"/>
          <w:sz w:val="24"/>
          <w:szCs w:val="24"/>
        </w:rPr>
        <w:t>备注：上述采购需求（含技术、商务要求）为实质性要求，采购人不接受负</w:t>
      </w:r>
      <w:r>
        <w:rPr>
          <w:rFonts w:hint="eastAsia" w:ascii="宋体" w:hAnsi="宋体" w:eastAsia="宋体" w:cs="宋体"/>
          <w:b/>
          <w:bCs/>
          <w:spacing w:val="-4"/>
          <w:sz w:val="24"/>
          <w:szCs w:val="24"/>
          <w:lang w:val="en-US" w:eastAsia="zh-CN"/>
        </w:rPr>
        <w:t>偏离。</w:t>
      </w:r>
    </w:p>
    <w:p w14:paraId="4363876C">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604B1">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4E64CF">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5B4E64CF">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3DE2D0">
    <w:pPr>
      <w:pStyle w:val="3"/>
      <w:spacing w:line="235" w:lineRule="exact"/>
      <w:ind w:left="4103"/>
      <w:rPr>
        <w:sz w:val="18"/>
        <w:szCs w:val="18"/>
      </w:rPr>
    </w:pPr>
    <w:r>
      <w:rPr>
        <w:spacing w:val="-3"/>
        <w:position w:val="1"/>
        <w:sz w:val="18"/>
        <w:szCs w:val="18"/>
      </w:rPr>
      <w:t>73</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6D97E7"/>
    <w:multiLevelType w:val="singleLevel"/>
    <w:tmpl w:val="A16D97E7"/>
    <w:lvl w:ilvl="0" w:tentative="0">
      <w:start w:val="1"/>
      <w:numFmt w:val="decimal"/>
      <w:lvlText w:val="%1."/>
      <w:lvlJc w:val="left"/>
      <w:pPr>
        <w:ind w:left="425" w:hanging="425"/>
      </w:pPr>
      <w:rPr>
        <w:rFonts w:hint="default"/>
      </w:rPr>
    </w:lvl>
  </w:abstractNum>
  <w:abstractNum w:abstractNumId="1">
    <w:nsid w:val="19C717BE"/>
    <w:multiLevelType w:val="multilevel"/>
    <w:tmpl w:val="19C717BE"/>
    <w:lvl w:ilvl="0" w:tentative="0">
      <w:start w:val="1"/>
      <w:numFmt w:val="decimal"/>
      <w:lvlText w:val="%1."/>
      <w:lvlJc w:val="left"/>
      <w:pPr>
        <w:ind w:left="420" w:hanging="420"/>
      </w:pPr>
    </w:lvl>
    <w:lvl w:ilvl="1" w:tentative="0">
      <w:start w:val="0"/>
      <w:numFmt w:val="bullet"/>
      <w:lvlText w:val="★"/>
      <w:lvlJc w:val="left"/>
      <w:pPr>
        <w:ind w:left="780" w:hanging="360"/>
      </w:pPr>
      <w:rPr>
        <w:rFonts w:hint="eastAsia" w:ascii="宋体" w:hAnsi="宋体" w:eastAsia="宋体" w:cstheme="minorBidi"/>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F34A1C"/>
    <w:rsid w:val="6CE133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styleId="9">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2</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2026-05-28T01:07:26Z</dcterms:created>
  <dc:creator>Administrator</dc:creator>
  <cp:lastModifiedBy>金金</cp:lastModifiedBy>
  <dcterms:modified xsi:type="dcterms:W3CDTF">2026-05-28T01:10:58Z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eyJoZGlkIjoiYzFkNmUzMTZjZGZkZWExN2I4NzFmZTAwNTY0ZmM3YjgiLCJ1c2VySWQiOiI5NTkxMjQyODYifQ==</vt:lpwstr>
  </property>
  <property fmtid="{D5CDD505-2E9C-101B-9397-08002B2CF9AE}" pid="4" name="ICV">
    <vt:lpwstr>89FB00B13D454D77B49CF3A1E5BFA57F_12</vt:lpwstr>
  </property>
</Properties>
</file>