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A6F152">
      <w:pPr>
        <w:pStyle w:val="2"/>
        <w:wordWrap w:val="0"/>
        <w:topLinePunct/>
        <w:autoSpaceDE/>
        <w:autoSpaceDN/>
        <w:jc w:val="center"/>
      </w:pPr>
      <w:bookmarkStart w:id="0" w:name="_Toc25545"/>
      <w:bookmarkStart w:id="1" w:name="_Toc727"/>
      <w:bookmarkStart w:id="2" w:name="_Toc29296"/>
      <w:bookmarkStart w:id="3" w:name="_Toc2349"/>
      <w:r>
        <w:rPr>
          <w:rFonts w:hint="eastAsia"/>
        </w:rPr>
        <w:t>二、技术要求</w:t>
      </w:r>
      <w:bookmarkEnd w:id="0"/>
      <w:bookmarkEnd w:id="1"/>
      <w:bookmarkEnd w:id="2"/>
      <w:bookmarkEnd w:id="3"/>
    </w:p>
    <w:tbl>
      <w:tblPr>
        <w:tblStyle w:val="3"/>
        <w:tblW w:w="499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1678"/>
        <w:gridCol w:w="6125"/>
      </w:tblGrid>
      <w:tr w14:paraId="75B10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416" w:type="pct"/>
            <w:noWrap/>
            <w:vAlign w:val="center"/>
          </w:tcPr>
          <w:p w14:paraId="2AF71E68">
            <w:pPr>
              <w:kinsoku/>
              <w:wordWrap w:val="0"/>
              <w:topLinePunct/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bookmarkStart w:id="4" w:name="_Hlk98513293"/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985" w:type="pct"/>
            <w:noWrap/>
            <w:vAlign w:val="center"/>
          </w:tcPr>
          <w:p w14:paraId="576DB66E">
            <w:pPr>
              <w:kinsoku/>
              <w:wordWrap w:val="0"/>
              <w:topLinePunct/>
              <w:autoSpaceDE/>
              <w:autoSpaceDN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名称</w:t>
            </w:r>
          </w:p>
        </w:tc>
        <w:tc>
          <w:tcPr>
            <w:tcW w:w="3597" w:type="pct"/>
            <w:noWrap/>
            <w:vAlign w:val="center"/>
          </w:tcPr>
          <w:p w14:paraId="7F34D250">
            <w:pPr>
              <w:kinsoku/>
              <w:wordWrap w:val="0"/>
              <w:topLinePunct/>
              <w:autoSpaceDE/>
              <w:autoSpaceDN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技术参数要求</w:t>
            </w:r>
          </w:p>
        </w:tc>
      </w:tr>
      <w:tr w14:paraId="71F5B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416" w:type="pct"/>
            <w:noWrap/>
            <w:vAlign w:val="center"/>
          </w:tcPr>
          <w:p w14:paraId="1B3E24E3">
            <w:pPr>
              <w:kinsoku/>
              <w:wordWrap w:val="0"/>
              <w:topLinePunct/>
              <w:autoSpaceDE/>
              <w:autoSpaceDN/>
              <w:spacing w:line="44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985" w:type="pct"/>
            <w:noWrap/>
            <w:vAlign w:val="center"/>
          </w:tcPr>
          <w:p w14:paraId="2DFC1DD2">
            <w:pPr>
              <w:kinsoku/>
              <w:wordWrap w:val="0"/>
              <w:topLinePunct/>
              <w:autoSpaceDE/>
              <w:autoSpaceDN/>
              <w:spacing w:line="276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-7"/>
                <w:sz w:val="24"/>
                <w:szCs w:val="24"/>
                <w:lang w:eastAsia="zh-CN"/>
              </w:rPr>
              <w:t>-196°冰箱</w:t>
            </w:r>
          </w:p>
        </w:tc>
        <w:tc>
          <w:tcPr>
            <w:tcW w:w="3597" w:type="pct"/>
            <w:noWrap/>
          </w:tcPr>
          <w:p w14:paraId="0444065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default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1.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样本存储区温度要求：存储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温度≤-180℃；</w:t>
            </w:r>
          </w:p>
          <w:p w14:paraId="006609C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default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2.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存储方式：非液相存储，样本不可接触液氮；</w:t>
            </w:r>
          </w:p>
          <w:p w14:paraId="1784202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default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3.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单台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设备存储量：满足1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ml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（φ12.8×34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mm）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冻存管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存量≥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万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支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eastAsia="zh-CN"/>
              </w:rPr>
              <w:t>；</w:t>
            </w:r>
          </w:p>
          <w:p w14:paraId="5457D2A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4.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设备高度要求：≤2.7米；</w:t>
            </w:r>
          </w:p>
          <w:p w14:paraId="043FBCD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default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5.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抓板方式：三轴式机械手，抓取过程具有柔性保护功能；</w:t>
            </w:r>
          </w:p>
          <w:p w14:paraId="0BA3421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6.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最远单支出库时间：最远单支冻存管取出时间≤300s；</w:t>
            </w:r>
          </w:p>
          <w:p w14:paraId="389DE17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7.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整盒入库效率：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完成10盒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样本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入库时间≤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分钟；</w:t>
            </w:r>
          </w:p>
          <w:p w14:paraId="7596C6D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8.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整盒出库效率：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完成10盒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样本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出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库时间≤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分钟；</w:t>
            </w:r>
          </w:p>
          <w:p w14:paraId="198E9F4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9.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湿气控制：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样本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转运存储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对接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全过程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</w:rPr>
              <w:t>设备密闭式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运行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，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</w:rPr>
              <w:t>出入库过程中避免湿气进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入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</w:rPr>
              <w:t>液氮存储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设备；</w:t>
            </w:r>
          </w:p>
          <w:p w14:paraId="4C0713B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10.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</w:rPr>
              <w:t>液氮罐总容积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：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</w:rPr>
              <w:t>液氮罐总容积≥1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</w:rPr>
              <w:t>00L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7963300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11.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单次液氮补给量：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样本不接触液氮的情况下罐内液氮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</w:rPr>
              <w:t>最大加注量≥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60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</w:rPr>
              <w:t>0L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59F44D2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default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12.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最大补液维持时间：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注满液氮静态消耗自持时间≥18天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；</w:t>
            </w:r>
          </w:p>
          <w:p w14:paraId="642D74C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13.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扫码成功率：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至少1万次实测运行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设备扫码成功率≥99.5%；</w:t>
            </w:r>
          </w:p>
          <w:p w14:paraId="4CE5A61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14.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挑管成功率：</w:t>
            </w:r>
            <w:r>
              <w:rPr>
                <w:rFonts w:hint="eastAsia" w:ascii="新宋体" w:hAnsi="新宋体" w:eastAsia="新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至少1万次实测运行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设备单支挑管成功率≥99.5%；</w:t>
            </w:r>
          </w:p>
          <w:p w14:paraId="5366F4D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eastAsia="新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新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15.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挑管区液氮消耗：挑管区挑管前无需设备内额外补充液氮；</w:t>
            </w:r>
          </w:p>
          <w:p w14:paraId="388EEC0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16.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配套转运罐：每台设备配置配套样本转运罐一个，可与存储设备冷链密闭无缝对接；</w:t>
            </w:r>
          </w:p>
          <w:p w14:paraId="6EDABDE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17.</w:t>
            </w:r>
            <w:r>
              <w:rPr>
                <w:rFonts w:hint="eastAsia" w:ascii="宋体" w:hAnsi="宋体" w:cs="宋体"/>
                <w:bCs/>
                <w:color w:val="auto"/>
                <w:sz w:val="24"/>
                <w:szCs w:val="22"/>
                <w:highlight w:val="none"/>
                <w:lang w:val="en-US" w:eastAsia="zh-CN"/>
              </w:rPr>
              <w:t>转运罐单次加液安全自持时间：配套转运罐单次加注液氮维持样本安全时间≥3小时。</w:t>
            </w:r>
          </w:p>
          <w:p w14:paraId="38980A4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60" w:lineRule="exact"/>
              <w:ind w:left="0" w:leftChars="0"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  <w:t>18.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可开放端口与相关样本管理系统对接，提供远程报警服务，不收取额外费用。</w:t>
            </w:r>
          </w:p>
        </w:tc>
      </w:tr>
      <w:bookmarkEnd w:id="4"/>
    </w:tbl>
    <w:p w14:paraId="59C23947">
      <w:pPr>
        <w:kinsoku/>
        <w:wordWrap w:val="0"/>
        <w:topLinePunct/>
        <w:autoSpaceDE/>
        <w:autoSpaceDN/>
        <w:rPr>
          <w:rFonts w:ascii="宋体" w:hAnsi="宋体"/>
          <w:b/>
          <w:bCs/>
          <w:color w:val="000000"/>
          <w:spacing w:val="2"/>
          <w:lang w:eastAsia="zh-CN"/>
        </w:rPr>
      </w:pPr>
      <w:r>
        <w:rPr>
          <w:rFonts w:hint="eastAsia" w:ascii="宋体" w:hAnsi="宋体"/>
          <w:b/>
          <w:bCs/>
          <w:color w:val="000000"/>
          <w:spacing w:val="2"/>
          <w:lang w:eastAsia="zh-CN"/>
        </w:rPr>
        <w:t>注：以上“技术要求”为实质性条款须完全响应，否则投标无效。</w:t>
      </w:r>
    </w:p>
    <w:p w14:paraId="48581131"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B282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宋体"/>
      <w:snapToGrid w:val="0"/>
      <w:spacing w:val="-1"/>
      <w:sz w:val="24"/>
      <w:szCs w:val="24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kinsoku/>
      <w:spacing w:line="460" w:lineRule="exact"/>
      <w:outlineLvl w:val="1"/>
    </w:pPr>
    <w:rPr>
      <w:rFonts w:ascii="宋体" w:hAnsi="宋体"/>
      <w:b/>
      <w:bCs/>
      <w:spacing w:val="0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2026-06-22T02:48:39Z</dcterms:created>
  <dc:creator>Administrator</dc:creator>
  <cp:lastModifiedBy>xx</cp:lastModifiedBy>
  <dcterms:modified xsi:type="dcterms:W3CDTF">2026-06-22T02:49:01Z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eyJoZGlkIjoiNzg3ZWEwNzhiMzhlZDRkMmFhMmEwZDNhMmRlMTc5NWUiLCJ1c2VySWQiOiI1Mjc2MDU0NTkifQ==</vt:lpwstr>
  </property>
  <property fmtid="{D5CDD505-2E9C-101B-9397-08002B2CF9AE}" pid="4" name="ICV">
    <vt:lpwstr>2E87FBC5FFB34498BE72D279A38D8A25_12</vt:lpwstr>
  </property>
</Properties>
</file>