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C7D947">
      <w:pPr>
        <w:pStyle w:val="2"/>
        <w:outlineLvl w:val="1"/>
        <w:rPr>
          <w:rFonts w:hint="eastAsia" w:ascii="仿宋" w:hAnsi="仿宋" w:eastAsia="仿宋"/>
        </w:rPr>
      </w:pPr>
      <w:bookmarkStart w:id="0" w:name="_Toc92813809"/>
      <w:bookmarkStart w:id="1" w:name="_Toc24256"/>
      <w:r>
        <w:rPr>
          <w:rFonts w:hint="eastAsia" w:ascii="仿宋" w:hAnsi="仿宋" w:eastAsia="仿宋"/>
        </w:rPr>
        <w:t>二、</w:t>
      </w:r>
      <w:r>
        <w:rPr>
          <w:rFonts w:hint="eastAsia" w:ascii="仿宋" w:hAnsi="仿宋"/>
          <w:lang w:val="en-US" w:eastAsia="zh-CN"/>
        </w:rPr>
        <w:t>服务内容</w:t>
      </w:r>
      <w:r>
        <w:rPr>
          <w:rFonts w:hint="eastAsia" w:ascii="仿宋" w:hAnsi="仿宋" w:eastAsia="仿宋"/>
        </w:rPr>
        <w:t>及要求</w:t>
      </w:r>
      <w:bookmarkEnd w:id="0"/>
      <w:bookmarkEnd w:id="1"/>
    </w:p>
    <w:p w14:paraId="59D5FD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2" w:firstLineChars="200"/>
        <w:jc w:val="both"/>
        <w:textAlignment w:val="auto"/>
        <w:rPr>
          <w:rFonts w:hint="eastAsia" w:ascii="仿宋" w:hAnsi="仿宋" w:eastAsia="仿宋" w:cs="仿宋"/>
          <w:b/>
          <w:bCs/>
          <w:snapToGrid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/>
          <w:kern w:val="2"/>
          <w:sz w:val="28"/>
          <w:szCs w:val="28"/>
          <w:lang w:val="en-US" w:eastAsia="zh-CN"/>
        </w:rPr>
        <w:t>（一）项目背景</w:t>
      </w:r>
    </w:p>
    <w:p w14:paraId="064F63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napToGrid/>
          <w:kern w:val="2"/>
          <w:sz w:val="28"/>
          <w:szCs w:val="28"/>
          <w:lang w:eastAsia="zh-CN"/>
        </w:rPr>
        <w:t>根据交通运输部关于《进一步加强全国治理车辆超限超载工作》的通知（交办公路函〔2020〕298号）中“建立治超工作责任倒查与追究制度，通过政府购买服务、委托第三方专业机构评价等方式，对本地区治超工作开展常态化监督，拓宽投诉举报渠道，收集问题线索，有针对性地开展解剖麻雀式暗访，严肃查处治超全链条、各环节中的不作为、乱作为等行为”的要求。</w:t>
      </w:r>
      <w:r>
        <w:rPr>
          <w:rFonts w:hint="eastAsia" w:ascii="仿宋" w:hAnsi="仿宋" w:eastAsia="仿宋" w:cs="仿宋"/>
          <w:b w:val="0"/>
          <w:bCs w:val="0"/>
          <w:snapToGrid/>
          <w:kern w:val="2"/>
          <w:sz w:val="28"/>
          <w:szCs w:val="28"/>
          <w:lang w:val="en-US" w:eastAsia="zh-CN"/>
        </w:rPr>
        <w:t>采购人将引入第三方单位，充实江西省</w:t>
      </w:r>
      <w:r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  <w:t>普通公路治超技术支撑、辅助管理和监督力量，辅助客观掌握全省各地治超成效，及时发现并解决各地治超执法过程中的问题，推进治超工作高效开展。</w:t>
      </w:r>
    </w:p>
    <w:p w14:paraId="09B0B4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2" w:firstLineChars="200"/>
        <w:jc w:val="both"/>
        <w:textAlignment w:val="auto"/>
        <w:rPr>
          <w:rFonts w:hint="eastAsia" w:ascii="仿宋" w:hAnsi="仿宋" w:eastAsia="仿宋" w:cs="仿宋"/>
          <w:b/>
          <w:bCs/>
          <w:snapToGrid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/>
          <w:kern w:val="2"/>
          <w:sz w:val="28"/>
          <w:szCs w:val="28"/>
          <w:lang w:eastAsia="zh-CN"/>
        </w:rPr>
        <w:t>（</w:t>
      </w:r>
      <w:r>
        <w:rPr>
          <w:rFonts w:hint="eastAsia" w:ascii="仿宋" w:hAnsi="仿宋" w:eastAsia="仿宋" w:cs="仿宋"/>
          <w:b/>
          <w:bCs/>
          <w:snapToGrid/>
          <w:kern w:val="2"/>
          <w:sz w:val="28"/>
          <w:szCs w:val="28"/>
          <w:lang w:val="en-US" w:eastAsia="zh-CN"/>
        </w:rPr>
        <w:t>二</w:t>
      </w:r>
      <w:r>
        <w:rPr>
          <w:rFonts w:hint="eastAsia" w:ascii="仿宋" w:hAnsi="仿宋" w:eastAsia="仿宋" w:cs="仿宋"/>
          <w:b/>
          <w:bCs/>
          <w:snapToGrid/>
          <w:kern w:val="2"/>
          <w:sz w:val="28"/>
          <w:szCs w:val="28"/>
          <w:lang w:eastAsia="zh-CN"/>
        </w:rPr>
        <w:t>）</w:t>
      </w:r>
      <w:bookmarkStart w:id="2" w:name="_Hlk114321408"/>
      <w:r>
        <w:rPr>
          <w:rFonts w:hint="eastAsia" w:ascii="仿宋" w:hAnsi="仿宋" w:eastAsia="仿宋" w:cs="仿宋"/>
          <w:b/>
          <w:bCs/>
          <w:snapToGrid/>
          <w:kern w:val="2"/>
          <w:sz w:val="28"/>
          <w:szCs w:val="28"/>
          <w:lang w:val="en-US" w:eastAsia="zh-CN"/>
        </w:rPr>
        <w:t>项目服务目标</w:t>
      </w:r>
    </w:p>
    <w:p w14:paraId="50E1CD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28"/>
          <w:szCs w:val="28"/>
          <w:lang w:eastAsia="zh-CN"/>
        </w:rPr>
        <w:t>通过对源头单位、不停车检测点的线上、线下监管分析以及路面治超成效明察暗访等方式，开展治超常态化监督，及时发现各地存在的治超问题，</w:t>
      </w:r>
      <w:bookmarkEnd w:id="2"/>
      <w:r>
        <w:rPr>
          <w:rFonts w:hint="eastAsia" w:ascii="仿宋" w:hAnsi="仿宋" w:eastAsia="仿宋" w:cs="仿宋"/>
          <w:snapToGrid/>
          <w:kern w:val="2"/>
          <w:sz w:val="28"/>
          <w:szCs w:val="28"/>
          <w:lang w:eastAsia="zh-CN"/>
        </w:rPr>
        <w:t>不断提高全省治超规范化水平和成效。</w:t>
      </w:r>
    </w:p>
    <w:p w14:paraId="1B11ED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2" w:firstLineChars="200"/>
        <w:jc w:val="both"/>
        <w:textAlignment w:val="auto"/>
        <w:rPr>
          <w:rFonts w:hint="eastAsia" w:ascii="仿宋" w:hAnsi="仿宋" w:eastAsia="仿宋" w:cs="仿宋"/>
          <w:b/>
          <w:bCs/>
          <w:snapToGrid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/>
          <w:kern w:val="2"/>
          <w:sz w:val="28"/>
          <w:szCs w:val="28"/>
          <w:lang w:val="en-US" w:eastAsia="zh-CN"/>
        </w:rPr>
        <w:t>（三）项目服务内容</w:t>
      </w:r>
    </w:p>
    <w:p w14:paraId="7E8B84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  <w:t>拟采购的第三方单位需完成以下两方面服务内容：</w:t>
      </w:r>
    </w:p>
    <w:p w14:paraId="2A7C0D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2" w:firstLineChars="200"/>
        <w:jc w:val="both"/>
        <w:textAlignment w:val="auto"/>
        <w:rPr>
          <w:rFonts w:hint="eastAsia" w:ascii="仿宋" w:hAnsi="仿宋" w:eastAsia="仿宋" w:cs="仿宋"/>
          <w:b/>
          <w:bCs/>
          <w:snapToGrid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/>
          <w:kern w:val="2"/>
          <w:sz w:val="28"/>
          <w:szCs w:val="28"/>
          <w:lang w:val="en-US" w:eastAsia="zh-CN"/>
        </w:rPr>
        <w:t>1.数据巡查与监管</w:t>
      </w:r>
    </w:p>
    <w:p w14:paraId="50E181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  <w:t>主要包含两方面：一是数据统计辅助工作，辅助采购人统计和分析全省治超数据（日常执法数据和省治超平台监测数据），定期形成全省数据通报，不定期提供专项数据分析报告。二是数据巡查工作，依托省治超平台，对全省不停车检测点实时监控视频和源头单位接入数据（称重数据和监控数据）进行线上巡查，形成巡查日志。</w:t>
      </w:r>
    </w:p>
    <w:p w14:paraId="70CA3E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  <w:t>1.1 服务内容</w:t>
      </w:r>
    </w:p>
    <w:p w14:paraId="530AC2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  <w:t>（1）数据统计辅助工作，要求辅助采购人每月形成数据通报，需涵盖源头、科技、路面等方面的各项数据指标。</w:t>
      </w:r>
    </w:p>
    <w:p w14:paraId="483770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  <w:t>（2）数据巡查工作，每季度至少完成一次全省434个不停车检测点实时监控视频的巡查工作，分析整理相关问题，形成巡查日志。</w:t>
      </w:r>
    </w:p>
    <w:p w14:paraId="16FAB1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  <w:t>（3）数据巡查工作，每季度至少完成一次全省所有接入省平台源头单位的接入数据情况，分析整理相关问题，形成巡查日志。</w:t>
      </w:r>
    </w:p>
    <w:p w14:paraId="11322B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  <w:t>1.2 服务要求</w:t>
      </w:r>
    </w:p>
    <w:p w14:paraId="240D87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  <w:t>（1）严格按照采购人要求，对数据进行保密，第三方不得对数据进行转发、存档和备份。</w:t>
      </w:r>
    </w:p>
    <w:p w14:paraId="54A4E8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  <w:t>（2）对数据统计分析方案、数据巡查安排进行合理性说明，确保达到任务要求。</w:t>
      </w:r>
    </w:p>
    <w:p w14:paraId="6F3A54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2" w:firstLineChars="200"/>
        <w:jc w:val="both"/>
        <w:textAlignment w:val="auto"/>
        <w:rPr>
          <w:rFonts w:hint="eastAsia" w:ascii="仿宋" w:hAnsi="仿宋" w:eastAsia="仿宋" w:cs="仿宋"/>
          <w:b/>
          <w:bCs/>
          <w:snapToGrid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napToGrid/>
          <w:kern w:val="2"/>
          <w:sz w:val="28"/>
          <w:szCs w:val="28"/>
          <w:lang w:val="en-US" w:eastAsia="zh-CN"/>
        </w:rPr>
        <w:t>2.治超成效明察暗访</w:t>
      </w:r>
    </w:p>
    <w:p w14:paraId="444CE1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  <w:t>主要分为源头单位明察暗访、不停车检测点外场功能性巡查和路面治超成效明察暗访等工作内容。</w:t>
      </w:r>
    </w:p>
    <w:p w14:paraId="5BAD2F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  <w:t>2.1 服务内容</w:t>
      </w:r>
    </w:p>
    <w:p w14:paraId="2D5DD8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  <w:t>（1）源头单位明察暗访：服务期内（一年）完成不少于200家重点源头单位的现场明察暗访工作，具体包括现场蹲守暗访、内部数据核查、基层监管核查等方面内容，形成工作总结报告。</w:t>
      </w:r>
    </w:p>
    <w:p w14:paraId="3C12A8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  <w:t>（2）不停车检测点外场功能性巡查：服务期内（一年）完成不少于200个不停车检测点现场巡查工作，具体包括点位设施设备运行情况、货车通行情况，形成工作总结报告。</w:t>
      </w:r>
    </w:p>
    <w:p w14:paraId="5650CD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  <w:t>（3）路面治超成效明察暗访：服务期内（一年）完成对全省所有100个县（市、区）的路面明察暗访工作，具体包括重要普通国省干线公路、货物运输重要线路、重点源头单位进出线路等路段货车违法超限超载运输情况、货车非法改装拼装情况，市县所属公路超限超载检测站日常值班值守、车辆检测、执法处罚是否到位等情况，形成工作总结报告。</w:t>
      </w:r>
    </w:p>
    <w:p w14:paraId="6712D6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  <w:t>2.2 服务要求</w:t>
      </w:r>
    </w:p>
    <w:p w14:paraId="419321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  <w:t>（1）严格按照采购人要求，保证治超成效明察暗访工作的第三方公正客观性。</w:t>
      </w:r>
    </w:p>
    <w:p w14:paraId="7C73F3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  <w:t>（2）需固定不少于2支明察暗访组开展该项</w:t>
      </w:r>
      <w:bookmarkStart w:id="3" w:name="_GoBack"/>
      <w:bookmarkEnd w:id="3"/>
      <w:r>
        <w:rPr>
          <w:rFonts w:hint="eastAsia" w:ascii="仿宋" w:hAnsi="仿宋" w:eastAsia="仿宋" w:cs="仿宋"/>
          <w:snapToGrid/>
          <w:kern w:val="2"/>
          <w:sz w:val="28"/>
          <w:szCs w:val="28"/>
          <w:lang w:val="en-US" w:eastAsia="zh-CN"/>
        </w:rPr>
        <w:t>工作，并明确日常工作安排情况。</w:t>
      </w:r>
    </w:p>
    <w:p w14:paraId="57877D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2" w:firstLineChars="200"/>
        <w:jc w:val="both"/>
        <w:textAlignment w:val="auto"/>
        <w:rPr>
          <w:rFonts w:hint="eastAsia" w:ascii="仿宋" w:hAnsi="仿宋" w:eastAsia="仿宋" w:cs="仿宋"/>
          <w:b/>
          <w:bCs/>
          <w:snapToGrid/>
          <w:color w:val="000000" w:themeColor="text1"/>
          <w:kern w:val="2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snapToGrid/>
          <w:color w:val="000000" w:themeColor="text1"/>
          <w:kern w:val="2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（四）其他要求</w:t>
      </w:r>
    </w:p>
    <w:p w14:paraId="5DE835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24"/>
          <w:szCs w:val="24"/>
          <w:highlight w:val="yellow"/>
          <w:lang w:val="en-US" w:eastAsia="zh-CN"/>
        </w:rPr>
      </w:pPr>
      <w:r>
        <w:rPr>
          <w:rFonts w:hint="eastAsia" w:ascii="仿宋" w:hAnsi="仿宋" w:eastAsia="仿宋" w:cs="仿宋"/>
          <w:snapToGrid/>
          <w:color w:val="000000" w:themeColor="text1"/>
          <w:kern w:val="2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供应商需针对本项目</w:t>
      </w:r>
      <w:r>
        <w:rPr>
          <w:rFonts w:hint="eastAsia" w:cs="仿宋"/>
          <w:snapToGrid/>
          <w:color w:val="000000" w:themeColor="text1"/>
          <w:kern w:val="2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提供至少</w:t>
      </w:r>
      <w:r>
        <w:rPr>
          <w:rFonts w:hint="eastAsia" w:ascii="仿宋" w:hAnsi="仿宋" w:eastAsia="仿宋" w:cs="仿宋"/>
          <w:snapToGrid/>
          <w:color w:val="000000" w:themeColor="text1"/>
          <w:kern w:val="2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一位项目经理和一位项目总工。</w:t>
      </w:r>
    </w:p>
    <w:p w14:paraId="7D959DF4">
      <w:pPr>
        <w:rPr>
          <w:rFonts w:ascii="仿宋" w:hAnsi="仿宋" w:eastAsia="仿宋"/>
        </w:rPr>
      </w:pPr>
    </w:p>
    <w:p w14:paraId="23C6E2BE">
      <w:pPr>
        <w:bidi w:val="0"/>
      </w:pPr>
    </w:p>
    <w:p w14:paraId="5F62558C">
      <w:r>
        <w:rPr>
          <w:rFonts w:hint="eastAsia" w:ascii="仿宋" w:hAnsi="仿宋" w:eastAsia="仿宋"/>
          <w:b/>
          <w:sz w:val="28"/>
          <w:szCs w:val="28"/>
        </w:rPr>
        <w:t>注：以上所有</w:t>
      </w:r>
      <w:r>
        <w:rPr>
          <w:rFonts w:hint="eastAsia"/>
          <w:b/>
          <w:sz w:val="28"/>
          <w:szCs w:val="28"/>
          <w:lang w:val="en-US" w:eastAsia="zh-CN"/>
        </w:rPr>
        <w:t>服务内容</w:t>
      </w:r>
      <w:r>
        <w:rPr>
          <w:rFonts w:hint="eastAsia" w:ascii="仿宋" w:hAnsi="仿宋" w:eastAsia="仿宋"/>
          <w:b/>
          <w:sz w:val="28"/>
          <w:szCs w:val="28"/>
        </w:rPr>
        <w:t>及要求为实质性要求，须全部满足或优于，否则按无效响应文件处理。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A1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560"/>
      </w:pPr>
      <w:r>
        <w:separator/>
      </w:r>
    </w:p>
  </w:footnote>
  <w:footnote w:type="continuationSeparator" w:id="1">
    <w:p>
      <w:pPr>
        <w:spacing w:line="240" w:lineRule="auto"/>
        <w:ind w:firstLine="56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0D85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napToGrid w:val="0"/>
      <w:spacing w:line="500" w:lineRule="exact"/>
      <w:ind w:firstLine="1687" w:firstLineChars="200"/>
      <w:jc w:val="both"/>
    </w:pPr>
    <w:rPr>
      <w:rFonts w:ascii="仿宋" w:hAnsi="仿宋" w:eastAsia="仿宋" w:cs="仿宋"/>
      <w:kern w:val="2"/>
      <w:sz w:val="28"/>
      <w:szCs w:val="28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ubtitle"/>
    <w:basedOn w:val="1"/>
    <w:next w:val="1"/>
    <w:qFormat/>
    <w:uiPriority w:val="11"/>
    <w:pPr>
      <w:spacing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2026-06-23T07:00:42Z</dcterms:created>
  <dc:creator>Administrator</dc:creator>
  <cp:lastModifiedBy>WPS</cp:lastModifiedBy>
  <dcterms:modified xsi:type="dcterms:W3CDTF">2026-06-23T07:00:47Z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KSOTemplateDocerSaveRecord">
    <vt:lpwstr>eyJoZGlkIjoiYjc2YTQ5OTRmZmM4YzZlNzA3MWNmODRlMWYxMzhkODUiLCJ1c2VySWQiOiIyOTIzMjE5NTYifQ==</vt:lpwstr>
  </property>
  <property fmtid="{D5CDD505-2E9C-101B-9397-08002B2CF9AE}" pid="4" name="ICV">
    <vt:lpwstr>407BDED700FB4D51BD14DD3106ED85EC_12</vt:lpwstr>
  </property>
</Properties>
</file>