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7E9CE7">
      <w:pPr>
        <w:keepNext/>
        <w:keepLines/>
        <w:widowControl w:val="0"/>
        <w:numPr>
          <w:ilvl w:val="0"/>
          <w:numId w:val="1"/>
        </w:numPr>
        <w:spacing w:before="260" w:after="260" w:line="420" w:lineRule="exact"/>
        <w:jc w:val="center"/>
        <w:outlineLvl w:val="0"/>
        <w:rPr>
          <w:rFonts w:hint="eastAsia" w:ascii="仿宋" w:hAnsi="仿宋" w:eastAsia="仿宋" w:cs="仿宋"/>
          <w:b/>
          <w:bCs/>
          <w:color w:val="auto"/>
          <w:kern w:val="2"/>
          <w:sz w:val="32"/>
          <w:szCs w:val="32"/>
          <w:highlight w:val="none"/>
          <w:lang w:val="en-US" w:eastAsia="zh-CN" w:bidi="ar-SA"/>
        </w:rPr>
      </w:pPr>
      <w:r>
        <w:rPr>
          <w:rFonts w:hint="eastAsia" w:ascii="仿宋" w:hAnsi="仿宋" w:eastAsia="仿宋" w:cs="仿宋"/>
          <w:b/>
          <w:bCs/>
          <w:color w:val="auto"/>
          <w:kern w:val="2"/>
          <w:sz w:val="36"/>
          <w:szCs w:val="36"/>
          <w:highlight w:val="none"/>
          <w:lang w:val="en-US" w:eastAsia="zh-CN" w:bidi="ar-SA"/>
        </w:rPr>
        <w:t xml:space="preserve">  </w:t>
      </w:r>
      <w:bookmarkStart w:id="0" w:name="_Toc29159"/>
      <w:r>
        <w:rPr>
          <w:rFonts w:hint="eastAsia" w:ascii="仿宋" w:hAnsi="仿宋" w:eastAsia="仿宋" w:cs="仿宋"/>
          <w:b/>
          <w:bCs/>
          <w:color w:val="auto"/>
          <w:kern w:val="2"/>
          <w:sz w:val="36"/>
          <w:szCs w:val="36"/>
          <w:highlight w:val="none"/>
          <w:lang w:val="en-US" w:eastAsia="zh-CN" w:bidi="ar-SA"/>
        </w:rPr>
        <w:t>采购需求</w:t>
      </w:r>
      <w:bookmarkEnd w:id="0"/>
    </w:p>
    <w:p w14:paraId="7DDBFA17">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exact"/>
        <w:ind w:left="0" w:leftChars="0" w:firstLine="562" w:firstLineChars="200"/>
        <w:jc w:val="left"/>
        <w:textAlignment w:val="baseline"/>
        <w:outlineLvl w:val="0"/>
        <w:rPr>
          <w:rFonts w:hint="default" w:ascii="仿宋" w:hAnsi="仿宋" w:eastAsia="仿宋" w:cs="仿宋"/>
          <w:b/>
          <w:bCs/>
          <w:snapToGrid w:val="0"/>
          <w:color w:val="auto"/>
          <w:kern w:val="0"/>
          <w:sz w:val="28"/>
          <w:szCs w:val="28"/>
          <w:highlight w:val="none"/>
          <w:lang w:val="en-US" w:eastAsia="zh-CN"/>
        </w:rPr>
      </w:pPr>
      <w:bookmarkStart w:id="1" w:name="_Toc29292"/>
      <w:r>
        <w:rPr>
          <w:rFonts w:hint="eastAsia" w:ascii="仿宋" w:hAnsi="仿宋" w:eastAsia="仿宋" w:cs="仿宋"/>
          <w:b/>
          <w:bCs/>
          <w:snapToGrid w:val="0"/>
          <w:color w:val="auto"/>
          <w:kern w:val="0"/>
          <w:sz w:val="28"/>
          <w:szCs w:val="28"/>
          <w:highlight w:val="none"/>
          <w:lang w:val="en-US" w:eastAsia="zh-CN"/>
        </w:rPr>
        <w:t>一、技术要求</w:t>
      </w:r>
      <w:bookmarkEnd w:id="1"/>
    </w:p>
    <w:p w14:paraId="37CAC6C3">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bCs/>
          <w:color w:val="auto"/>
          <w:kern w:val="2"/>
          <w:sz w:val="28"/>
          <w:szCs w:val="28"/>
          <w:highlight w:val="none"/>
          <w:lang w:val="en-US" w:eastAsia="zh-CN" w:bidi="ar-SA"/>
        </w:rPr>
      </w:pPr>
      <w:bookmarkStart w:id="2" w:name="_Toc19058"/>
      <w:r>
        <w:rPr>
          <w:rFonts w:hint="eastAsia" w:ascii="仿宋" w:hAnsi="仿宋" w:eastAsia="仿宋" w:cs="仿宋"/>
          <w:b/>
          <w:bCs/>
          <w:color w:val="auto"/>
          <w:kern w:val="2"/>
          <w:sz w:val="28"/>
          <w:szCs w:val="28"/>
          <w:highlight w:val="none"/>
          <w:lang w:val="en-US" w:eastAsia="zh-CN" w:bidi="ar-SA"/>
        </w:rPr>
        <w:t>（一）项目概况</w:t>
      </w:r>
    </w:p>
    <w:tbl>
      <w:tblPr>
        <w:tblStyle w:val="3"/>
        <w:tblW w:w="0" w:type="auto"/>
        <w:tblInd w:w="5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81"/>
        <w:gridCol w:w="1357"/>
        <w:gridCol w:w="1391"/>
      </w:tblGrid>
      <w:tr w14:paraId="53BF7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43" w:type="dxa"/>
            <w:vAlign w:val="center"/>
          </w:tcPr>
          <w:p w14:paraId="368D9952">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exact"/>
              <w:jc w:val="center"/>
              <w:textAlignment w:val="baseline"/>
              <w:rPr>
                <w:rFonts w:hint="default" w:ascii="仿宋" w:hAnsi="仿宋" w:eastAsia="仿宋" w:cs="仿宋"/>
                <w:b/>
                <w:bCs/>
                <w:snapToGrid w:val="0"/>
                <w:color w:val="auto"/>
                <w:kern w:val="0"/>
                <w:sz w:val="28"/>
                <w:szCs w:val="28"/>
                <w:highlight w:val="none"/>
                <w:lang w:val="en-US" w:eastAsia="zh-CN" w:bidi="zh-CN"/>
              </w:rPr>
            </w:pPr>
            <w:r>
              <w:rPr>
                <w:rFonts w:hint="eastAsia" w:ascii="仿宋" w:hAnsi="仿宋" w:eastAsia="仿宋" w:cs="仿宋"/>
                <w:b/>
                <w:bCs/>
                <w:snapToGrid w:val="0"/>
                <w:color w:val="auto"/>
                <w:kern w:val="0"/>
                <w:sz w:val="28"/>
                <w:szCs w:val="28"/>
                <w:highlight w:val="none"/>
                <w:lang w:val="en-US" w:eastAsia="zh-CN" w:bidi="zh-CN"/>
              </w:rPr>
              <w:t>标的名称</w:t>
            </w:r>
          </w:p>
        </w:tc>
        <w:tc>
          <w:tcPr>
            <w:tcW w:w="1387" w:type="dxa"/>
            <w:vAlign w:val="center"/>
          </w:tcPr>
          <w:p w14:paraId="49109C6F">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exact"/>
              <w:jc w:val="center"/>
              <w:textAlignment w:val="baseline"/>
              <w:rPr>
                <w:rFonts w:hint="default" w:ascii="仿宋" w:hAnsi="仿宋" w:eastAsia="仿宋" w:cs="仿宋"/>
                <w:b/>
                <w:bCs/>
                <w:snapToGrid w:val="0"/>
                <w:color w:val="auto"/>
                <w:kern w:val="0"/>
                <w:sz w:val="28"/>
                <w:szCs w:val="28"/>
                <w:highlight w:val="none"/>
                <w:lang w:val="en-US" w:eastAsia="zh-CN" w:bidi="zh-CN"/>
              </w:rPr>
            </w:pPr>
            <w:r>
              <w:rPr>
                <w:rFonts w:hint="eastAsia" w:ascii="仿宋" w:hAnsi="仿宋" w:eastAsia="仿宋" w:cs="仿宋"/>
                <w:b/>
                <w:bCs/>
                <w:snapToGrid w:val="0"/>
                <w:color w:val="auto"/>
                <w:kern w:val="0"/>
                <w:sz w:val="28"/>
                <w:szCs w:val="28"/>
                <w:highlight w:val="none"/>
                <w:lang w:val="en-US" w:eastAsia="zh-CN" w:bidi="zh-CN"/>
              </w:rPr>
              <w:t>数量</w:t>
            </w:r>
          </w:p>
        </w:tc>
        <w:tc>
          <w:tcPr>
            <w:tcW w:w="1421" w:type="dxa"/>
            <w:vAlign w:val="center"/>
          </w:tcPr>
          <w:p w14:paraId="4F2A9E6A">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exact"/>
              <w:jc w:val="center"/>
              <w:textAlignment w:val="baseline"/>
              <w:rPr>
                <w:rFonts w:hint="default" w:ascii="仿宋" w:hAnsi="仿宋" w:eastAsia="仿宋" w:cs="仿宋"/>
                <w:b/>
                <w:bCs/>
                <w:snapToGrid w:val="0"/>
                <w:color w:val="auto"/>
                <w:kern w:val="0"/>
                <w:sz w:val="28"/>
                <w:szCs w:val="28"/>
                <w:highlight w:val="none"/>
                <w:lang w:val="en-US" w:eastAsia="zh-CN" w:bidi="zh-CN"/>
              </w:rPr>
            </w:pPr>
            <w:r>
              <w:rPr>
                <w:rFonts w:hint="eastAsia" w:ascii="仿宋" w:hAnsi="仿宋" w:eastAsia="仿宋" w:cs="仿宋"/>
                <w:b/>
                <w:bCs/>
                <w:snapToGrid w:val="0"/>
                <w:color w:val="auto"/>
                <w:kern w:val="0"/>
                <w:sz w:val="28"/>
                <w:szCs w:val="28"/>
                <w:highlight w:val="none"/>
                <w:lang w:val="en-US" w:eastAsia="zh-CN" w:bidi="zh-CN"/>
              </w:rPr>
              <w:t>单位</w:t>
            </w:r>
          </w:p>
        </w:tc>
      </w:tr>
      <w:tr w14:paraId="58DA7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43" w:type="dxa"/>
            <w:vAlign w:val="center"/>
          </w:tcPr>
          <w:p w14:paraId="5B2A0CFF">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exact"/>
              <w:jc w:val="center"/>
              <w:textAlignment w:val="baseline"/>
              <w:rPr>
                <w:rFonts w:hint="eastAsia" w:ascii="仿宋" w:hAnsi="仿宋" w:eastAsia="仿宋" w:cs="仿宋"/>
                <w:snapToGrid w:val="0"/>
                <w:color w:val="auto"/>
                <w:kern w:val="0"/>
                <w:sz w:val="28"/>
                <w:szCs w:val="28"/>
                <w:highlight w:val="none"/>
                <w:lang w:val="en-US" w:eastAsia="zh-CN" w:bidi="zh-CN"/>
              </w:rPr>
            </w:pPr>
            <w:r>
              <w:rPr>
                <w:rFonts w:hint="eastAsia" w:ascii="仿宋" w:hAnsi="仿宋" w:eastAsia="仿宋" w:cs="仿宋"/>
                <w:snapToGrid w:val="0"/>
                <w:color w:val="auto"/>
                <w:kern w:val="0"/>
                <w:sz w:val="28"/>
                <w:szCs w:val="28"/>
                <w:highlight w:val="none"/>
                <w:lang w:val="en-US" w:eastAsia="zh-CN" w:bidi="zh-CN"/>
              </w:rPr>
              <w:t>新余高新区市政排水设施管护项目</w:t>
            </w:r>
          </w:p>
        </w:tc>
        <w:tc>
          <w:tcPr>
            <w:tcW w:w="1387" w:type="dxa"/>
            <w:vAlign w:val="center"/>
          </w:tcPr>
          <w:p w14:paraId="12AD81AB">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exact"/>
              <w:jc w:val="center"/>
              <w:textAlignment w:val="baseline"/>
              <w:rPr>
                <w:rFonts w:hint="default" w:ascii="仿宋" w:hAnsi="仿宋" w:eastAsia="仿宋" w:cs="仿宋"/>
                <w:snapToGrid w:val="0"/>
                <w:color w:val="auto"/>
                <w:kern w:val="0"/>
                <w:sz w:val="28"/>
                <w:szCs w:val="28"/>
                <w:highlight w:val="none"/>
                <w:lang w:val="en-US" w:eastAsia="zh-CN" w:bidi="zh-CN"/>
              </w:rPr>
            </w:pPr>
            <w:r>
              <w:rPr>
                <w:rFonts w:hint="eastAsia" w:ascii="仿宋" w:hAnsi="仿宋" w:eastAsia="仿宋" w:cs="仿宋"/>
                <w:snapToGrid w:val="0"/>
                <w:color w:val="auto"/>
                <w:kern w:val="0"/>
                <w:sz w:val="28"/>
                <w:szCs w:val="28"/>
                <w:highlight w:val="none"/>
                <w:lang w:val="en-US" w:eastAsia="zh-CN" w:bidi="zh-CN"/>
              </w:rPr>
              <w:t>1</w:t>
            </w:r>
          </w:p>
        </w:tc>
        <w:tc>
          <w:tcPr>
            <w:tcW w:w="1421" w:type="dxa"/>
            <w:vAlign w:val="center"/>
          </w:tcPr>
          <w:p w14:paraId="0734D367">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exact"/>
              <w:jc w:val="center"/>
              <w:textAlignment w:val="baseline"/>
              <w:rPr>
                <w:rFonts w:hint="default" w:ascii="仿宋" w:hAnsi="仿宋" w:eastAsia="仿宋" w:cs="仿宋"/>
                <w:snapToGrid w:val="0"/>
                <w:color w:val="auto"/>
                <w:kern w:val="0"/>
                <w:sz w:val="28"/>
                <w:szCs w:val="28"/>
                <w:highlight w:val="none"/>
                <w:lang w:val="en-US" w:eastAsia="zh-CN" w:bidi="zh-CN"/>
              </w:rPr>
            </w:pPr>
            <w:r>
              <w:rPr>
                <w:rFonts w:hint="eastAsia" w:ascii="仿宋" w:hAnsi="仿宋" w:eastAsia="仿宋" w:cs="仿宋"/>
                <w:snapToGrid w:val="0"/>
                <w:color w:val="auto"/>
                <w:kern w:val="0"/>
                <w:sz w:val="28"/>
                <w:szCs w:val="28"/>
                <w:highlight w:val="none"/>
                <w:lang w:val="en-US" w:eastAsia="zh-CN" w:bidi="zh-CN"/>
              </w:rPr>
              <w:t>项</w:t>
            </w:r>
          </w:p>
        </w:tc>
      </w:tr>
    </w:tbl>
    <w:p w14:paraId="47A1203A">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服务范围：覆盖高新区主城区范围内，市政雨水管网、污水管网、检查井、雨水口、排水泵站、收水设施、排水附属构筑物、入河排口、主干泄洪渠等精准排查、清淤疏通、修复整治、雨污分流整改、应急排涝、设施更新与台账管理等。</w:t>
      </w:r>
    </w:p>
    <w:p w14:paraId="1239CAF8">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bCs/>
          <w:color w:val="auto"/>
          <w:kern w:val="2"/>
          <w:sz w:val="28"/>
          <w:szCs w:val="28"/>
          <w:highlight w:val="none"/>
          <w:lang w:val="en-US" w:eastAsia="zh-CN" w:bidi="ar-SA"/>
        </w:rPr>
      </w:pPr>
      <w:r>
        <w:rPr>
          <w:rFonts w:hint="eastAsia" w:ascii="仿宋" w:hAnsi="仿宋" w:eastAsia="仿宋" w:cs="仿宋"/>
          <w:b/>
          <w:bCs/>
          <w:color w:val="auto"/>
          <w:kern w:val="2"/>
          <w:sz w:val="28"/>
          <w:szCs w:val="28"/>
          <w:highlight w:val="none"/>
          <w:lang w:val="en-US" w:eastAsia="zh-CN" w:bidi="ar-SA"/>
        </w:rPr>
        <w:t>（二）服务清单</w:t>
      </w:r>
    </w:p>
    <w:tbl>
      <w:tblPr>
        <w:tblStyle w:val="2"/>
        <w:tblW w:w="89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911"/>
        <w:gridCol w:w="1741"/>
        <w:gridCol w:w="3019"/>
        <w:gridCol w:w="3278"/>
      </w:tblGrid>
      <w:tr w14:paraId="6B29A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90" w:hRule="atLeast"/>
          <w:jc w:val="center"/>
        </w:trPr>
        <w:tc>
          <w:tcPr>
            <w:tcW w:w="911" w:type="dxa"/>
            <w:tcMar>
              <w:top w:w="60" w:type="dxa"/>
              <w:left w:w="120" w:type="dxa"/>
              <w:bottom w:w="30" w:type="dxa"/>
              <w:right w:w="120" w:type="dxa"/>
            </w:tcMar>
            <w:vAlign w:val="center"/>
          </w:tcPr>
          <w:p w14:paraId="2C368D06">
            <w:pPr>
              <w:keepNext w:val="0"/>
              <w:keepLines w:val="0"/>
              <w:pageBreakBefore w:val="0"/>
              <w:widowControl/>
              <w:kinsoku/>
              <w:wordWrap/>
              <w:overflowPunct/>
              <w:topLinePunct w:val="0"/>
              <w:autoSpaceDE/>
              <w:autoSpaceDN/>
              <w:bidi w:val="0"/>
              <w:adjustRightInd/>
              <w:snapToGrid/>
              <w:spacing w:before="120" w:after="120" w:line="240" w:lineRule="auto"/>
              <w:ind w:left="0"/>
              <w:jc w:val="center"/>
              <w:textAlignment w:val="auto"/>
              <w:rPr>
                <w:rFonts w:hint="eastAsia" w:ascii="仿宋" w:hAnsi="仿宋" w:eastAsia="仿宋" w:cs="仿宋"/>
                <w:b/>
                <w:bCs/>
                <w:color w:val="auto"/>
                <w:sz w:val="24"/>
                <w:szCs w:val="24"/>
                <w:highlight w:val="none"/>
                <w:lang w:val="en-US" w:eastAsia="zh-CN"/>
              </w:rPr>
            </w:pPr>
            <w:r>
              <w:rPr>
                <w:rFonts w:hint="eastAsia" w:ascii="仿宋" w:hAnsi="仿宋" w:eastAsia="仿宋" w:cs="仿宋"/>
                <w:b/>
                <w:bCs/>
                <w:color w:val="auto"/>
                <w:sz w:val="24"/>
                <w:szCs w:val="24"/>
                <w:highlight w:val="none"/>
                <w:lang w:val="en-US" w:eastAsia="zh-CN"/>
              </w:rPr>
              <w:t>序号</w:t>
            </w:r>
          </w:p>
        </w:tc>
        <w:tc>
          <w:tcPr>
            <w:tcW w:w="1741" w:type="dxa"/>
            <w:tcMar>
              <w:top w:w="60" w:type="dxa"/>
              <w:left w:w="120" w:type="dxa"/>
              <w:bottom w:w="30" w:type="dxa"/>
              <w:right w:w="120" w:type="dxa"/>
            </w:tcMar>
            <w:vAlign w:val="center"/>
          </w:tcPr>
          <w:p w14:paraId="436B87E8">
            <w:pPr>
              <w:keepNext w:val="0"/>
              <w:keepLines w:val="0"/>
              <w:pageBreakBefore w:val="0"/>
              <w:widowControl/>
              <w:kinsoku/>
              <w:wordWrap/>
              <w:overflowPunct/>
              <w:topLinePunct w:val="0"/>
              <w:autoSpaceDE/>
              <w:autoSpaceDN/>
              <w:bidi w:val="0"/>
              <w:adjustRightInd/>
              <w:snapToGrid/>
              <w:spacing w:before="120" w:after="120" w:line="240" w:lineRule="auto"/>
              <w:ind w:left="0"/>
              <w:jc w:val="center"/>
              <w:textAlignment w:val="auto"/>
              <w:rPr>
                <w:rFonts w:hint="eastAsia" w:ascii="仿宋" w:hAnsi="仿宋" w:eastAsia="仿宋" w:cs="仿宋"/>
                <w:b/>
                <w:bCs/>
                <w:color w:val="auto"/>
                <w:sz w:val="24"/>
                <w:szCs w:val="24"/>
                <w:highlight w:val="none"/>
                <w:lang w:val="en-US" w:eastAsia="zh-CN"/>
              </w:rPr>
            </w:pPr>
            <w:r>
              <w:rPr>
                <w:rFonts w:hint="eastAsia" w:ascii="仿宋" w:hAnsi="仿宋" w:eastAsia="仿宋" w:cs="仿宋"/>
                <w:b/>
                <w:bCs/>
                <w:color w:val="auto"/>
                <w:sz w:val="24"/>
                <w:szCs w:val="24"/>
                <w:highlight w:val="none"/>
                <w:lang w:val="en-US" w:eastAsia="zh-CN"/>
              </w:rPr>
              <w:t>服务名称</w:t>
            </w:r>
          </w:p>
        </w:tc>
        <w:tc>
          <w:tcPr>
            <w:tcW w:w="3019" w:type="dxa"/>
            <w:tcMar>
              <w:top w:w="60" w:type="dxa"/>
              <w:left w:w="120" w:type="dxa"/>
              <w:bottom w:w="30" w:type="dxa"/>
              <w:right w:w="120" w:type="dxa"/>
            </w:tcMar>
            <w:vAlign w:val="center"/>
          </w:tcPr>
          <w:p w14:paraId="4EA1E02F">
            <w:pPr>
              <w:keepNext w:val="0"/>
              <w:keepLines w:val="0"/>
              <w:pageBreakBefore w:val="0"/>
              <w:widowControl/>
              <w:kinsoku/>
              <w:wordWrap/>
              <w:overflowPunct/>
              <w:topLinePunct w:val="0"/>
              <w:autoSpaceDE/>
              <w:autoSpaceDN/>
              <w:bidi w:val="0"/>
              <w:adjustRightInd/>
              <w:snapToGrid/>
              <w:spacing w:before="120" w:after="120" w:line="240" w:lineRule="auto"/>
              <w:ind w:left="0"/>
              <w:jc w:val="center"/>
              <w:textAlignment w:val="auto"/>
              <w:rPr>
                <w:rFonts w:hint="default" w:ascii="仿宋" w:hAnsi="仿宋" w:eastAsia="仿宋" w:cs="仿宋"/>
                <w:b/>
                <w:bCs/>
                <w:color w:val="auto"/>
                <w:sz w:val="24"/>
                <w:szCs w:val="24"/>
                <w:highlight w:val="none"/>
                <w:lang w:val="en-US" w:eastAsia="zh-CN"/>
              </w:rPr>
            </w:pPr>
            <w:r>
              <w:rPr>
                <w:rFonts w:hint="eastAsia" w:ascii="仿宋" w:hAnsi="仿宋" w:eastAsia="仿宋" w:cs="仿宋"/>
                <w:b/>
                <w:bCs/>
                <w:color w:val="auto"/>
                <w:sz w:val="24"/>
                <w:szCs w:val="24"/>
                <w:highlight w:val="none"/>
                <w:lang w:val="en-US" w:eastAsia="zh-CN"/>
              </w:rPr>
              <w:t>服务数量（预估）</w:t>
            </w:r>
          </w:p>
        </w:tc>
        <w:tc>
          <w:tcPr>
            <w:tcW w:w="3278" w:type="dxa"/>
            <w:tcMar>
              <w:top w:w="60" w:type="dxa"/>
              <w:left w:w="120" w:type="dxa"/>
              <w:bottom w:w="30" w:type="dxa"/>
              <w:right w:w="120" w:type="dxa"/>
            </w:tcMar>
            <w:vAlign w:val="center"/>
          </w:tcPr>
          <w:p w14:paraId="57ACB6AA">
            <w:pPr>
              <w:keepNext w:val="0"/>
              <w:keepLines w:val="0"/>
              <w:pageBreakBefore w:val="0"/>
              <w:widowControl/>
              <w:kinsoku/>
              <w:wordWrap/>
              <w:overflowPunct/>
              <w:topLinePunct w:val="0"/>
              <w:autoSpaceDE/>
              <w:autoSpaceDN/>
              <w:bidi w:val="0"/>
              <w:adjustRightInd/>
              <w:snapToGrid/>
              <w:spacing w:before="120" w:after="120" w:line="240" w:lineRule="auto"/>
              <w:ind w:left="0"/>
              <w:jc w:val="center"/>
              <w:textAlignment w:val="auto"/>
              <w:rPr>
                <w:rFonts w:hint="eastAsia" w:ascii="仿宋" w:hAnsi="仿宋" w:eastAsia="仿宋" w:cs="仿宋"/>
                <w:b/>
                <w:bCs/>
                <w:color w:val="auto"/>
                <w:sz w:val="24"/>
                <w:szCs w:val="24"/>
                <w:highlight w:val="none"/>
                <w:lang w:val="en-US" w:eastAsia="zh-CN"/>
              </w:rPr>
            </w:pPr>
            <w:r>
              <w:rPr>
                <w:rFonts w:hint="eastAsia" w:ascii="仿宋" w:hAnsi="仿宋" w:eastAsia="仿宋" w:cs="仿宋"/>
                <w:b/>
                <w:bCs/>
                <w:color w:val="auto"/>
                <w:sz w:val="24"/>
                <w:szCs w:val="24"/>
                <w:highlight w:val="none"/>
                <w:lang w:val="en-US" w:eastAsia="zh-CN"/>
              </w:rPr>
              <w:t>单价限价</w:t>
            </w:r>
          </w:p>
        </w:tc>
      </w:tr>
      <w:tr w14:paraId="426FCE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06" w:hRule="atLeast"/>
          <w:jc w:val="center"/>
        </w:trPr>
        <w:tc>
          <w:tcPr>
            <w:tcW w:w="911" w:type="dxa"/>
            <w:vMerge w:val="restart"/>
            <w:tcMar>
              <w:top w:w="60" w:type="dxa"/>
              <w:left w:w="120" w:type="dxa"/>
              <w:bottom w:w="30" w:type="dxa"/>
              <w:right w:w="120" w:type="dxa"/>
            </w:tcMar>
            <w:vAlign w:val="center"/>
          </w:tcPr>
          <w:p w14:paraId="6A6F27AF">
            <w:pPr>
              <w:keepNext w:val="0"/>
              <w:keepLines w:val="0"/>
              <w:pageBreakBefore w:val="0"/>
              <w:widowControl/>
              <w:kinsoku/>
              <w:wordWrap/>
              <w:overflowPunct/>
              <w:topLinePunct w:val="0"/>
              <w:autoSpaceDE/>
              <w:autoSpaceDN/>
              <w:bidi w:val="0"/>
              <w:adjustRightInd/>
              <w:snapToGrid/>
              <w:spacing w:before="120" w:after="120" w:line="240" w:lineRule="auto"/>
              <w:ind w:left="0"/>
              <w:jc w:val="center"/>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w:t>
            </w:r>
          </w:p>
        </w:tc>
        <w:tc>
          <w:tcPr>
            <w:tcW w:w="1741" w:type="dxa"/>
            <w:vMerge w:val="restart"/>
            <w:tcMar>
              <w:top w:w="60" w:type="dxa"/>
              <w:left w:w="120" w:type="dxa"/>
              <w:bottom w:w="30" w:type="dxa"/>
              <w:right w:w="120" w:type="dxa"/>
            </w:tcMar>
            <w:vAlign w:val="center"/>
          </w:tcPr>
          <w:p w14:paraId="132C8B36">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精准排查（1）</w:t>
            </w:r>
          </w:p>
        </w:tc>
        <w:tc>
          <w:tcPr>
            <w:tcW w:w="3019" w:type="dxa"/>
            <w:tcMar>
              <w:top w:w="60" w:type="dxa"/>
              <w:left w:w="120" w:type="dxa"/>
              <w:bottom w:w="30" w:type="dxa"/>
              <w:right w:w="120" w:type="dxa"/>
            </w:tcMar>
            <w:vAlign w:val="center"/>
          </w:tcPr>
          <w:p w14:paraId="63F20FFC">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普查测绘，QV检测、CCTV检测含三维管网普查，约15-20公里</w:t>
            </w:r>
          </w:p>
        </w:tc>
        <w:tc>
          <w:tcPr>
            <w:tcW w:w="3278" w:type="dxa"/>
            <w:tcMar>
              <w:top w:w="60" w:type="dxa"/>
              <w:left w:w="120" w:type="dxa"/>
              <w:bottom w:w="30" w:type="dxa"/>
              <w:right w:w="120" w:type="dxa"/>
            </w:tcMar>
            <w:vAlign w:val="center"/>
          </w:tcPr>
          <w:p w14:paraId="05F4EF1C">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14.17元/米</w:t>
            </w:r>
          </w:p>
        </w:tc>
      </w:tr>
      <w:tr w14:paraId="24BBF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06" w:hRule="atLeast"/>
          <w:jc w:val="center"/>
        </w:trPr>
        <w:tc>
          <w:tcPr>
            <w:tcW w:w="911" w:type="dxa"/>
            <w:vMerge w:val="continue"/>
            <w:tcMar>
              <w:top w:w="60" w:type="dxa"/>
              <w:left w:w="120" w:type="dxa"/>
              <w:bottom w:w="30" w:type="dxa"/>
              <w:right w:w="120" w:type="dxa"/>
            </w:tcMar>
            <w:vAlign w:val="center"/>
          </w:tcPr>
          <w:p w14:paraId="6387109E">
            <w:pPr>
              <w:keepNext w:val="0"/>
              <w:keepLines w:val="0"/>
              <w:pageBreakBefore w:val="0"/>
              <w:widowControl/>
              <w:kinsoku/>
              <w:wordWrap/>
              <w:overflowPunct/>
              <w:topLinePunct w:val="0"/>
              <w:autoSpaceDE/>
              <w:autoSpaceDN/>
              <w:bidi w:val="0"/>
              <w:adjustRightInd/>
              <w:snapToGrid/>
              <w:spacing w:before="120" w:after="120" w:line="240" w:lineRule="auto"/>
              <w:ind w:left="0"/>
              <w:jc w:val="center"/>
              <w:textAlignment w:val="auto"/>
              <w:rPr>
                <w:rFonts w:hint="eastAsia" w:ascii="仿宋" w:hAnsi="仿宋" w:eastAsia="仿宋" w:cs="仿宋"/>
                <w:color w:val="auto"/>
                <w:sz w:val="24"/>
                <w:szCs w:val="24"/>
                <w:highlight w:val="none"/>
                <w:lang w:val="en-US" w:eastAsia="zh-CN"/>
              </w:rPr>
            </w:pPr>
          </w:p>
        </w:tc>
        <w:tc>
          <w:tcPr>
            <w:tcW w:w="1741" w:type="dxa"/>
            <w:vMerge w:val="continue"/>
            <w:tcMar>
              <w:top w:w="60" w:type="dxa"/>
              <w:left w:w="120" w:type="dxa"/>
              <w:bottom w:w="30" w:type="dxa"/>
              <w:right w:w="120" w:type="dxa"/>
            </w:tcMar>
            <w:vAlign w:val="center"/>
          </w:tcPr>
          <w:p w14:paraId="5E63BDA7">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p>
        </w:tc>
        <w:tc>
          <w:tcPr>
            <w:tcW w:w="3019" w:type="dxa"/>
            <w:tcMar>
              <w:top w:w="60" w:type="dxa"/>
              <w:left w:w="120" w:type="dxa"/>
              <w:bottom w:w="30" w:type="dxa"/>
              <w:right w:w="120" w:type="dxa"/>
            </w:tcMar>
            <w:vAlign w:val="center"/>
          </w:tcPr>
          <w:p w14:paraId="64A25E55">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QV检测，约5公里</w:t>
            </w:r>
          </w:p>
        </w:tc>
        <w:tc>
          <w:tcPr>
            <w:tcW w:w="3278" w:type="dxa"/>
            <w:tcMar>
              <w:top w:w="60" w:type="dxa"/>
              <w:left w:w="120" w:type="dxa"/>
              <w:bottom w:w="30" w:type="dxa"/>
              <w:right w:w="120" w:type="dxa"/>
            </w:tcMar>
            <w:vAlign w:val="center"/>
          </w:tcPr>
          <w:p w14:paraId="618DA13E">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4元/米</w:t>
            </w:r>
          </w:p>
        </w:tc>
      </w:tr>
      <w:tr w14:paraId="1B35E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90" w:hRule="atLeast"/>
          <w:jc w:val="center"/>
        </w:trPr>
        <w:tc>
          <w:tcPr>
            <w:tcW w:w="911" w:type="dxa"/>
            <w:tcMar>
              <w:top w:w="60" w:type="dxa"/>
              <w:left w:w="120" w:type="dxa"/>
              <w:bottom w:w="30" w:type="dxa"/>
              <w:right w:w="120" w:type="dxa"/>
            </w:tcMar>
            <w:vAlign w:val="center"/>
          </w:tcPr>
          <w:p w14:paraId="6618DC47">
            <w:pPr>
              <w:keepNext w:val="0"/>
              <w:keepLines w:val="0"/>
              <w:pageBreakBefore w:val="0"/>
              <w:widowControl/>
              <w:kinsoku/>
              <w:wordWrap/>
              <w:overflowPunct/>
              <w:topLinePunct w:val="0"/>
              <w:autoSpaceDE/>
              <w:autoSpaceDN/>
              <w:bidi w:val="0"/>
              <w:adjustRightInd/>
              <w:snapToGrid/>
              <w:spacing w:before="120" w:after="120" w:line="240" w:lineRule="auto"/>
              <w:ind w:left="0"/>
              <w:jc w:val="center"/>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w:t>
            </w:r>
          </w:p>
        </w:tc>
        <w:tc>
          <w:tcPr>
            <w:tcW w:w="1741" w:type="dxa"/>
            <w:tcMar>
              <w:top w:w="60" w:type="dxa"/>
              <w:left w:w="120" w:type="dxa"/>
              <w:bottom w:w="30" w:type="dxa"/>
              <w:right w:w="120" w:type="dxa"/>
            </w:tcMar>
            <w:vAlign w:val="center"/>
          </w:tcPr>
          <w:p w14:paraId="0E76AA07">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strike w:val="0"/>
                <w:dstrike w:val="0"/>
                <w:color w:val="auto"/>
                <w:sz w:val="24"/>
                <w:szCs w:val="24"/>
                <w:highlight w:val="none"/>
                <w:lang w:val="en-US" w:eastAsia="zh-CN"/>
              </w:rPr>
            </w:pPr>
            <w:r>
              <w:rPr>
                <w:rFonts w:hint="eastAsia" w:ascii="仿宋" w:hAnsi="仿宋" w:eastAsia="仿宋" w:cs="仿宋"/>
                <w:strike w:val="0"/>
                <w:dstrike w:val="0"/>
                <w:color w:val="auto"/>
                <w:sz w:val="24"/>
                <w:szCs w:val="24"/>
                <w:highlight w:val="none"/>
                <w:lang w:val="en-US" w:eastAsia="zh-CN"/>
              </w:rPr>
              <w:t>精准排查（2）</w:t>
            </w:r>
          </w:p>
        </w:tc>
        <w:tc>
          <w:tcPr>
            <w:tcW w:w="3019" w:type="dxa"/>
            <w:tcMar>
              <w:top w:w="60" w:type="dxa"/>
              <w:left w:w="120" w:type="dxa"/>
              <w:bottom w:w="30" w:type="dxa"/>
              <w:right w:w="120" w:type="dxa"/>
            </w:tcMar>
            <w:vAlign w:val="center"/>
          </w:tcPr>
          <w:p w14:paraId="28244360">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strike w:val="0"/>
                <w:dstrike w:val="0"/>
                <w:color w:val="auto"/>
                <w:sz w:val="24"/>
                <w:szCs w:val="24"/>
                <w:highlight w:val="none"/>
                <w:lang w:val="en-US" w:eastAsia="zh-CN"/>
              </w:rPr>
            </w:pPr>
            <w:r>
              <w:rPr>
                <w:rFonts w:hint="eastAsia" w:ascii="仿宋" w:hAnsi="仿宋" w:eastAsia="仿宋" w:cs="仿宋"/>
                <w:b w:val="0"/>
                <w:bCs w:val="0"/>
                <w:strike w:val="0"/>
                <w:dstrike w:val="0"/>
                <w:color w:val="auto"/>
                <w:kern w:val="2"/>
                <w:sz w:val="24"/>
                <w:szCs w:val="24"/>
                <w:highlight w:val="none"/>
                <w:lang w:val="en-US" w:eastAsia="zh-CN" w:bidi="ar-SA"/>
              </w:rPr>
              <w:t>排水单元接入市政管网接驳口约400个，梳理雨污混接、错接点位，形成问题清单</w:t>
            </w:r>
          </w:p>
        </w:tc>
        <w:tc>
          <w:tcPr>
            <w:tcW w:w="3278" w:type="dxa"/>
            <w:tcMar>
              <w:top w:w="60" w:type="dxa"/>
              <w:left w:w="120" w:type="dxa"/>
              <w:bottom w:w="30" w:type="dxa"/>
              <w:right w:w="120" w:type="dxa"/>
            </w:tcMar>
            <w:vAlign w:val="center"/>
          </w:tcPr>
          <w:p w14:paraId="55B79864">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strike w:val="0"/>
                <w:dstrike w:val="0"/>
                <w:color w:val="auto"/>
                <w:sz w:val="24"/>
                <w:szCs w:val="24"/>
                <w:highlight w:val="none"/>
                <w:lang w:val="en-US" w:eastAsia="zh-CN"/>
              </w:rPr>
            </w:pPr>
            <w:r>
              <w:rPr>
                <w:rFonts w:hint="eastAsia" w:ascii="仿宋" w:hAnsi="仿宋" w:eastAsia="仿宋" w:cs="仿宋"/>
                <w:strike w:val="0"/>
                <w:dstrike w:val="0"/>
                <w:color w:val="auto"/>
                <w:sz w:val="24"/>
                <w:szCs w:val="24"/>
                <w:highlight w:val="none"/>
                <w:lang w:val="en-US" w:eastAsia="zh-CN"/>
              </w:rPr>
              <w:t>106.34元/个</w:t>
            </w:r>
          </w:p>
        </w:tc>
      </w:tr>
      <w:tr w14:paraId="1DF0E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90" w:hRule="atLeast"/>
          <w:jc w:val="center"/>
        </w:trPr>
        <w:tc>
          <w:tcPr>
            <w:tcW w:w="911" w:type="dxa"/>
            <w:vMerge w:val="restart"/>
            <w:tcMar>
              <w:top w:w="60" w:type="dxa"/>
              <w:left w:w="120" w:type="dxa"/>
              <w:bottom w:w="30" w:type="dxa"/>
              <w:right w:w="120" w:type="dxa"/>
            </w:tcMar>
            <w:vAlign w:val="center"/>
          </w:tcPr>
          <w:p w14:paraId="0A3DD506">
            <w:pPr>
              <w:keepNext w:val="0"/>
              <w:keepLines w:val="0"/>
              <w:pageBreakBefore w:val="0"/>
              <w:widowControl/>
              <w:kinsoku/>
              <w:wordWrap/>
              <w:overflowPunct/>
              <w:topLinePunct w:val="0"/>
              <w:autoSpaceDE/>
              <w:autoSpaceDN/>
              <w:bidi w:val="0"/>
              <w:adjustRightInd/>
              <w:snapToGrid/>
              <w:spacing w:before="120" w:after="120" w:line="240" w:lineRule="auto"/>
              <w:ind w:left="0"/>
              <w:jc w:val="center"/>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w:t>
            </w:r>
          </w:p>
        </w:tc>
        <w:tc>
          <w:tcPr>
            <w:tcW w:w="1741" w:type="dxa"/>
            <w:vMerge w:val="restart"/>
            <w:tcMar>
              <w:top w:w="60" w:type="dxa"/>
              <w:left w:w="120" w:type="dxa"/>
              <w:bottom w:w="30" w:type="dxa"/>
              <w:right w:w="120" w:type="dxa"/>
            </w:tcMar>
            <w:vAlign w:val="center"/>
          </w:tcPr>
          <w:p w14:paraId="38808760">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精准排查（3）</w:t>
            </w:r>
          </w:p>
        </w:tc>
        <w:tc>
          <w:tcPr>
            <w:tcW w:w="3019" w:type="dxa"/>
            <w:tcMar>
              <w:top w:w="60" w:type="dxa"/>
              <w:left w:w="120" w:type="dxa"/>
              <w:bottom w:w="30" w:type="dxa"/>
              <w:right w:w="120" w:type="dxa"/>
            </w:tcMar>
            <w:vAlign w:val="center"/>
          </w:tcPr>
          <w:p w14:paraId="7313D672">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strike/>
                <w:dstrike w:val="0"/>
                <w:color w:val="auto"/>
                <w:sz w:val="24"/>
                <w:szCs w:val="24"/>
                <w:highlight w:val="none"/>
                <w:lang w:val="en-US" w:eastAsia="zh-CN"/>
              </w:rPr>
            </w:pPr>
            <w:r>
              <w:rPr>
                <w:rFonts w:hint="eastAsia" w:ascii="仿宋" w:hAnsi="仿宋" w:eastAsia="仿宋" w:cs="仿宋"/>
                <w:strike w:val="0"/>
                <w:dstrike w:val="0"/>
                <w:color w:val="auto"/>
                <w:sz w:val="24"/>
                <w:szCs w:val="24"/>
                <w:highlight w:val="none"/>
                <w:lang w:val="en-US" w:eastAsia="zh-CN"/>
              </w:rPr>
              <w:t>DN300-500气嚢封堵100个</w:t>
            </w:r>
          </w:p>
        </w:tc>
        <w:tc>
          <w:tcPr>
            <w:tcW w:w="3278" w:type="dxa"/>
            <w:tcMar>
              <w:top w:w="60" w:type="dxa"/>
              <w:left w:w="120" w:type="dxa"/>
              <w:bottom w:w="30" w:type="dxa"/>
              <w:right w:w="120" w:type="dxa"/>
            </w:tcMar>
            <w:vAlign w:val="center"/>
          </w:tcPr>
          <w:p w14:paraId="5DB1E6EB">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strike/>
                <w:dstrike w:val="0"/>
                <w:color w:val="auto"/>
                <w:sz w:val="24"/>
                <w:szCs w:val="24"/>
                <w:highlight w:val="none"/>
                <w:lang w:val="en-US" w:eastAsia="zh-CN"/>
              </w:rPr>
            </w:pPr>
            <w:r>
              <w:rPr>
                <w:rFonts w:hint="eastAsia" w:ascii="仿宋" w:hAnsi="仿宋" w:eastAsia="仿宋" w:cs="仿宋"/>
                <w:strike w:val="0"/>
                <w:dstrike w:val="0"/>
                <w:color w:val="auto"/>
                <w:sz w:val="24"/>
                <w:szCs w:val="24"/>
                <w:highlight w:val="none"/>
                <w:lang w:val="en-US" w:eastAsia="zh-CN"/>
              </w:rPr>
              <w:t>900元/个</w:t>
            </w:r>
          </w:p>
        </w:tc>
      </w:tr>
      <w:tr w14:paraId="4F454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90" w:hRule="atLeast"/>
          <w:jc w:val="center"/>
        </w:trPr>
        <w:tc>
          <w:tcPr>
            <w:tcW w:w="911" w:type="dxa"/>
            <w:vMerge w:val="continue"/>
            <w:tcMar>
              <w:top w:w="60" w:type="dxa"/>
              <w:left w:w="120" w:type="dxa"/>
              <w:bottom w:w="30" w:type="dxa"/>
              <w:right w:w="120" w:type="dxa"/>
            </w:tcMar>
            <w:vAlign w:val="center"/>
          </w:tcPr>
          <w:p w14:paraId="61327EA6">
            <w:pPr>
              <w:keepNext w:val="0"/>
              <w:keepLines w:val="0"/>
              <w:pageBreakBefore w:val="0"/>
              <w:widowControl/>
              <w:kinsoku/>
              <w:wordWrap/>
              <w:overflowPunct/>
              <w:topLinePunct w:val="0"/>
              <w:autoSpaceDE/>
              <w:autoSpaceDN/>
              <w:bidi w:val="0"/>
              <w:adjustRightInd/>
              <w:snapToGrid/>
              <w:spacing w:before="120" w:after="120" w:line="240" w:lineRule="auto"/>
              <w:ind w:left="0"/>
              <w:jc w:val="center"/>
              <w:textAlignment w:val="auto"/>
              <w:rPr>
                <w:rFonts w:hint="eastAsia" w:ascii="仿宋" w:hAnsi="仿宋" w:eastAsia="仿宋" w:cs="仿宋"/>
                <w:color w:val="auto"/>
                <w:sz w:val="24"/>
                <w:szCs w:val="24"/>
                <w:highlight w:val="none"/>
                <w:lang w:val="en-US" w:eastAsia="zh-CN"/>
              </w:rPr>
            </w:pPr>
          </w:p>
        </w:tc>
        <w:tc>
          <w:tcPr>
            <w:tcW w:w="1741" w:type="dxa"/>
            <w:vMerge w:val="continue"/>
            <w:tcMar>
              <w:top w:w="60" w:type="dxa"/>
              <w:left w:w="120" w:type="dxa"/>
              <w:bottom w:w="30" w:type="dxa"/>
              <w:right w:w="120" w:type="dxa"/>
            </w:tcMar>
            <w:vAlign w:val="center"/>
          </w:tcPr>
          <w:p w14:paraId="6BD33379">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p>
        </w:tc>
        <w:tc>
          <w:tcPr>
            <w:tcW w:w="3019" w:type="dxa"/>
            <w:tcMar>
              <w:top w:w="60" w:type="dxa"/>
              <w:left w:w="120" w:type="dxa"/>
              <w:bottom w:w="30" w:type="dxa"/>
              <w:right w:w="120" w:type="dxa"/>
            </w:tcMar>
            <w:vAlign w:val="center"/>
          </w:tcPr>
          <w:p w14:paraId="78736483">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b w:val="0"/>
                <w:bCs w:val="0"/>
                <w:strike/>
                <w:dstrike w:val="0"/>
                <w:color w:val="auto"/>
                <w:kern w:val="2"/>
                <w:sz w:val="24"/>
                <w:szCs w:val="24"/>
                <w:highlight w:val="none"/>
                <w:lang w:val="en-US" w:eastAsia="zh-CN" w:bidi="ar-SA"/>
              </w:rPr>
            </w:pPr>
            <w:r>
              <w:rPr>
                <w:rFonts w:hint="eastAsia" w:ascii="仿宋" w:hAnsi="仿宋" w:eastAsia="仿宋" w:cs="仿宋"/>
                <w:strike w:val="0"/>
                <w:dstrike w:val="0"/>
                <w:color w:val="auto"/>
                <w:sz w:val="24"/>
                <w:szCs w:val="24"/>
                <w:highlight w:val="none"/>
                <w:lang w:val="en-US" w:eastAsia="zh-CN"/>
              </w:rPr>
              <w:t>DN600-1000气嚢封堵100个</w:t>
            </w:r>
          </w:p>
        </w:tc>
        <w:tc>
          <w:tcPr>
            <w:tcW w:w="3278" w:type="dxa"/>
            <w:tcMar>
              <w:top w:w="60" w:type="dxa"/>
              <w:left w:w="120" w:type="dxa"/>
              <w:bottom w:w="30" w:type="dxa"/>
              <w:right w:w="120" w:type="dxa"/>
            </w:tcMar>
            <w:vAlign w:val="center"/>
          </w:tcPr>
          <w:p w14:paraId="31C5A400">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strike/>
                <w:dstrike w:val="0"/>
                <w:color w:val="auto"/>
                <w:sz w:val="24"/>
                <w:szCs w:val="24"/>
                <w:highlight w:val="none"/>
                <w:lang w:val="en-US" w:eastAsia="zh-CN"/>
              </w:rPr>
            </w:pPr>
            <w:r>
              <w:rPr>
                <w:rFonts w:hint="eastAsia" w:ascii="仿宋" w:hAnsi="仿宋" w:eastAsia="仿宋" w:cs="仿宋"/>
                <w:strike w:val="0"/>
                <w:dstrike w:val="0"/>
                <w:color w:val="auto"/>
                <w:sz w:val="24"/>
                <w:szCs w:val="24"/>
                <w:highlight w:val="none"/>
                <w:lang w:val="en-US" w:eastAsia="zh-CN"/>
              </w:rPr>
              <w:t>1858元/个</w:t>
            </w:r>
          </w:p>
        </w:tc>
      </w:tr>
      <w:tr w14:paraId="57E0A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90" w:hRule="atLeast"/>
          <w:jc w:val="center"/>
        </w:trPr>
        <w:tc>
          <w:tcPr>
            <w:tcW w:w="911" w:type="dxa"/>
            <w:vMerge w:val="continue"/>
            <w:tcMar>
              <w:top w:w="60" w:type="dxa"/>
              <w:left w:w="120" w:type="dxa"/>
              <w:bottom w:w="30" w:type="dxa"/>
              <w:right w:w="120" w:type="dxa"/>
            </w:tcMar>
            <w:vAlign w:val="center"/>
          </w:tcPr>
          <w:p w14:paraId="0978FAB5">
            <w:pPr>
              <w:keepNext w:val="0"/>
              <w:keepLines w:val="0"/>
              <w:pageBreakBefore w:val="0"/>
              <w:widowControl/>
              <w:kinsoku/>
              <w:wordWrap/>
              <w:overflowPunct/>
              <w:topLinePunct w:val="0"/>
              <w:autoSpaceDE/>
              <w:autoSpaceDN/>
              <w:bidi w:val="0"/>
              <w:adjustRightInd/>
              <w:snapToGrid/>
              <w:spacing w:before="120" w:after="120" w:line="240" w:lineRule="auto"/>
              <w:ind w:left="0"/>
              <w:jc w:val="center"/>
              <w:textAlignment w:val="auto"/>
              <w:rPr>
                <w:rFonts w:hint="eastAsia" w:ascii="仿宋" w:hAnsi="仿宋" w:eastAsia="仿宋" w:cs="仿宋"/>
                <w:color w:val="auto"/>
                <w:sz w:val="24"/>
                <w:szCs w:val="24"/>
                <w:highlight w:val="none"/>
                <w:lang w:val="en-US" w:eastAsia="zh-CN"/>
              </w:rPr>
            </w:pPr>
          </w:p>
        </w:tc>
        <w:tc>
          <w:tcPr>
            <w:tcW w:w="1741" w:type="dxa"/>
            <w:vMerge w:val="continue"/>
            <w:tcMar>
              <w:top w:w="60" w:type="dxa"/>
              <w:left w:w="120" w:type="dxa"/>
              <w:bottom w:w="30" w:type="dxa"/>
              <w:right w:w="120" w:type="dxa"/>
            </w:tcMar>
            <w:vAlign w:val="center"/>
          </w:tcPr>
          <w:p w14:paraId="1843026D">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p>
        </w:tc>
        <w:tc>
          <w:tcPr>
            <w:tcW w:w="3019" w:type="dxa"/>
            <w:tcMar>
              <w:top w:w="60" w:type="dxa"/>
              <w:left w:w="120" w:type="dxa"/>
              <w:bottom w:w="30" w:type="dxa"/>
              <w:right w:w="120" w:type="dxa"/>
            </w:tcMar>
            <w:vAlign w:val="center"/>
          </w:tcPr>
          <w:p w14:paraId="75984C92">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b w:val="0"/>
                <w:bCs w:val="0"/>
                <w:strike w:val="0"/>
                <w:dstrike w:val="0"/>
                <w:color w:val="auto"/>
                <w:kern w:val="2"/>
                <w:sz w:val="24"/>
                <w:szCs w:val="24"/>
                <w:highlight w:val="none"/>
                <w:lang w:val="en-US" w:eastAsia="zh-CN" w:bidi="ar-SA"/>
              </w:rPr>
            </w:pPr>
            <w:r>
              <w:rPr>
                <w:rFonts w:hint="eastAsia" w:ascii="仿宋" w:hAnsi="仿宋" w:eastAsia="仿宋" w:cs="仿宋"/>
                <w:b w:val="0"/>
                <w:bCs w:val="0"/>
                <w:strike w:val="0"/>
                <w:dstrike w:val="0"/>
                <w:color w:val="auto"/>
                <w:kern w:val="2"/>
                <w:sz w:val="24"/>
                <w:szCs w:val="24"/>
                <w:highlight w:val="none"/>
                <w:lang w:val="en-US" w:eastAsia="zh-CN" w:bidi="ar-SA"/>
              </w:rPr>
              <w:t>DN1200以上10个</w:t>
            </w:r>
          </w:p>
        </w:tc>
        <w:tc>
          <w:tcPr>
            <w:tcW w:w="3278" w:type="dxa"/>
            <w:tcMar>
              <w:top w:w="60" w:type="dxa"/>
              <w:left w:w="120" w:type="dxa"/>
              <w:bottom w:w="30" w:type="dxa"/>
              <w:right w:w="120" w:type="dxa"/>
            </w:tcMar>
            <w:vAlign w:val="center"/>
          </w:tcPr>
          <w:p w14:paraId="58824A0E">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strike w:val="0"/>
                <w:dstrike w:val="0"/>
                <w:color w:val="auto"/>
                <w:sz w:val="24"/>
                <w:szCs w:val="24"/>
                <w:highlight w:val="none"/>
                <w:lang w:val="en-US" w:eastAsia="zh-CN"/>
              </w:rPr>
            </w:pPr>
            <w:r>
              <w:rPr>
                <w:rFonts w:hint="eastAsia" w:ascii="仿宋" w:hAnsi="仿宋" w:eastAsia="仿宋" w:cs="仿宋"/>
                <w:strike w:val="0"/>
                <w:dstrike w:val="0"/>
                <w:color w:val="auto"/>
                <w:sz w:val="24"/>
                <w:szCs w:val="24"/>
                <w:highlight w:val="none"/>
                <w:lang w:val="en-US" w:eastAsia="zh-CN"/>
              </w:rPr>
              <w:t>2300元/个</w:t>
            </w:r>
          </w:p>
        </w:tc>
      </w:tr>
      <w:tr w14:paraId="56253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90" w:hRule="atLeast"/>
          <w:jc w:val="center"/>
        </w:trPr>
        <w:tc>
          <w:tcPr>
            <w:tcW w:w="911" w:type="dxa"/>
            <w:vMerge w:val="continue"/>
            <w:tcMar>
              <w:top w:w="60" w:type="dxa"/>
              <w:left w:w="120" w:type="dxa"/>
              <w:bottom w:w="30" w:type="dxa"/>
              <w:right w:w="120" w:type="dxa"/>
            </w:tcMar>
            <w:vAlign w:val="center"/>
          </w:tcPr>
          <w:p w14:paraId="4533AB6E">
            <w:pPr>
              <w:keepNext w:val="0"/>
              <w:keepLines w:val="0"/>
              <w:pageBreakBefore w:val="0"/>
              <w:widowControl/>
              <w:kinsoku/>
              <w:wordWrap/>
              <w:overflowPunct/>
              <w:topLinePunct w:val="0"/>
              <w:autoSpaceDE/>
              <w:autoSpaceDN/>
              <w:bidi w:val="0"/>
              <w:adjustRightInd/>
              <w:snapToGrid/>
              <w:spacing w:before="120" w:after="120" w:line="240" w:lineRule="auto"/>
              <w:ind w:left="0"/>
              <w:jc w:val="center"/>
              <w:textAlignment w:val="auto"/>
              <w:rPr>
                <w:rFonts w:hint="eastAsia" w:ascii="仿宋" w:hAnsi="仿宋" w:eastAsia="仿宋" w:cs="仿宋"/>
                <w:color w:val="auto"/>
                <w:sz w:val="24"/>
                <w:szCs w:val="24"/>
                <w:highlight w:val="none"/>
                <w:lang w:val="en-US" w:eastAsia="zh-CN"/>
              </w:rPr>
            </w:pPr>
          </w:p>
        </w:tc>
        <w:tc>
          <w:tcPr>
            <w:tcW w:w="1741" w:type="dxa"/>
            <w:vMerge w:val="continue"/>
            <w:tcMar>
              <w:top w:w="60" w:type="dxa"/>
              <w:left w:w="120" w:type="dxa"/>
              <w:bottom w:w="30" w:type="dxa"/>
              <w:right w:w="120" w:type="dxa"/>
            </w:tcMar>
            <w:vAlign w:val="center"/>
          </w:tcPr>
          <w:p w14:paraId="7CFC4D1E">
            <w:pPr>
              <w:widowControl w:val="0"/>
              <w:ind w:left="200" w:hanging="480" w:hangingChars="200"/>
              <w:jc w:val="both"/>
              <w:rPr>
                <w:rFonts w:hint="eastAsia" w:ascii="仿宋" w:hAnsi="仿宋" w:eastAsia="仿宋" w:cs="仿宋"/>
                <w:color w:val="auto"/>
                <w:kern w:val="2"/>
                <w:sz w:val="24"/>
                <w:szCs w:val="24"/>
                <w:highlight w:val="none"/>
                <w:lang w:val="en-US" w:eastAsia="zh-CN" w:bidi="ar-SA"/>
              </w:rPr>
            </w:pPr>
          </w:p>
        </w:tc>
        <w:tc>
          <w:tcPr>
            <w:tcW w:w="3019" w:type="dxa"/>
            <w:tcMar>
              <w:top w:w="60" w:type="dxa"/>
              <w:left w:w="120" w:type="dxa"/>
              <w:bottom w:w="30" w:type="dxa"/>
              <w:right w:w="120" w:type="dxa"/>
            </w:tcMar>
            <w:vAlign w:val="center"/>
          </w:tcPr>
          <w:p w14:paraId="4FEC926B">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300-600管道砖封25处</w:t>
            </w:r>
          </w:p>
        </w:tc>
        <w:tc>
          <w:tcPr>
            <w:tcW w:w="3278" w:type="dxa"/>
            <w:tcMar>
              <w:top w:w="60" w:type="dxa"/>
              <w:left w:w="120" w:type="dxa"/>
              <w:bottom w:w="30" w:type="dxa"/>
              <w:right w:w="120" w:type="dxa"/>
            </w:tcMar>
            <w:vAlign w:val="center"/>
          </w:tcPr>
          <w:p w14:paraId="7E25A555">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500元/个</w:t>
            </w:r>
          </w:p>
        </w:tc>
      </w:tr>
      <w:tr w14:paraId="179183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90" w:hRule="atLeast"/>
          <w:jc w:val="center"/>
        </w:trPr>
        <w:tc>
          <w:tcPr>
            <w:tcW w:w="911" w:type="dxa"/>
            <w:vMerge w:val="continue"/>
            <w:tcMar>
              <w:top w:w="60" w:type="dxa"/>
              <w:left w:w="120" w:type="dxa"/>
              <w:bottom w:w="30" w:type="dxa"/>
              <w:right w:w="120" w:type="dxa"/>
            </w:tcMar>
            <w:vAlign w:val="center"/>
          </w:tcPr>
          <w:p w14:paraId="54B577C5">
            <w:pPr>
              <w:keepNext w:val="0"/>
              <w:keepLines w:val="0"/>
              <w:pageBreakBefore w:val="0"/>
              <w:widowControl/>
              <w:kinsoku/>
              <w:wordWrap/>
              <w:overflowPunct/>
              <w:topLinePunct w:val="0"/>
              <w:autoSpaceDE/>
              <w:autoSpaceDN/>
              <w:bidi w:val="0"/>
              <w:adjustRightInd/>
              <w:snapToGrid/>
              <w:spacing w:before="120" w:after="120" w:line="240" w:lineRule="auto"/>
              <w:ind w:left="0"/>
              <w:jc w:val="center"/>
              <w:textAlignment w:val="auto"/>
              <w:rPr>
                <w:rFonts w:hint="eastAsia" w:ascii="仿宋" w:hAnsi="仿宋" w:eastAsia="仿宋" w:cs="仿宋"/>
                <w:color w:val="auto"/>
                <w:sz w:val="24"/>
                <w:szCs w:val="24"/>
                <w:highlight w:val="none"/>
                <w:lang w:val="en-US" w:eastAsia="zh-CN"/>
              </w:rPr>
            </w:pPr>
          </w:p>
        </w:tc>
        <w:tc>
          <w:tcPr>
            <w:tcW w:w="1741" w:type="dxa"/>
            <w:vMerge w:val="continue"/>
            <w:tcMar>
              <w:top w:w="60" w:type="dxa"/>
              <w:left w:w="120" w:type="dxa"/>
              <w:bottom w:w="30" w:type="dxa"/>
              <w:right w:w="120" w:type="dxa"/>
            </w:tcMar>
            <w:vAlign w:val="center"/>
          </w:tcPr>
          <w:p w14:paraId="721AB1D1">
            <w:pPr>
              <w:widowControl w:val="0"/>
              <w:ind w:left="200" w:hanging="480" w:hangingChars="200"/>
              <w:jc w:val="both"/>
              <w:rPr>
                <w:rFonts w:hint="eastAsia" w:ascii="仿宋" w:hAnsi="仿宋" w:eastAsia="仿宋" w:cs="仿宋"/>
                <w:color w:val="auto"/>
                <w:kern w:val="2"/>
                <w:sz w:val="24"/>
                <w:szCs w:val="24"/>
                <w:highlight w:val="none"/>
                <w:lang w:val="en-US" w:eastAsia="zh-CN" w:bidi="ar-SA"/>
              </w:rPr>
            </w:pPr>
          </w:p>
        </w:tc>
        <w:tc>
          <w:tcPr>
            <w:tcW w:w="3019" w:type="dxa"/>
            <w:tcMar>
              <w:top w:w="60" w:type="dxa"/>
              <w:left w:w="120" w:type="dxa"/>
              <w:bottom w:w="30" w:type="dxa"/>
              <w:right w:w="120" w:type="dxa"/>
            </w:tcMar>
            <w:vAlign w:val="center"/>
          </w:tcPr>
          <w:p w14:paraId="0ABBF31E">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800-1000管道砖封25处</w:t>
            </w:r>
          </w:p>
        </w:tc>
        <w:tc>
          <w:tcPr>
            <w:tcW w:w="3278" w:type="dxa"/>
            <w:tcMar>
              <w:top w:w="60" w:type="dxa"/>
              <w:left w:w="120" w:type="dxa"/>
              <w:bottom w:w="30" w:type="dxa"/>
              <w:right w:w="120" w:type="dxa"/>
            </w:tcMar>
            <w:vAlign w:val="center"/>
          </w:tcPr>
          <w:p w14:paraId="38A2DBEA">
            <w:pPr>
              <w:widowControl w:val="0"/>
              <w:ind w:left="0" w:leftChars="0" w:firstLine="0" w:firstLineChars="0"/>
              <w:jc w:val="both"/>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1300元/个</w:t>
            </w:r>
          </w:p>
        </w:tc>
      </w:tr>
      <w:tr w14:paraId="554FA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90" w:hRule="atLeast"/>
          <w:jc w:val="center"/>
        </w:trPr>
        <w:tc>
          <w:tcPr>
            <w:tcW w:w="911" w:type="dxa"/>
            <w:vMerge w:val="continue"/>
            <w:tcMar>
              <w:top w:w="60" w:type="dxa"/>
              <w:left w:w="120" w:type="dxa"/>
              <w:bottom w:w="30" w:type="dxa"/>
              <w:right w:w="120" w:type="dxa"/>
            </w:tcMar>
            <w:vAlign w:val="center"/>
          </w:tcPr>
          <w:p w14:paraId="648E24F1">
            <w:pPr>
              <w:keepNext w:val="0"/>
              <w:keepLines w:val="0"/>
              <w:pageBreakBefore w:val="0"/>
              <w:widowControl/>
              <w:kinsoku/>
              <w:wordWrap/>
              <w:overflowPunct/>
              <w:topLinePunct w:val="0"/>
              <w:autoSpaceDE/>
              <w:autoSpaceDN/>
              <w:bidi w:val="0"/>
              <w:adjustRightInd/>
              <w:snapToGrid/>
              <w:spacing w:before="120" w:after="120" w:line="240" w:lineRule="auto"/>
              <w:ind w:left="0"/>
              <w:jc w:val="center"/>
              <w:textAlignment w:val="auto"/>
              <w:rPr>
                <w:rFonts w:hint="eastAsia" w:ascii="仿宋" w:hAnsi="仿宋" w:eastAsia="仿宋" w:cs="仿宋"/>
                <w:color w:val="auto"/>
                <w:sz w:val="24"/>
                <w:szCs w:val="24"/>
                <w:highlight w:val="none"/>
                <w:lang w:val="en-US" w:eastAsia="zh-CN"/>
              </w:rPr>
            </w:pPr>
          </w:p>
        </w:tc>
        <w:tc>
          <w:tcPr>
            <w:tcW w:w="1741" w:type="dxa"/>
            <w:vMerge w:val="continue"/>
            <w:tcMar>
              <w:top w:w="60" w:type="dxa"/>
              <w:left w:w="120" w:type="dxa"/>
              <w:bottom w:w="30" w:type="dxa"/>
              <w:right w:w="120" w:type="dxa"/>
            </w:tcMar>
            <w:vAlign w:val="center"/>
          </w:tcPr>
          <w:p w14:paraId="4B68DCBB">
            <w:pPr>
              <w:widowControl w:val="0"/>
              <w:ind w:left="200" w:hanging="480" w:hangingChars="200"/>
              <w:jc w:val="both"/>
              <w:rPr>
                <w:rFonts w:hint="eastAsia" w:ascii="仿宋" w:hAnsi="仿宋" w:eastAsia="仿宋" w:cs="仿宋"/>
                <w:color w:val="auto"/>
                <w:kern w:val="2"/>
                <w:sz w:val="24"/>
                <w:szCs w:val="24"/>
                <w:highlight w:val="none"/>
                <w:lang w:val="en-US" w:eastAsia="zh-CN" w:bidi="ar-SA"/>
              </w:rPr>
            </w:pPr>
          </w:p>
        </w:tc>
        <w:tc>
          <w:tcPr>
            <w:tcW w:w="3019" w:type="dxa"/>
            <w:tcMar>
              <w:top w:w="60" w:type="dxa"/>
              <w:left w:w="120" w:type="dxa"/>
              <w:bottom w:w="30" w:type="dxa"/>
              <w:right w:w="120" w:type="dxa"/>
            </w:tcMar>
            <w:vAlign w:val="center"/>
          </w:tcPr>
          <w:p w14:paraId="67973861">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1200及以上管道砖封25处</w:t>
            </w:r>
          </w:p>
        </w:tc>
        <w:tc>
          <w:tcPr>
            <w:tcW w:w="3278" w:type="dxa"/>
            <w:tcMar>
              <w:top w:w="60" w:type="dxa"/>
              <w:left w:w="120" w:type="dxa"/>
              <w:bottom w:w="30" w:type="dxa"/>
              <w:right w:w="120" w:type="dxa"/>
            </w:tcMar>
            <w:vAlign w:val="center"/>
          </w:tcPr>
          <w:p w14:paraId="505BE191">
            <w:pPr>
              <w:widowControl w:val="0"/>
              <w:ind w:left="200" w:hanging="480" w:hangingChars="200"/>
              <w:jc w:val="both"/>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3000元/个</w:t>
            </w:r>
          </w:p>
        </w:tc>
      </w:tr>
      <w:tr w14:paraId="38966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45" w:hRule="atLeast"/>
          <w:jc w:val="center"/>
        </w:trPr>
        <w:tc>
          <w:tcPr>
            <w:tcW w:w="911" w:type="dxa"/>
            <w:vMerge w:val="restart"/>
            <w:tcMar>
              <w:top w:w="60" w:type="dxa"/>
              <w:left w:w="120" w:type="dxa"/>
              <w:bottom w:w="30" w:type="dxa"/>
              <w:right w:w="120" w:type="dxa"/>
            </w:tcMar>
            <w:vAlign w:val="center"/>
          </w:tcPr>
          <w:p w14:paraId="3D8404B5">
            <w:pPr>
              <w:keepNext w:val="0"/>
              <w:keepLines w:val="0"/>
              <w:pageBreakBefore w:val="0"/>
              <w:widowControl/>
              <w:kinsoku/>
              <w:wordWrap/>
              <w:overflowPunct/>
              <w:topLinePunct w:val="0"/>
              <w:autoSpaceDE/>
              <w:autoSpaceDN/>
              <w:bidi w:val="0"/>
              <w:adjustRightInd/>
              <w:snapToGrid/>
              <w:spacing w:before="120" w:after="120" w:line="240" w:lineRule="auto"/>
              <w:ind w:left="0"/>
              <w:jc w:val="center"/>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w:t>
            </w:r>
          </w:p>
        </w:tc>
        <w:tc>
          <w:tcPr>
            <w:tcW w:w="1741" w:type="dxa"/>
            <w:vMerge w:val="restart"/>
            <w:tcMar>
              <w:top w:w="60" w:type="dxa"/>
              <w:left w:w="120" w:type="dxa"/>
              <w:bottom w:w="30" w:type="dxa"/>
              <w:right w:w="120" w:type="dxa"/>
            </w:tcMar>
            <w:vAlign w:val="center"/>
          </w:tcPr>
          <w:p w14:paraId="166748EE">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主次干管清淤</w:t>
            </w:r>
          </w:p>
        </w:tc>
        <w:tc>
          <w:tcPr>
            <w:tcW w:w="3019" w:type="dxa"/>
            <w:tcMar>
              <w:top w:w="60" w:type="dxa"/>
              <w:left w:w="120" w:type="dxa"/>
              <w:bottom w:w="30" w:type="dxa"/>
              <w:right w:w="120" w:type="dxa"/>
            </w:tcMar>
            <w:vAlign w:val="center"/>
          </w:tcPr>
          <w:p w14:paraId="16D91850">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DN300-2000mm高压冲洗车+吸污车作业、抽水、淤泥外运等综合单价</w:t>
            </w:r>
          </w:p>
        </w:tc>
        <w:tc>
          <w:tcPr>
            <w:tcW w:w="3278" w:type="dxa"/>
            <w:vMerge w:val="restart"/>
            <w:tcMar>
              <w:top w:w="60" w:type="dxa"/>
              <w:left w:w="120" w:type="dxa"/>
              <w:bottom w:w="30" w:type="dxa"/>
              <w:right w:w="120" w:type="dxa"/>
            </w:tcMar>
            <w:vAlign w:val="center"/>
          </w:tcPr>
          <w:p w14:paraId="47552C04">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strike w:val="0"/>
                <w:dstrike w:val="0"/>
                <w:color w:val="auto"/>
                <w:sz w:val="24"/>
                <w:szCs w:val="24"/>
                <w:highlight w:val="none"/>
                <w:lang w:val="en-US" w:eastAsia="zh-CN"/>
              </w:rPr>
            </w:pPr>
            <w:r>
              <w:rPr>
                <w:rFonts w:hint="eastAsia" w:ascii="仿宋" w:hAnsi="仿宋" w:eastAsia="仿宋" w:cs="仿宋"/>
                <w:strike w:val="0"/>
                <w:dstrike w:val="0"/>
                <w:color w:val="auto"/>
                <w:sz w:val="24"/>
                <w:szCs w:val="24"/>
                <w:highlight w:val="none"/>
                <w:lang w:val="en-US" w:eastAsia="zh-CN"/>
              </w:rPr>
              <w:t>规格(DN300-400)6元/米，规格(DN500-600)18元/米，规格(DN800-1000)36元/米，规格(DN1200以上)55元/米，</w:t>
            </w:r>
          </w:p>
        </w:tc>
      </w:tr>
      <w:tr w14:paraId="35D79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67" w:hRule="atLeast"/>
          <w:jc w:val="center"/>
        </w:trPr>
        <w:tc>
          <w:tcPr>
            <w:tcW w:w="911" w:type="dxa"/>
            <w:vMerge w:val="continue"/>
            <w:tcMar>
              <w:top w:w="60" w:type="dxa"/>
              <w:left w:w="120" w:type="dxa"/>
              <w:bottom w:w="30" w:type="dxa"/>
              <w:right w:w="120" w:type="dxa"/>
            </w:tcMar>
            <w:vAlign w:val="center"/>
          </w:tcPr>
          <w:p w14:paraId="6AF71742">
            <w:pPr>
              <w:keepNext w:val="0"/>
              <w:keepLines w:val="0"/>
              <w:pageBreakBefore w:val="0"/>
              <w:widowControl/>
              <w:kinsoku/>
              <w:wordWrap/>
              <w:overflowPunct/>
              <w:topLinePunct w:val="0"/>
              <w:autoSpaceDE/>
              <w:autoSpaceDN/>
              <w:bidi w:val="0"/>
              <w:adjustRightInd/>
              <w:snapToGrid/>
              <w:spacing w:before="120" w:after="120" w:line="240" w:lineRule="auto"/>
              <w:ind w:left="0"/>
              <w:jc w:val="center"/>
              <w:textAlignment w:val="auto"/>
              <w:rPr>
                <w:rFonts w:hint="eastAsia" w:ascii="仿宋" w:hAnsi="仿宋" w:eastAsia="仿宋" w:cs="仿宋"/>
                <w:color w:val="auto"/>
                <w:sz w:val="24"/>
                <w:szCs w:val="24"/>
                <w:highlight w:val="none"/>
                <w:lang w:val="en-US" w:eastAsia="zh-CN"/>
              </w:rPr>
            </w:pPr>
          </w:p>
        </w:tc>
        <w:tc>
          <w:tcPr>
            <w:tcW w:w="1741" w:type="dxa"/>
            <w:vMerge w:val="continue"/>
            <w:tcMar>
              <w:top w:w="60" w:type="dxa"/>
              <w:left w:w="120" w:type="dxa"/>
              <w:bottom w:w="30" w:type="dxa"/>
              <w:right w:w="120" w:type="dxa"/>
            </w:tcMar>
            <w:vAlign w:val="center"/>
          </w:tcPr>
          <w:p w14:paraId="663DD3C2">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p>
        </w:tc>
        <w:tc>
          <w:tcPr>
            <w:tcW w:w="3019" w:type="dxa"/>
            <w:tcMar>
              <w:top w:w="60" w:type="dxa"/>
              <w:left w:w="120" w:type="dxa"/>
              <w:bottom w:w="30" w:type="dxa"/>
              <w:right w:w="120" w:type="dxa"/>
            </w:tcMar>
            <w:vAlign w:val="center"/>
          </w:tcPr>
          <w:p w14:paraId="4B7C0386">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DN300-2000mm人工辅助清淤</w:t>
            </w:r>
          </w:p>
        </w:tc>
        <w:tc>
          <w:tcPr>
            <w:tcW w:w="3278" w:type="dxa"/>
            <w:vMerge w:val="continue"/>
            <w:tcMar>
              <w:top w:w="60" w:type="dxa"/>
              <w:left w:w="120" w:type="dxa"/>
              <w:bottom w:w="30" w:type="dxa"/>
              <w:right w:w="120" w:type="dxa"/>
            </w:tcMar>
            <w:vAlign w:val="center"/>
          </w:tcPr>
          <w:p w14:paraId="0EDEED62">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p>
        </w:tc>
      </w:tr>
      <w:tr w14:paraId="79816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189" w:hRule="atLeast"/>
          <w:jc w:val="center"/>
        </w:trPr>
        <w:tc>
          <w:tcPr>
            <w:tcW w:w="911" w:type="dxa"/>
            <w:tcMar>
              <w:top w:w="60" w:type="dxa"/>
              <w:left w:w="120" w:type="dxa"/>
              <w:bottom w:w="30" w:type="dxa"/>
              <w:right w:w="120" w:type="dxa"/>
            </w:tcMar>
            <w:vAlign w:val="center"/>
          </w:tcPr>
          <w:p w14:paraId="0FDF18EA">
            <w:pPr>
              <w:keepNext w:val="0"/>
              <w:keepLines w:val="0"/>
              <w:pageBreakBefore w:val="0"/>
              <w:widowControl/>
              <w:kinsoku/>
              <w:wordWrap/>
              <w:overflowPunct/>
              <w:topLinePunct w:val="0"/>
              <w:autoSpaceDE/>
              <w:autoSpaceDN/>
              <w:bidi w:val="0"/>
              <w:adjustRightInd/>
              <w:snapToGrid/>
              <w:spacing w:before="120" w:after="120" w:line="240" w:lineRule="auto"/>
              <w:ind w:left="0"/>
              <w:jc w:val="center"/>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5</w:t>
            </w:r>
          </w:p>
        </w:tc>
        <w:tc>
          <w:tcPr>
            <w:tcW w:w="1741" w:type="dxa"/>
            <w:tcMar>
              <w:top w:w="60" w:type="dxa"/>
              <w:left w:w="120" w:type="dxa"/>
              <w:bottom w:w="30" w:type="dxa"/>
              <w:right w:w="120" w:type="dxa"/>
            </w:tcMar>
            <w:vAlign w:val="center"/>
          </w:tcPr>
          <w:p w14:paraId="27943E97">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排口与沟渠</w:t>
            </w:r>
          </w:p>
          <w:p w14:paraId="2307CF10">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人工、挖机台班、吸污车台班、发电机、汽车台班</w:t>
            </w:r>
          </w:p>
        </w:tc>
        <w:tc>
          <w:tcPr>
            <w:tcW w:w="3019" w:type="dxa"/>
            <w:tcMar>
              <w:top w:w="60" w:type="dxa"/>
              <w:left w:w="120" w:type="dxa"/>
              <w:bottom w:w="30" w:type="dxa"/>
              <w:right w:w="120" w:type="dxa"/>
            </w:tcMar>
            <w:vAlign w:val="center"/>
          </w:tcPr>
          <w:p w14:paraId="179B0D82">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13个入河排口、6条约40公里</w:t>
            </w:r>
          </w:p>
        </w:tc>
        <w:tc>
          <w:tcPr>
            <w:tcW w:w="3278" w:type="dxa"/>
            <w:tcMar>
              <w:top w:w="60" w:type="dxa"/>
              <w:left w:w="120" w:type="dxa"/>
              <w:bottom w:w="30" w:type="dxa"/>
              <w:right w:w="120" w:type="dxa"/>
            </w:tcMar>
            <w:vAlign w:val="center"/>
          </w:tcPr>
          <w:p w14:paraId="042D1A08">
            <w:pPr>
              <w:keepNext w:val="0"/>
              <w:keepLines w:val="0"/>
              <w:pageBreakBefore w:val="0"/>
              <w:widowControl/>
              <w:kinsoku/>
              <w:wordWrap/>
              <w:overflowPunct/>
              <w:topLinePunct w:val="0"/>
              <w:autoSpaceDE/>
              <w:autoSpaceDN/>
              <w:bidi w:val="0"/>
              <w:adjustRightInd/>
              <w:snapToGrid/>
              <w:spacing w:before="120" w:after="120" w:line="240" w:lineRule="auto"/>
              <w:ind w:left="0" w:firstLine="480" w:firstLineChars="20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kern w:val="0"/>
                <w:sz w:val="24"/>
                <w:szCs w:val="24"/>
                <w:highlight w:val="none"/>
                <w:lang w:bidi="ar"/>
              </w:rPr>
              <w:t>潜水员</w:t>
            </w:r>
            <w:r>
              <w:rPr>
                <w:rFonts w:hint="eastAsia" w:ascii="仿宋" w:hAnsi="仿宋" w:eastAsia="仿宋" w:cs="仿宋"/>
                <w:color w:val="auto"/>
                <w:sz w:val="24"/>
                <w:szCs w:val="24"/>
                <w:highlight w:val="none"/>
                <w:lang w:val="en-US" w:eastAsia="zh-CN"/>
              </w:rPr>
              <w:t>8000元/1</w:t>
            </w:r>
            <w:r>
              <w:rPr>
                <w:rFonts w:hint="eastAsia" w:ascii="仿宋" w:hAnsi="仿宋" w:eastAsia="仿宋" w:cs="仿宋"/>
                <w:color w:val="auto"/>
                <w:kern w:val="0"/>
                <w:sz w:val="24"/>
                <w:szCs w:val="24"/>
                <w:highlight w:val="none"/>
                <w:lang w:bidi="ar"/>
              </w:rPr>
              <w:t>台班</w:t>
            </w:r>
            <w:r>
              <w:rPr>
                <w:rFonts w:hint="eastAsia" w:ascii="仿宋" w:hAnsi="仿宋" w:eastAsia="仿宋" w:cs="仿宋"/>
                <w:color w:val="auto"/>
                <w:kern w:val="0"/>
                <w:sz w:val="24"/>
                <w:szCs w:val="24"/>
                <w:highlight w:val="none"/>
                <w:lang w:eastAsia="zh-CN" w:bidi="ar"/>
              </w:rPr>
              <w:t>（</w:t>
            </w:r>
            <w:r>
              <w:rPr>
                <w:rFonts w:hint="eastAsia" w:ascii="仿宋" w:hAnsi="仿宋" w:eastAsia="仿宋" w:cs="仿宋"/>
                <w:color w:val="auto"/>
                <w:kern w:val="0"/>
                <w:sz w:val="24"/>
                <w:szCs w:val="24"/>
                <w:highlight w:val="none"/>
                <w:lang w:bidi="ar"/>
              </w:rPr>
              <w:t>含各类装备、措施等全部费用</w:t>
            </w:r>
            <w:r>
              <w:rPr>
                <w:rFonts w:hint="eastAsia" w:ascii="仿宋" w:hAnsi="仿宋" w:eastAsia="仿宋" w:cs="仿宋"/>
                <w:color w:val="auto"/>
                <w:kern w:val="0"/>
                <w:sz w:val="24"/>
                <w:szCs w:val="24"/>
                <w:highlight w:val="none"/>
                <w:lang w:eastAsia="zh-CN" w:bidi="ar"/>
              </w:rPr>
              <w:t>）、</w:t>
            </w:r>
            <w:r>
              <w:rPr>
                <w:rFonts w:hint="eastAsia" w:ascii="仿宋" w:hAnsi="仿宋" w:eastAsia="仿宋" w:cs="仿宋"/>
                <w:color w:val="auto"/>
                <w:kern w:val="0"/>
                <w:sz w:val="24"/>
                <w:szCs w:val="24"/>
                <w:highlight w:val="none"/>
                <w:lang w:bidi="ar"/>
              </w:rPr>
              <w:t>1m3以内挖掘机</w:t>
            </w:r>
            <w:r>
              <w:rPr>
                <w:rFonts w:hint="eastAsia" w:ascii="仿宋" w:hAnsi="仿宋" w:eastAsia="仿宋" w:cs="仿宋"/>
                <w:color w:val="auto"/>
                <w:kern w:val="0"/>
                <w:sz w:val="24"/>
                <w:szCs w:val="24"/>
                <w:highlight w:val="none"/>
                <w:lang w:val="en-US" w:eastAsia="zh-CN" w:bidi="ar"/>
              </w:rPr>
              <w:t>1</w:t>
            </w:r>
            <w:r>
              <w:rPr>
                <w:rFonts w:hint="eastAsia" w:ascii="仿宋" w:hAnsi="仿宋" w:eastAsia="仿宋" w:cs="仿宋"/>
                <w:color w:val="auto"/>
                <w:sz w:val="24"/>
                <w:szCs w:val="24"/>
                <w:highlight w:val="none"/>
                <w:lang w:val="en-US" w:eastAsia="zh-CN"/>
              </w:rPr>
              <w:t>600元/1</w:t>
            </w:r>
            <w:r>
              <w:rPr>
                <w:rFonts w:hint="eastAsia" w:ascii="仿宋" w:hAnsi="仿宋" w:eastAsia="仿宋" w:cs="仿宋"/>
                <w:color w:val="auto"/>
                <w:kern w:val="0"/>
                <w:sz w:val="24"/>
                <w:szCs w:val="24"/>
                <w:highlight w:val="none"/>
                <w:lang w:bidi="ar"/>
              </w:rPr>
              <w:t>台班费</w:t>
            </w:r>
            <w:r>
              <w:rPr>
                <w:rFonts w:hint="eastAsia" w:ascii="仿宋" w:hAnsi="仿宋" w:eastAsia="仿宋" w:cs="仿宋"/>
                <w:color w:val="auto"/>
                <w:kern w:val="0"/>
                <w:sz w:val="24"/>
                <w:szCs w:val="24"/>
                <w:highlight w:val="none"/>
                <w:lang w:eastAsia="zh-CN" w:bidi="ar"/>
              </w:rPr>
              <w:t>、</w:t>
            </w:r>
            <w:r>
              <w:rPr>
                <w:rFonts w:hint="eastAsia" w:ascii="仿宋" w:hAnsi="仿宋" w:eastAsia="仿宋" w:cs="仿宋"/>
                <w:color w:val="auto"/>
                <w:kern w:val="0"/>
                <w:sz w:val="24"/>
                <w:szCs w:val="24"/>
                <w:highlight w:val="none"/>
                <w:lang w:bidi="ar"/>
              </w:rPr>
              <w:t>5t及以下汽车</w:t>
            </w:r>
            <w:r>
              <w:rPr>
                <w:rFonts w:hint="eastAsia" w:ascii="仿宋" w:hAnsi="仿宋" w:eastAsia="仿宋" w:cs="仿宋"/>
                <w:color w:val="auto"/>
                <w:sz w:val="24"/>
                <w:szCs w:val="24"/>
                <w:highlight w:val="none"/>
                <w:lang w:val="en-US" w:eastAsia="zh-CN"/>
              </w:rPr>
              <w:t>11</w:t>
            </w:r>
            <w:r>
              <w:rPr>
                <w:rFonts w:hint="eastAsia" w:ascii="仿宋" w:hAnsi="仿宋" w:eastAsia="仿宋" w:cs="仿宋"/>
                <w:color w:val="auto"/>
                <w:sz w:val="24"/>
                <w:szCs w:val="24"/>
                <w:highlight w:val="none"/>
              </w:rPr>
              <w:t>0</w:t>
            </w:r>
            <w:r>
              <w:rPr>
                <w:rFonts w:hint="eastAsia" w:ascii="仿宋" w:hAnsi="仿宋" w:eastAsia="仿宋" w:cs="仿宋"/>
                <w:color w:val="auto"/>
                <w:sz w:val="24"/>
                <w:szCs w:val="24"/>
                <w:highlight w:val="none"/>
                <w:lang w:val="en-US" w:eastAsia="zh-CN"/>
              </w:rPr>
              <w:t>0元/</w:t>
            </w:r>
            <w:r>
              <w:rPr>
                <w:rFonts w:hint="eastAsia" w:ascii="仿宋" w:hAnsi="仿宋" w:eastAsia="仿宋" w:cs="仿宋"/>
                <w:color w:val="auto"/>
                <w:kern w:val="0"/>
                <w:sz w:val="24"/>
                <w:szCs w:val="24"/>
                <w:highlight w:val="none"/>
                <w:lang w:bidi="ar"/>
              </w:rPr>
              <w:t>台班</w:t>
            </w:r>
            <w:r>
              <w:rPr>
                <w:rFonts w:hint="eastAsia" w:ascii="仿宋" w:hAnsi="仿宋" w:eastAsia="仿宋" w:cs="仿宋"/>
                <w:color w:val="auto"/>
                <w:kern w:val="0"/>
                <w:sz w:val="24"/>
                <w:szCs w:val="24"/>
                <w:highlight w:val="none"/>
                <w:lang w:eastAsia="zh-CN" w:bidi="ar"/>
              </w:rPr>
              <w:t>、</w:t>
            </w:r>
            <w:r>
              <w:rPr>
                <w:rFonts w:hint="eastAsia" w:ascii="仿宋" w:hAnsi="仿宋" w:eastAsia="仿宋" w:cs="仿宋"/>
                <w:color w:val="auto"/>
                <w:kern w:val="0"/>
                <w:sz w:val="24"/>
                <w:szCs w:val="24"/>
                <w:highlight w:val="none"/>
                <w:lang w:bidi="ar"/>
              </w:rPr>
              <w:t>≤3kw发电机</w:t>
            </w:r>
            <w:r>
              <w:rPr>
                <w:rFonts w:hint="eastAsia" w:ascii="仿宋" w:hAnsi="仿宋" w:eastAsia="仿宋" w:cs="仿宋"/>
                <w:color w:val="auto"/>
                <w:sz w:val="24"/>
                <w:szCs w:val="24"/>
                <w:highlight w:val="none"/>
              </w:rPr>
              <w:t>128</w:t>
            </w:r>
            <w:r>
              <w:rPr>
                <w:rFonts w:hint="eastAsia" w:ascii="仿宋" w:hAnsi="仿宋" w:eastAsia="仿宋" w:cs="仿宋"/>
                <w:color w:val="auto"/>
                <w:sz w:val="24"/>
                <w:szCs w:val="24"/>
                <w:highlight w:val="none"/>
                <w:lang w:val="en-US" w:eastAsia="zh-CN"/>
              </w:rPr>
              <w:t>元/</w:t>
            </w:r>
            <w:r>
              <w:rPr>
                <w:rFonts w:hint="eastAsia" w:ascii="仿宋" w:hAnsi="仿宋" w:eastAsia="仿宋" w:cs="仿宋"/>
                <w:color w:val="auto"/>
                <w:kern w:val="0"/>
                <w:sz w:val="24"/>
                <w:szCs w:val="24"/>
                <w:highlight w:val="none"/>
                <w:lang w:bidi="ar"/>
              </w:rPr>
              <w:t>台班</w:t>
            </w:r>
            <w:r>
              <w:rPr>
                <w:rFonts w:hint="eastAsia" w:ascii="仿宋" w:hAnsi="仿宋" w:eastAsia="仿宋" w:cs="仿宋"/>
                <w:color w:val="auto"/>
                <w:kern w:val="0"/>
                <w:sz w:val="24"/>
                <w:szCs w:val="24"/>
                <w:highlight w:val="none"/>
                <w:lang w:eastAsia="zh-CN" w:bidi="ar"/>
              </w:rPr>
              <w:t>、</w:t>
            </w:r>
            <w:r>
              <w:rPr>
                <w:rFonts w:hint="eastAsia" w:ascii="仿宋" w:hAnsi="仿宋" w:eastAsia="仿宋" w:cs="仿宋"/>
                <w:color w:val="auto"/>
                <w:kern w:val="0"/>
                <w:sz w:val="24"/>
                <w:szCs w:val="24"/>
                <w:highlight w:val="none"/>
                <w:lang w:bidi="ar"/>
              </w:rPr>
              <w:t>10kw发电机</w:t>
            </w:r>
            <w:r>
              <w:rPr>
                <w:rFonts w:hint="eastAsia" w:ascii="仿宋" w:hAnsi="仿宋" w:eastAsia="仿宋" w:cs="仿宋"/>
                <w:color w:val="auto"/>
                <w:sz w:val="24"/>
                <w:szCs w:val="24"/>
                <w:highlight w:val="none"/>
              </w:rPr>
              <w:t>383</w:t>
            </w:r>
            <w:r>
              <w:rPr>
                <w:rFonts w:hint="eastAsia" w:ascii="仿宋" w:hAnsi="仿宋" w:eastAsia="仿宋" w:cs="仿宋"/>
                <w:color w:val="auto"/>
                <w:sz w:val="24"/>
                <w:szCs w:val="24"/>
                <w:highlight w:val="none"/>
                <w:lang w:val="en-US" w:eastAsia="zh-CN"/>
              </w:rPr>
              <w:t>元/</w:t>
            </w:r>
            <w:r>
              <w:rPr>
                <w:rFonts w:hint="eastAsia" w:ascii="仿宋" w:hAnsi="仿宋" w:eastAsia="仿宋" w:cs="仿宋"/>
                <w:color w:val="auto"/>
                <w:kern w:val="0"/>
                <w:sz w:val="24"/>
                <w:szCs w:val="24"/>
                <w:highlight w:val="none"/>
                <w:lang w:bidi="ar"/>
              </w:rPr>
              <w:t>台班</w:t>
            </w:r>
            <w:r>
              <w:rPr>
                <w:rFonts w:hint="eastAsia" w:ascii="仿宋" w:hAnsi="仿宋" w:eastAsia="仿宋" w:cs="仿宋"/>
                <w:color w:val="auto"/>
                <w:kern w:val="0"/>
                <w:sz w:val="24"/>
                <w:szCs w:val="24"/>
                <w:highlight w:val="none"/>
                <w:lang w:eastAsia="zh-CN" w:bidi="ar"/>
              </w:rPr>
              <w:t>、</w:t>
            </w:r>
            <w:r>
              <w:rPr>
                <w:rFonts w:hint="eastAsia" w:ascii="仿宋" w:hAnsi="仿宋" w:eastAsia="仿宋" w:cs="仿宋"/>
                <w:color w:val="auto"/>
                <w:kern w:val="0"/>
                <w:sz w:val="24"/>
                <w:szCs w:val="24"/>
                <w:highlight w:val="none"/>
                <w:lang w:bidi="ar"/>
              </w:rPr>
              <w:t>30kw发电机</w:t>
            </w:r>
            <w:r>
              <w:rPr>
                <w:rFonts w:hint="eastAsia" w:ascii="仿宋" w:hAnsi="仿宋" w:eastAsia="仿宋" w:cs="仿宋"/>
                <w:color w:val="auto"/>
                <w:sz w:val="24"/>
                <w:szCs w:val="24"/>
                <w:highlight w:val="none"/>
              </w:rPr>
              <w:t>578</w:t>
            </w:r>
            <w:r>
              <w:rPr>
                <w:rFonts w:hint="eastAsia" w:ascii="仿宋" w:hAnsi="仿宋" w:eastAsia="仿宋" w:cs="仿宋"/>
                <w:color w:val="auto"/>
                <w:sz w:val="24"/>
                <w:szCs w:val="24"/>
                <w:highlight w:val="none"/>
                <w:lang w:val="en-US" w:eastAsia="zh-CN"/>
              </w:rPr>
              <w:t>元/</w:t>
            </w:r>
            <w:r>
              <w:rPr>
                <w:rFonts w:hint="eastAsia" w:ascii="仿宋" w:hAnsi="仿宋" w:eastAsia="仿宋" w:cs="仿宋"/>
                <w:color w:val="auto"/>
                <w:kern w:val="0"/>
                <w:sz w:val="24"/>
                <w:szCs w:val="24"/>
                <w:highlight w:val="none"/>
                <w:lang w:bidi="ar"/>
              </w:rPr>
              <w:t>台班</w:t>
            </w:r>
            <w:r>
              <w:rPr>
                <w:rFonts w:hint="eastAsia" w:ascii="仿宋" w:hAnsi="仿宋" w:eastAsia="仿宋" w:cs="仿宋"/>
                <w:color w:val="auto"/>
                <w:kern w:val="0"/>
                <w:sz w:val="24"/>
                <w:szCs w:val="24"/>
                <w:highlight w:val="none"/>
                <w:lang w:eastAsia="zh-CN" w:bidi="ar"/>
              </w:rPr>
              <w:t>、</w:t>
            </w:r>
            <w:r>
              <w:rPr>
                <w:rFonts w:hint="eastAsia" w:ascii="仿宋" w:hAnsi="仿宋" w:eastAsia="仿宋" w:cs="仿宋"/>
                <w:color w:val="auto"/>
                <w:kern w:val="0"/>
                <w:sz w:val="24"/>
                <w:szCs w:val="24"/>
                <w:highlight w:val="none"/>
                <w:lang w:bidi="ar"/>
              </w:rPr>
              <w:t>人工</w:t>
            </w: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rPr>
              <w:t>98</w:t>
            </w:r>
            <w:r>
              <w:rPr>
                <w:rFonts w:hint="eastAsia" w:ascii="仿宋" w:hAnsi="仿宋" w:eastAsia="仿宋" w:cs="仿宋"/>
                <w:color w:val="auto"/>
                <w:sz w:val="24"/>
                <w:szCs w:val="24"/>
                <w:highlight w:val="none"/>
                <w:lang w:val="en-US" w:eastAsia="zh-CN"/>
              </w:rPr>
              <w:t>元/</w:t>
            </w:r>
            <w:r>
              <w:rPr>
                <w:rFonts w:hint="eastAsia" w:ascii="仿宋" w:hAnsi="仿宋" w:eastAsia="仿宋" w:cs="仿宋"/>
                <w:color w:val="auto"/>
                <w:kern w:val="0"/>
                <w:sz w:val="24"/>
                <w:szCs w:val="24"/>
                <w:highlight w:val="none"/>
                <w:lang w:bidi="ar"/>
              </w:rPr>
              <w:t>工日</w:t>
            </w:r>
          </w:p>
        </w:tc>
      </w:tr>
      <w:tr w14:paraId="17823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3" w:hRule="atLeast"/>
          <w:jc w:val="center"/>
        </w:trPr>
        <w:tc>
          <w:tcPr>
            <w:tcW w:w="911" w:type="dxa"/>
            <w:tcMar>
              <w:top w:w="60" w:type="dxa"/>
              <w:left w:w="120" w:type="dxa"/>
              <w:bottom w:w="30" w:type="dxa"/>
              <w:right w:w="120" w:type="dxa"/>
            </w:tcMar>
            <w:vAlign w:val="center"/>
          </w:tcPr>
          <w:p w14:paraId="54F63337">
            <w:pPr>
              <w:keepNext w:val="0"/>
              <w:keepLines w:val="0"/>
              <w:pageBreakBefore w:val="0"/>
              <w:widowControl/>
              <w:kinsoku/>
              <w:wordWrap/>
              <w:overflowPunct/>
              <w:topLinePunct w:val="0"/>
              <w:autoSpaceDE/>
              <w:autoSpaceDN/>
              <w:bidi w:val="0"/>
              <w:adjustRightInd/>
              <w:snapToGrid/>
              <w:spacing w:before="120" w:after="120" w:line="240" w:lineRule="auto"/>
              <w:ind w:left="0"/>
              <w:jc w:val="center"/>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6</w:t>
            </w:r>
          </w:p>
        </w:tc>
        <w:tc>
          <w:tcPr>
            <w:tcW w:w="1741" w:type="dxa"/>
            <w:tcMar>
              <w:top w:w="60" w:type="dxa"/>
              <w:left w:w="120" w:type="dxa"/>
              <w:bottom w:w="30" w:type="dxa"/>
              <w:right w:w="120" w:type="dxa"/>
            </w:tcMar>
            <w:vAlign w:val="center"/>
          </w:tcPr>
          <w:p w14:paraId="778E5F4A">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管道非开挖修复</w:t>
            </w:r>
          </w:p>
        </w:tc>
        <w:tc>
          <w:tcPr>
            <w:tcW w:w="3019" w:type="dxa"/>
            <w:tcMar>
              <w:top w:w="60" w:type="dxa"/>
              <w:left w:w="120" w:type="dxa"/>
              <w:bottom w:w="30" w:type="dxa"/>
              <w:right w:w="120" w:type="dxa"/>
            </w:tcMar>
            <w:vAlign w:val="center"/>
          </w:tcPr>
          <w:p w14:paraId="18359553">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DN300-2000mm约0.5公里，含抽水、淤泥外运、人工、材料、机械等综合单价</w:t>
            </w:r>
          </w:p>
        </w:tc>
        <w:tc>
          <w:tcPr>
            <w:tcW w:w="3278" w:type="dxa"/>
            <w:tcMar>
              <w:top w:w="60" w:type="dxa"/>
              <w:left w:w="120" w:type="dxa"/>
              <w:bottom w:w="30" w:type="dxa"/>
              <w:right w:w="120" w:type="dxa"/>
            </w:tcMar>
            <w:vAlign w:val="center"/>
          </w:tcPr>
          <w:p w14:paraId="67B0B6A6">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规格(DN300)1200元/处，规格(DN400)1375元/处，</w:t>
            </w:r>
          </w:p>
          <w:p w14:paraId="72CB3BF4">
            <w:pPr>
              <w:widowControl w:val="0"/>
              <w:ind w:left="0" w:leftChars="0" w:firstLine="0" w:firstLineChars="0"/>
              <w:jc w:val="both"/>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规格(DN500)1480元/处，</w:t>
            </w:r>
          </w:p>
          <w:p w14:paraId="34C8284A">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规格(DN600)1600元/处，规格(DN800)1850元/处，规格(DN1000)2250元/处，规格(DN1200)2650元/处，规格(DN1500)3150元/处，规格(DN2000)3700元/处</w:t>
            </w:r>
          </w:p>
        </w:tc>
      </w:tr>
      <w:tr w14:paraId="5D6DA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49" w:hRule="atLeast"/>
          <w:jc w:val="center"/>
        </w:trPr>
        <w:tc>
          <w:tcPr>
            <w:tcW w:w="911" w:type="dxa"/>
            <w:tcMar>
              <w:top w:w="60" w:type="dxa"/>
              <w:left w:w="120" w:type="dxa"/>
              <w:bottom w:w="30" w:type="dxa"/>
              <w:right w:w="120" w:type="dxa"/>
            </w:tcMar>
            <w:vAlign w:val="center"/>
          </w:tcPr>
          <w:p w14:paraId="3EDDFE56">
            <w:pPr>
              <w:keepNext w:val="0"/>
              <w:keepLines w:val="0"/>
              <w:pageBreakBefore w:val="0"/>
              <w:widowControl/>
              <w:kinsoku/>
              <w:wordWrap/>
              <w:overflowPunct/>
              <w:topLinePunct w:val="0"/>
              <w:autoSpaceDE/>
              <w:autoSpaceDN/>
              <w:bidi w:val="0"/>
              <w:adjustRightInd/>
              <w:snapToGrid/>
              <w:spacing w:before="120" w:after="120" w:line="240" w:lineRule="auto"/>
              <w:ind w:left="0"/>
              <w:jc w:val="center"/>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7</w:t>
            </w:r>
          </w:p>
        </w:tc>
        <w:tc>
          <w:tcPr>
            <w:tcW w:w="1741" w:type="dxa"/>
            <w:tcMar>
              <w:top w:w="60" w:type="dxa"/>
              <w:left w:w="120" w:type="dxa"/>
              <w:bottom w:w="30" w:type="dxa"/>
              <w:right w:w="120" w:type="dxa"/>
            </w:tcMar>
            <w:vAlign w:val="center"/>
          </w:tcPr>
          <w:p w14:paraId="489B2054">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清理树根、障碍物等</w:t>
            </w:r>
          </w:p>
          <w:p w14:paraId="7A5004FE">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p>
        </w:tc>
        <w:tc>
          <w:tcPr>
            <w:tcW w:w="3019" w:type="dxa"/>
            <w:tcMar>
              <w:top w:w="60" w:type="dxa"/>
              <w:left w:w="120" w:type="dxa"/>
              <w:bottom w:w="30" w:type="dxa"/>
              <w:right w:w="120" w:type="dxa"/>
            </w:tcMar>
            <w:vAlign w:val="center"/>
          </w:tcPr>
          <w:p w14:paraId="7B92A219">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DN300-2000mm约1公里，含抽水、气囊、淤泥外运、人工、材料、机械等综合单价</w:t>
            </w:r>
          </w:p>
        </w:tc>
        <w:tc>
          <w:tcPr>
            <w:tcW w:w="3278" w:type="dxa"/>
            <w:tcMar>
              <w:top w:w="60" w:type="dxa"/>
              <w:left w:w="120" w:type="dxa"/>
              <w:bottom w:w="30" w:type="dxa"/>
              <w:right w:w="120" w:type="dxa"/>
            </w:tcMar>
            <w:vAlign w:val="center"/>
          </w:tcPr>
          <w:p w14:paraId="132F6309">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500元/处</w:t>
            </w:r>
          </w:p>
        </w:tc>
      </w:tr>
      <w:tr w14:paraId="2F231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06" w:hRule="atLeast"/>
          <w:jc w:val="center"/>
        </w:trPr>
        <w:tc>
          <w:tcPr>
            <w:tcW w:w="911" w:type="dxa"/>
            <w:vMerge w:val="restart"/>
            <w:tcMar>
              <w:top w:w="60" w:type="dxa"/>
              <w:left w:w="120" w:type="dxa"/>
              <w:bottom w:w="30" w:type="dxa"/>
              <w:right w:w="120" w:type="dxa"/>
            </w:tcMar>
            <w:vAlign w:val="center"/>
          </w:tcPr>
          <w:p w14:paraId="3E91F01F">
            <w:pPr>
              <w:keepNext w:val="0"/>
              <w:keepLines w:val="0"/>
              <w:pageBreakBefore w:val="0"/>
              <w:widowControl/>
              <w:kinsoku/>
              <w:wordWrap/>
              <w:overflowPunct/>
              <w:topLinePunct w:val="0"/>
              <w:autoSpaceDE/>
              <w:autoSpaceDN/>
              <w:bidi w:val="0"/>
              <w:adjustRightInd/>
              <w:snapToGrid/>
              <w:spacing w:before="120" w:after="120" w:line="240" w:lineRule="auto"/>
              <w:ind w:left="0" w:leftChars="0"/>
              <w:jc w:val="center"/>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8</w:t>
            </w:r>
          </w:p>
        </w:tc>
        <w:tc>
          <w:tcPr>
            <w:tcW w:w="1741" w:type="dxa"/>
            <w:tcMar>
              <w:top w:w="60" w:type="dxa"/>
              <w:left w:w="120" w:type="dxa"/>
              <w:bottom w:w="30" w:type="dxa"/>
              <w:right w:w="120" w:type="dxa"/>
            </w:tcMar>
            <w:vAlign w:val="center"/>
          </w:tcPr>
          <w:p w14:paraId="082AE27D">
            <w:pPr>
              <w:keepNext w:val="0"/>
              <w:keepLines w:val="0"/>
              <w:pageBreakBefore w:val="0"/>
              <w:widowControl/>
              <w:kinsoku/>
              <w:wordWrap/>
              <w:overflowPunct/>
              <w:topLinePunct w:val="0"/>
              <w:autoSpaceDE/>
              <w:autoSpaceDN/>
              <w:bidi w:val="0"/>
              <w:adjustRightInd/>
              <w:snapToGrid/>
              <w:spacing w:before="120" w:after="120" w:line="240" w:lineRule="auto"/>
              <w:ind w:left="0" w:leftChars="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道路路面管道开挖修复，缺陷修复，混错接整改</w:t>
            </w:r>
          </w:p>
        </w:tc>
        <w:tc>
          <w:tcPr>
            <w:tcW w:w="3019" w:type="dxa"/>
            <w:tcMar>
              <w:top w:w="60" w:type="dxa"/>
              <w:left w:w="120" w:type="dxa"/>
              <w:bottom w:w="30" w:type="dxa"/>
              <w:right w:w="120" w:type="dxa"/>
            </w:tcMar>
            <w:vAlign w:val="center"/>
          </w:tcPr>
          <w:p w14:paraId="1D62142E">
            <w:pPr>
              <w:keepNext w:val="0"/>
              <w:keepLines w:val="0"/>
              <w:pageBreakBefore w:val="0"/>
              <w:widowControl/>
              <w:kinsoku/>
              <w:wordWrap/>
              <w:overflowPunct/>
              <w:topLinePunct w:val="0"/>
              <w:autoSpaceDE/>
              <w:autoSpaceDN/>
              <w:bidi w:val="0"/>
              <w:adjustRightInd/>
              <w:snapToGrid/>
              <w:spacing w:before="120" w:after="120" w:line="240" w:lineRule="auto"/>
              <w:ind w:left="0" w:leftChars="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DN300-1500mm约1公里，</w:t>
            </w:r>
          </w:p>
        </w:tc>
        <w:tc>
          <w:tcPr>
            <w:tcW w:w="3278" w:type="dxa"/>
            <w:shd w:val="clear" w:color="auto" w:fill="auto"/>
            <w:tcMar>
              <w:top w:w="60" w:type="dxa"/>
              <w:left w:w="120" w:type="dxa"/>
              <w:bottom w:w="30" w:type="dxa"/>
              <w:right w:w="120" w:type="dxa"/>
            </w:tcMar>
            <w:vAlign w:val="center"/>
          </w:tcPr>
          <w:p w14:paraId="20AD6608">
            <w:pPr>
              <w:keepNext w:val="0"/>
              <w:keepLines w:val="0"/>
              <w:pageBreakBefore w:val="0"/>
              <w:widowControl/>
              <w:kinsoku/>
              <w:wordWrap/>
              <w:overflowPunct/>
              <w:topLinePunct w:val="0"/>
              <w:autoSpaceDE/>
              <w:autoSpaceDN/>
              <w:bidi w:val="0"/>
              <w:adjustRightInd/>
              <w:snapToGrid/>
              <w:spacing w:before="120" w:after="120" w:line="240" w:lineRule="auto"/>
              <w:ind w:left="0" w:leftChars="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规格(DN300-400)700元/米，规格(DN500-600)1055元/米，规格(DN800)1363元/米，规格(DN1000)1825元/米，规格(DN1200)3300元/米，规格(DN1500)4700元/米。</w:t>
            </w:r>
          </w:p>
        </w:tc>
      </w:tr>
      <w:tr w14:paraId="6785B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06" w:hRule="atLeast"/>
          <w:jc w:val="center"/>
        </w:trPr>
        <w:tc>
          <w:tcPr>
            <w:tcW w:w="911" w:type="dxa"/>
            <w:vMerge w:val="continue"/>
            <w:tcMar>
              <w:top w:w="60" w:type="dxa"/>
              <w:left w:w="120" w:type="dxa"/>
              <w:bottom w:w="30" w:type="dxa"/>
              <w:right w:w="120" w:type="dxa"/>
            </w:tcMar>
            <w:vAlign w:val="center"/>
          </w:tcPr>
          <w:p w14:paraId="7CD54EE7">
            <w:pPr>
              <w:keepNext w:val="0"/>
              <w:keepLines w:val="0"/>
              <w:pageBreakBefore w:val="0"/>
              <w:widowControl/>
              <w:kinsoku/>
              <w:wordWrap/>
              <w:overflowPunct/>
              <w:topLinePunct w:val="0"/>
              <w:autoSpaceDE/>
              <w:autoSpaceDN/>
              <w:bidi w:val="0"/>
              <w:adjustRightInd/>
              <w:snapToGrid/>
              <w:spacing w:before="120" w:after="120" w:line="240" w:lineRule="auto"/>
              <w:ind w:left="0" w:leftChars="0"/>
              <w:jc w:val="center"/>
              <w:textAlignment w:val="auto"/>
              <w:rPr>
                <w:rFonts w:hint="eastAsia" w:ascii="仿宋" w:hAnsi="仿宋" w:eastAsia="仿宋" w:cs="仿宋"/>
                <w:color w:val="auto"/>
                <w:sz w:val="24"/>
                <w:szCs w:val="24"/>
                <w:highlight w:val="none"/>
                <w:lang w:val="en-US" w:eastAsia="zh-CN"/>
              </w:rPr>
            </w:pPr>
          </w:p>
        </w:tc>
        <w:tc>
          <w:tcPr>
            <w:tcW w:w="1741" w:type="dxa"/>
            <w:tcMar>
              <w:top w:w="60" w:type="dxa"/>
              <w:left w:w="120" w:type="dxa"/>
              <w:bottom w:w="30" w:type="dxa"/>
              <w:right w:w="120" w:type="dxa"/>
            </w:tcMar>
            <w:vAlign w:val="center"/>
          </w:tcPr>
          <w:p w14:paraId="633BF41F">
            <w:pPr>
              <w:keepNext w:val="0"/>
              <w:keepLines w:val="0"/>
              <w:pageBreakBefore w:val="0"/>
              <w:widowControl/>
              <w:kinsoku/>
              <w:wordWrap/>
              <w:overflowPunct/>
              <w:topLinePunct w:val="0"/>
              <w:autoSpaceDE/>
              <w:autoSpaceDN/>
              <w:bidi w:val="0"/>
              <w:adjustRightInd/>
              <w:snapToGrid/>
              <w:spacing w:before="120" w:after="120" w:line="240" w:lineRule="auto"/>
              <w:ind w:left="0" w:leftChars="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绿化带管道开挖修复，缺陷修复，混错接整改</w:t>
            </w:r>
          </w:p>
        </w:tc>
        <w:tc>
          <w:tcPr>
            <w:tcW w:w="3019" w:type="dxa"/>
            <w:tcMar>
              <w:top w:w="60" w:type="dxa"/>
              <w:left w:w="120" w:type="dxa"/>
              <w:bottom w:w="30" w:type="dxa"/>
              <w:right w:w="120" w:type="dxa"/>
            </w:tcMar>
            <w:vAlign w:val="center"/>
          </w:tcPr>
          <w:p w14:paraId="7741097D">
            <w:pPr>
              <w:keepNext w:val="0"/>
              <w:keepLines w:val="0"/>
              <w:pageBreakBefore w:val="0"/>
              <w:widowControl/>
              <w:kinsoku/>
              <w:wordWrap/>
              <w:overflowPunct/>
              <w:topLinePunct w:val="0"/>
              <w:autoSpaceDE/>
              <w:autoSpaceDN/>
              <w:bidi w:val="0"/>
              <w:adjustRightInd/>
              <w:snapToGrid/>
              <w:spacing w:before="120" w:after="120" w:line="240" w:lineRule="auto"/>
              <w:ind w:left="0" w:leftChars="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DN300-1500mm约1公里，</w:t>
            </w:r>
          </w:p>
        </w:tc>
        <w:tc>
          <w:tcPr>
            <w:tcW w:w="3278" w:type="dxa"/>
            <w:shd w:val="clear" w:color="auto" w:fill="auto"/>
            <w:tcMar>
              <w:top w:w="60" w:type="dxa"/>
              <w:left w:w="120" w:type="dxa"/>
              <w:bottom w:w="30" w:type="dxa"/>
              <w:right w:w="120" w:type="dxa"/>
            </w:tcMar>
            <w:vAlign w:val="center"/>
          </w:tcPr>
          <w:p w14:paraId="1DCE4CFA">
            <w:pPr>
              <w:keepNext w:val="0"/>
              <w:keepLines w:val="0"/>
              <w:pageBreakBefore w:val="0"/>
              <w:widowControl/>
              <w:kinsoku/>
              <w:wordWrap/>
              <w:overflowPunct/>
              <w:topLinePunct w:val="0"/>
              <w:autoSpaceDE/>
              <w:autoSpaceDN/>
              <w:bidi w:val="0"/>
              <w:adjustRightInd/>
              <w:snapToGrid/>
              <w:spacing w:before="120" w:after="120" w:line="240" w:lineRule="auto"/>
              <w:ind w:left="0" w:leftChars="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规格(DN300-400)500元/米，规格(DN500-600)800元/米，规格(DN800)1100元/米，规格(DN1000)1600元/米，规格(DN1200）2800元/米，规格(DN1500)4200元/米。</w:t>
            </w:r>
          </w:p>
        </w:tc>
      </w:tr>
      <w:tr w14:paraId="35319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86" w:hRule="atLeast"/>
          <w:jc w:val="center"/>
        </w:trPr>
        <w:tc>
          <w:tcPr>
            <w:tcW w:w="911" w:type="dxa"/>
            <w:tcMar>
              <w:top w:w="60" w:type="dxa"/>
              <w:left w:w="120" w:type="dxa"/>
              <w:bottom w:w="30" w:type="dxa"/>
              <w:right w:w="120" w:type="dxa"/>
            </w:tcMar>
            <w:vAlign w:val="center"/>
          </w:tcPr>
          <w:p w14:paraId="4BD5ACC6">
            <w:pPr>
              <w:keepNext w:val="0"/>
              <w:keepLines w:val="0"/>
              <w:pageBreakBefore w:val="0"/>
              <w:widowControl/>
              <w:kinsoku/>
              <w:wordWrap/>
              <w:overflowPunct/>
              <w:topLinePunct w:val="0"/>
              <w:autoSpaceDE/>
              <w:autoSpaceDN/>
              <w:bidi w:val="0"/>
              <w:adjustRightInd/>
              <w:snapToGrid/>
              <w:spacing w:before="120" w:after="120" w:line="240" w:lineRule="auto"/>
              <w:ind w:left="0"/>
              <w:jc w:val="center"/>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9</w:t>
            </w:r>
          </w:p>
        </w:tc>
        <w:tc>
          <w:tcPr>
            <w:tcW w:w="1741" w:type="dxa"/>
            <w:tcMar>
              <w:top w:w="60" w:type="dxa"/>
              <w:left w:w="120" w:type="dxa"/>
              <w:bottom w:w="30" w:type="dxa"/>
              <w:right w:w="120" w:type="dxa"/>
            </w:tcMar>
            <w:vAlign w:val="center"/>
          </w:tcPr>
          <w:p w14:paraId="7737BC3D">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strike/>
                <w:dstrike w:val="0"/>
                <w:color w:val="auto"/>
                <w:sz w:val="24"/>
                <w:szCs w:val="24"/>
                <w:highlight w:val="none"/>
                <w:lang w:val="en-US" w:eastAsia="zh-CN"/>
              </w:rPr>
            </w:pPr>
            <w:r>
              <w:rPr>
                <w:rFonts w:hint="eastAsia" w:ascii="仿宋" w:hAnsi="仿宋" w:eastAsia="仿宋" w:cs="仿宋"/>
                <w:color w:val="auto"/>
                <w:kern w:val="0"/>
                <w:sz w:val="24"/>
                <w:szCs w:val="24"/>
                <w:highlight w:val="none"/>
                <w:lang w:bidi="ar"/>
              </w:rPr>
              <w:t>自拌混凝土</w:t>
            </w:r>
          </w:p>
        </w:tc>
        <w:tc>
          <w:tcPr>
            <w:tcW w:w="3019" w:type="dxa"/>
            <w:tcMar>
              <w:top w:w="60" w:type="dxa"/>
              <w:left w:w="120" w:type="dxa"/>
              <w:bottom w:w="30" w:type="dxa"/>
              <w:right w:w="120" w:type="dxa"/>
            </w:tcMar>
            <w:vAlign w:val="center"/>
          </w:tcPr>
          <w:p w14:paraId="52EA28EF">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strike/>
                <w:dstrike w:val="0"/>
                <w:color w:val="auto"/>
                <w:sz w:val="24"/>
                <w:szCs w:val="24"/>
                <w:highlight w:val="none"/>
                <w:lang w:val="en-US" w:eastAsia="zh-CN"/>
              </w:rPr>
            </w:pPr>
          </w:p>
        </w:tc>
        <w:tc>
          <w:tcPr>
            <w:tcW w:w="3278" w:type="dxa"/>
            <w:tcMar>
              <w:top w:w="60" w:type="dxa"/>
              <w:left w:w="120" w:type="dxa"/>
              <w:bottom w:w="30" w:type="dxa"/>
              <w:right w:w="120" w:type="dxa"/>
            </w:tcMar>
            <w:vAlign w:val="center"/>
          </w:tcPr>
          <w:p w14:paraId="2CD69B0A">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strike/>
                <w:dstrike w:val="0"/>
                <w:color w:val="auto"/>
                <w:sz w:val="24"/>
                <w:szCs w:val="24"/>
                <w:highlight w:val="none"/>
                <w:lang w:val="en-US" w:eastAsia="zh-CN"/>
              </w:rPr>
            </w:pPr>
            <w:r>
              <w:rPr>
                <w:rFonts w:hint="eastAsia" w:ascii="仿宋" w:hAnsi="仿宋" w:eastAsia="仿宋" w:cs="仿宋"/>
                <w:color w:val="auto"/>
                <w:sz w:val="24"/>
                <w:szCs w:val="24"/>
                <w:highlight w:val="none"/>
              </w:rPr>
              <w:t>366</w:t>
            </w:r>
            <w:r>
              <w:rPr>
                <w:rFonts w:hint="eastAsia" w:ascii="仿宋" w:hAnsi="仿宋" w:eastAsia="仿宋" w:cs="仿宋"/>
                <w:color w:val="auto"/>
                <w:sz w:val="24"/>
                <w:szCs w:val="24"/>
                <w:highlight w:val="none"/>
                <w:lang w:val="en-US" w:eastAsia="zh-CN"/>
              </w:rPr>
              <w:t>元/</w:t>
            </w:r>
            <w:r>
              <w:rPr>
                <w:rFonts w:hint="eastAsia" w:ascii="仿宋" w:hAnsi="仿宋" w:eastAsia="仿宋" w:cs="仿宋"/>
                <w:color w:val="auto"/>
                <w:kern w:val="0"/>
                <w:sz w:val="24"/>
                <w:szCs w:val="24"/>
                <w:highlight w:val="none"/>
                <w:lang w:bidi="ar"/>
              </w:rPr>
              <w:t>m3</w:t>
            </w:r>
          </w:p>
        </w:tc>
      </w:tr>
      <w:tr w14:paraId="254E0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90" w:hRule="atLeast"/>
          <w:jc w:val="center"/>
        </w:trPr>
        <w:tc>
          <w:tcPr>
            <w:tcW w:w="911" w:type="dxa"/>
            <w:tcMar>
              <w:top w:w="60" w:type="dxa"/>
              <w:left w:w="120" w:type="dxa"/>
              <w:bottom w:w="30" w:type="dxa"/>
              <w:right w:w="120" w:type="dxa"/>
            </w:tcMar>
            <w:vAlign w:val="center"/>
          </w:tcPr>
          <w:p w14:paraId="0AD217A9">
            <w:pPr>
              <w:keepNext w:val="0"/>
              <w:keepLines w:val="0"/>
              <w:pageBreakBefore w:val="0"/>
              <w:widowControl/>
              <w:kinsoku/>
              <w:wordWrap/>
              <w:overflowPunct/>
              <w:topLinePunct w:val="0"/>
              <w:autoSpaceDE/>
              <w:autoSpaceDN/>
              <w:bidi w:val="0"/>
              <w:adjustRightInd/>
              <w:snapToGrid/>
              <w:spacing w:before="120" w:after="120" w:line="240" w:lineRule="auto"/>
              <w:ind w:left="0"/>
              <w:jc w:val="center"/>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10</w:t>
            </w:r>
          </w:p>
        </w:tc>
        <w:tc>
          <w:tcPr>
            <w:tcW w:w="1741" w:type="dxa"/>
            <w:tcMar>
              <w:top w:w="60" w:type="dxa"/>
              <w:left w:w="120" w:type="dxa"/>
              <w:bottom w:w="30" w:type="dxa"/>
              <w:right w:w="120" w:type="dxa"/>
            </w:tcMar>
            <w:vAlign w:val="center"/>
          </w:tcPr>
          <w:p w14:paraId="441186B7">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砖砌检查井整治</w:t>
            </w:r>
          </w:p>
        </w:tc>
        <w:tc>
          <w:tcPr>
            <w:tcW w:w="3019" w:type="dxa"/>
            <w:tcMar>
              <w:top w:w="60" w:type="dxa"/>
              <w:left w:w="120" w:type="dxa"/>
              <w:bottom w:w="30" w:type="dxa"/>
              <w:right w:w="120" w:type="dxa"/>
            </w:tcMar>
            <w:vAlign w:val="center"/>
          </w:tcPr>
          <w:p w14:paraId="3658C1BC">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约30-50座</w:t>
            </w:r>
          </w:p>
        </w:tc>
        <w:tc>
          <w:tcPr>
            <w:tcW w:w="3278" w:type="dxa"/>
            <w:tcMar>
              <w:top w:w="60" w:type="dxa"/>
              <w:left w:w="120" w:type="dxa"/>
              <w:bottom w:w="30" w:type="dxa"/>
              <w:right w:w="120" w:type="dxa"/>
            </w:tcMar>
            <w:vAlign w:val="center"/>
          </w:tcPr>
          <w:p w14:paraId="48ED2262">
            <w:pPr>
              <w:keepNext w:val="0"/>
              <w:keepLines w:val="0"/>
              <w:pageBreakBefore w:val="0"/>
              <w:widowControl/>
              <w:kinsoku/>
              <w:wordWrap/>
              <w:overflowPunct/>
              <w:topLinePunct w:val="0"/>
              <w:autoSpaceDE/>
              <w:autoSpaceDN/>
              <w:bidi w:val="0"/>
              <w:adjustRightInd/>
              <w:snapToGrid/>
              <w:spacing w:before="120" w:after="120" w:line="240" w:lineRule="auto"/>
              <w:ind w:left="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2700元/座</w:t>
            </w:r>
          </w:p>
        </w:tc>
      </w:tr>
    </w:tbl>
    <w:p w14:paraId="26A3BCF8">
      <w:pPr>
        <w:adjustRightInd w:val="0"/>
        <w:snapToGrid w:val="0"/>
        <w:spacing w:line="500" w:lineRule="exact"/>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备注：</w:t>
      </w:r>
    </w:p>
    <w:p w14:paraId="61FC4088">
      <w:pPr>
        <w:adjustRightInd w:val="0"/>
        <w:snapToGrid w:val="0"/>
        <w:spacing w:line="500" w:lineRule="exact"/>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本政府采购项目采用折扣率报价方式，投标报价应当同时填写报价折扣率及固定报价总金额190万元。相关报价、结算及费用控制约定如下：</w:t>
      </w:r>
    </w:p>
    <w:p w14:paraId="132A8407">
      <w:pPr>
        <w:adjustRightInd w:val="0"/>
        <w:snapToGrid w:val="0"/>
        <w:spacing w:line="500" w:lineRule="exact"/>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①报价与结算方式。</w:t>
      </w:r>
      <w:r>
        <w:rPr>
          <w:rFonts w:hint="eastAsia" w:ascii="仿宋" w:hAnsi="仿宋" w:eastAsia="仿宋" w:cs="仿宋"/>
          <w:b w:val="0"/>
          <w:bCs w:val="0"/>
          <w:color w:val="auto"/>
          <w:sz w:val="28"/>
          <w:szCs w:val="28"/>
          <w:highlight w:val="none"/>
          <w:lang w:val="en-US" w:eastAsia="zh-CN"/>
        </w:rPr>
        <w:t>投标人须以折扣率形式进行报价，投标文件中所填报的报价折扣将统一适用于本项目清单全部内容。后续项目结算时，将以投标人所投报价折扣为基准，按“报价折扣×对应服务名称的单价限价”的计算方式，对每项服务内容据实核算结算金额。​</w:t>
      </w:r>
    </w:p>
    <w:p w14:paraId="5277860D">
      <w:pPr>
        <w:adjustRightInd w:val="0"/>
        <w:snapToGrid w:val="0"/>
        <w:spacing w:line="500" w:lineRule="exact"/>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②服务数量认定。</w:t>
      </w:r>
      <w:r>
        <w:rPr>
          <w:rFonts w:hint="eastAsia" w:ascii="仿宋" w:hAnsi="仿宋" w:eastAsia="仿宋" w:cs="仿宋"/>
          <w:b w:val="0"/>
          <w:bCs w:val="0"/>
          <w:color w:val="auto"/>
          <w:sz w:val="28"/>
          <w:szCs w:val="28"/>
          <w:highlight w:val="none"/>
          <w:lang w:val="en-US" w:eastAsia="zh-CN"/>
        </w:rPr>
        <w:t>本项目文件中所列的服务数量仅作为参考依据，服务期内各项服务的实际数量，均以服务过程中的真实发生情况为准，并据此进行费用核算。</w:t>
      </w:r>
    </w:p>
    <w:p w14:paraId="0253A49A">
      <w:pPr>
        <w:adjustRightInd w:val="0"/>
        <w:snapToGrid w:val="0"/>
        <w:spacing w:line="500" w:lineRule="exact"/>
        <w:rPr>
          <w:rFonts w:hint="eastAsia" w:ascii="仿宋" w:hAnsi="仿宋" w:eastAsia="仿宋" w:cs="仿宋"/>
          <w:b/>
          <w:bCs/>
          <w:color w:val="auto"/>
          <w:kern w:val="2"/>
          <w:sz w:val="28"/>
          <w:szCs w:val="28"/>
          <w:highlight w:val="none"/>
          <w:lang w:val="en-US" w:eastAsia="zh-CN" w:bidi="ar-SA"/>
        </w:rPr>
      </w:pPr>
      <w:r>
        <w:rPr>
          <w:rFonts w:hint="eastAsia" w:ascii="仿宋" w:hAnsi="仿宋" w:eastAsia="仿宋" w:cs="仿宋"/>
          <w:b/>
          <w:bCs/>
          <w:color w:val="auto"/>
          <w:sz w:val="28"/>
          <w:szCs w:val="28"/>
          <w:highlight w:val="none"/>
          <w:lang w:val="en-US" w:eastAsia="zh-CN"/>
        </w:rPr>
        <w:t>③费用上限约定。本项目采用单价折扣合同，</w:t>
      </w:r>
      <w:r>
        <w:rPr>
          <w:rFonts w:hint="eastAsia" w:ascii="仿宋" w:hAnsi="仿宋" w:eastAsia="仿宋" w:cs="仿宋"/>
          <w:b/>
          <w:bCs/>
          <w:color w:val="auto"/>
          <w:kern w:val="2"/>
          <w:sz w:val="28"/>
          <w:szCs w:val="28"/>
          <w:highlight w:val="none"/>
          <w:lang w:val="en-US" w:eastAsia="zh-CN" w:bidi="ar-SA"/>
        </w:rPr>
        <w:t>年度最高支付限额为</w:t>
      </w:r>
      <w:r>
        <w:rPr>
          <w:rFonts w:hint="eastAsia" w:ascii="仿宋" w:hAnsi="仿宋" w:eastAsia="仿宋" w:cs="仿宋"/>
          <w:b/>
          <w:bCs/>
          <w:color w:val="auto"/>
          <w:sz w:val="28"/>
          <w:szCs w:val="28"/>
          <w:highlight w:val="none"/>
          <w:lang w:val="en-US" w:eastAsia="zh-CN"/>
        </w:rPr>
        <w:t>190万元，</w:t>
      </w:r>
      <w:r>
        <w:rPr>
          <w:rFonts w:hint="eastAsia" w:ascii="仿宋" w:hAnsi="仿宋" w:eastAsia="仿宋" w:cs="仿宋"/>
          <w:b w:val="0"/>
          <w:bCs w:val="0"/>
          <w:color w:val="auto"/>
          <w:sz w:val="28"/>
          <w:szCs w:val="28"/>
          <w:highlight w:val="none"/>
          <w:lang w:val="en-US" w:eastAsia="zh-CN"/>
        </w:rPr>
        <w:t>累计结算金额达到年度封顶限额时，采购人停止新增服务派单及履约安排，已完成合格服务工作量据实结算，双方互不承担违约责任。</w:t>
      </w:r>
    </w:p>
    <w:p w14:paraId="13CF7480">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bCs/>
          <w:color w:val="auto"/>
          <w:kern w:val="2"/>
          <w:sz w:val="28"/>
          <w:szCs w:val="28"/>
          <w:highlight w:val="none"/>
          <w:lang w:val="en-US" w:eastAsia="zh-CN" w:bidi="ar-SA"/>
        </w:rPr>
      </w:pPr>
      <w:r>
        <w:rPr>
          <w:rFonts w:hint="eastAsia" w:ascii="仿宋" w:hAnsi="仿宋" w:eastAsia="仿宋" w:cs="仿宋"/>
          <w:b/>
          <w:bCs/>
          <w:color w:val="auto"/>
          <w:kern w:val="2"/>
          <w:sz w:val="28"/>
          <w:szCs w:val="28"/>
          <w:highlight w:val="none"/>
          <w:lang w:val="en-US" w:eastAsia="zh-CN" w:bidi="ar-SA"/>
        </w:rPr>
        <w:t>（三）工作任务</w:t>
      </w:r>
    </w:p>
    <w:p w14:paraId="072825D7">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1、精准排查</w:t>
      </w:r>
    </w:p>
    <w:p w14:paraId="1E9BDF49">
      <w:pPr>
        <w:keepNext w:val="0"/>
        <w:keepLines w:val="0"/>
        <w:pageBreakBefore w:val="0"/>
        <w:kinsoku/>
        <w:wordWrap/>
        <w:overflowPunct/>
        <w:topLinePunct w:val="0"/>
        <w:bidi w:val="0"/>
        <w:spacing w:line="480" w:lineRule="exact"/>
        <w:ind w:firstLine="560" w:firstLineChars="200"/>
        <w:textAlignment w:val="auto"/>
        <w:rPr>
          <w:rFonts w:hint="eastAsia" w:ascii="仿宋" w:hAnsi="仿宋" w:eastAsia="仿宋" w:cs="仿宋"/>
          <w:color w:val="auto"/>
          <w:sz w:val="28"/>
          <w:szCs w:val="28"/>
          <w:highlight w:val="none"/>
          <w:lang w:val="en-US" w:eastAsia="zh-CN"/>
        </w:rPr>
      </w:pPr>
      <w:r>
        <w:rPr>
          <w:rFonts w:hint="eastAsia" w:ascii="仿宋" w:hAnsi="仿宋" w:eastAsia="仿宋" w:cs="仿宋"/>
          <w:b w:val="0"/>
          <w:bCs w:val="0"/>
          <w:color w:val="auto"/>
          <w:kern w:val="2"/>
          <w:sz w:val="28"/>
          <w:szCs w:val="28"/>
          <w:highlight w:val="none"/>
          <w:lang w:val="en-US" w:eastAsia="zh-CN" w:bidi="ar-SA"/>
        </w:rPr>
        <w:t>（1）覆盖高新区主城区范围内，重点排查春龙大道、南源路、上新路等易积水路段，完成约15-20公里雨污水管网QV/CCTV检测、物探测量（</w:t>
      </w:r>
      <w:r>
        <w:rPr>
          <w:rFonts w:hint="eastAsia" w:ascii="宋体" w:hAnsi="宋体" w:eastAsia="宋体" w:cs="宋体"/>
          <w:color w:val="auto"/>
          <w:kern w:val="0"/>
          <w:sz w:val="24"/>
          <w:szCs w:val="24"/>
          <w:highlight w:val="none"/>
        </w:rPr>
        <w:t>检测包括疏通、封堵、排水、垃圾清运等</w:t>
      </w:r>
      <w:r>
        <w:rPr>
          <w:rFonts w:hint="eastAsia" w:ascii="仿宋" w:hAnsi="仿宋" w:eastAsia="仿宋" w:cs="仿宋"/>
          <w:b w:val="0"/>
          <w:bCs w:val="0"/>
          <w:color w:val="auto"/>
          <w:kern w:val="2"/>
          <w:sz w:val="28"/>
          <w:szCs w:val="28"/>
          <w:highlight w:val="none"/>
          <w:lang w:val="en-US" w:eastAsia="zh-CN" w:bidi="ar-SA"/>
        </w:rPr>
        <w:t>），建立含位置、高程、管径、材质、病害等级的三维管网台账。（</w:t>
      </w:r>
      <w:r>
        <w:rPr>
          <w:rFonts w:hint="eastAsia" w:ascii="仿宋" w:hAnsi="仿宋" w:eastAsia="仿宋" w:cs="仿宋"/>
          <w:color w:val="auto"/>
          <w:sz w:val="28"/>
          <w:szCs w:val="28"/>
          <w:highlight w:val="none"/>
          <w:lang w:val="en-US" w:eastAsia="zh-CN"/>
        </w:rPr>
        <w:t>1.地下管网的CCTV检测服务，包括：①查清地下管道（雨污水管网）的来源；②查清现状排水管内部状况（破裂、堵塞等）；③出具CCTV检测成果报告，成果报告包括项目评估报告和管线地形分布图（其中管线地形分布图上需注明相关管内口标高、污水井标高、管材、管径、流向、水管使用情况及问题情况，并对成果准度度承担相应责任）；以上CCTV检测成果报告以档案资料、电子文档形式一并提交给招标人。地下管网的检修服务，包括：①地下管道（雨污水管网）堵塞处的疏通；②地下管道（雨污水管网）破裂处的修复；③地下管道（雨污水管网）巡查及养护。）</w:t>
      </w:r>
    </w:p>
    <w:p w14:paraId="3C9CE7F9">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（2）排查我区排水单元接入市政管网接驳口约400个，梳理雨污混接、错接点位，形成问题清单。</w:t>
      </w:r>
    </w:p>
    <w:p w14:paraId="759D14E4">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（3）完成约15-20公里干渠水质问题溯源排查整治。</w:t>
      </w:r>
    </w:p>
    <w:p w14:paraId="31F9E5EB">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default"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（4）对管网进行GPS测点定位采集，形成RTK实测管线成果图，以档案资料、电子文档形式一并提交给采购人。</w:t>
      </w:r>
    </w:p>
    <w:p w14:paraId="759CC756">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2、管网清淤疏通</w:t>
      </w:r>
    </w:p>
    <w:p w14:paraId="6FE559F5">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（1）主次干管清淤：对DN300-2000mm主干管采用高压冲洗车+吸污车作业,彻底清除淤泥、砂石、漂浮物、清理物外运至指定消纳场;DN300-2000mm支管结合人工辅助清淤。计划完成约80-100公里。</w:t>
      </w:r>
    </w:p>
    <w:p w14:paraId="6F85F244">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2）排口与沟渠：完成约13个入河排口、6条约40公里主干泄洪渠清淤，确保汛期行泄能力。所有清挖产生的淤泥统一规范处置，密闭运输至指定消纳场，严禁随意乱倒乱放，全程做好淤泥转运台账并留存完整转运记录。</w:t>
      </w:r>
    </w:p>
    <w:p w14:paraId="67AE809E">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3、管道修复整治</w:t>
      </w:r>
    </w:p>
    <w:p w14:paraId="54D524BA">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（1）非开挖修复：对DN300-2000mm破损管网采用紫外光固化(UV-CIPP)、点状修复等工艺，减少路面开挖，计划完成约3公里。</w:t>
      </w:r>
    </w:p>
    <w:p w14:paraId="459F1FB5">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（2）开挖修复:对DN300-2000mm严重破损、错接口段，按规范开挖更换管道，同步修复路面，完成约1.5公里。</w:t>
      </w:r>
    </w:p>
    <w:p w14:paraId="6D5DE3FB">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（3）雨污分流整改：整治约15-20处雨污混接、错接点位，规范企业内部排水接驳，完善预处理设施。</w:t>
      </w:r>
    </w:p>
    <w:p w14:paraId="138C52DE">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default"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（4）质量要求：修复后不漏水；修复视频资料完整，录像清晰，并提供修复报告视频资料屏幕上录像时须标注路段管段及井内管径等数据资料。在作业结束后提供详细管网图和视频U盘。</w:t>
      </w:r>
    </w:p>
    <w:p w14:paraId="0639A58D">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4、附属设施</w:t>
      </w:r>
    </w:p>
    <w:p w14:paraId="14B2AF84">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（1）检查井整治：修复约30-50座破损检查井，完善防坠、防渗漏设施，清理井内杂物。</w:t>
      </w:r>
    </w:p>
    <w:p w14:paraId="5B7606EB">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（2）排口规范化：对约13个入河排口设置标识牌、截污装置，整改违规排放口。</w:t>
      </w:r>
    </w:p>
    <w:p w14:paraId="5B75685D">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bCs/>
          <w:color w:val="auto"/>
          <w:kern w:val="2"/>
          <w:sz w:val="28"/>
          <w:szCs w:val="28"/>
          <w:highlight w:val="none"/>
          <w:lang w:val="en-US" w:eastAsia="zh-CN" w:bidi="ar-SA"/>
        </w:rPr>
      </w:pPr>
      <w:r>
        <w:rPr>
          <w:rFonts w:hint="eastAsia" w:ascii="仿宋" w:hAnsi="仿宋" w:eastAsia="仿宋" w:cs="仿宋"/>
          <w:b/>
          <w:bCs/>
          <w:color w:val="auto"/>
          <w:kern w:val="2"/>
          <w:sz w:val="28"/>
          <w:szCs w:val="28"/>
          <w:highlight w:val="none"/>
          <w:lang w:val="en-US" w:eastAsia="zh-CN" w:bidi="ar-SA"/>
        </w:rPr>
        <w:t>（四）执行标准</w:t>
      </w:r>
    </w:p>
    <w:p w14:paraId="5C74E231">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 xml:space="preserve">1、《建筑与市政工程抗震通用规范》GB 55002-2021； </w:t>
      </w:r>
    </w:p>
    <w:p w14:paraId="4E1F9107">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 xml:space="preserve">2、《给水排水管道工程施工及验收规范》GB50268-2019； </w:t>
      </w:r>
    </w:p>
    <w:p w14:paraId="0188D9F2">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 xml:space="preserve">3、《污水排入城镇下水道水质标准》GB/T31962-2015； </w:t>
      </w:r>
    </w:p>
    <w:p w14:paraId="062504E6">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 xml:space="preserve">4、《室外给水排水及燃气热力工程抗震设计规范》GB 50032-2003； </w:t>
      </w:r>
    </w:p>
    <w:p w14:paraId="53631078">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 xml:space="preserve">5、《城乡排水工程项目规范》GB 55027-2022； </w:t>
      </w:r>
    </w:p>
    <w:p w14:paraId="6F7C76C4">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 xml:space="preserve">6、《建筑与市政工程抗震通用规范 GB 55002-2021； </w:t>
      </w:r>
    </w:p>
    <w:p w14:paraId="12A3688F">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 xml:space="preserve">7、《城镇排水管道检测与评估技术规程》CJJ 181-2012； </w:t>
      </w:r>
    </w:p>
    <w:p w14:paraId="5E5D8AAA">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 xml:space="preserve">8、《城镇排水管道非开挖修复更新工程技术规程》CJJT 210-2014； </w:t>
      </w:r>
    </w:p>
    <w:p w14:paraId="295D30EB">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 xml:space="preserve">9、《非开挖修复用塑料管道总则》GB-T37862-2019； </w:t>
      </w:r>
    </w:p>
    <w:p w14:paraId="50DF793A">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10、《城镇排水管道非开挖修复工程施工及验收规程》TCECS 717-2020；</w:t>
      </w:r>
    </w:p>
    <w:p w14:paraId="573CAEF2">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11、《城镇排水管渠与泵站运行、维护及安全技术规程》CJJ68-2016</w:t>
      </w:r>
    </w:p>
    <w:p w14:paraId="0AA48468">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12、《城乡排水工程项目规范》GB55027-2022</w:t>
      </w:r>
    </w:p>
    <w:p w14:paraId="51F84A71">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13、其他相关工程建设及设计质量法律、法规、政策、文件、规范规程和标准等。</w:t>
      </w:r>
    </w:p>
    <w:p w14:paraId="6E496BD2">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default" w:ascii="仿宋" w:hAnsi="仿宋" w:eastAsia="仿宋" w:cs="仿宋"/>
          <w:b/>
          <w:bCs/>
          <w:color w:val="auto"/>
          <w:kern w:val="2"/>
          <w:sz w:val="28"/>
          <w:szCs w:val="28"/>
          <w:highlight w:val="none"/>
          <w:lang w:val="en-US" w:eastAsia="zh-CN" w:bidi="ar-SA"/>
        </w:rPr>
      </w:pPr>
      <w:r>
        <w:rPr>
          <w:rFonts w:hint="default" w:ascii="仿宋" w:hAnsi="仿宋" w:eastAsia="仿宋" w:cs="仿宋"/>
          <w:b/>
          <w:bCs/>
          <w:color w:val="auto"/>
          <w:kern w:val="2"/>
          <w:sz w:val="28"/>
          <w:szCs w:val="28"/>
          <w:highlight w:val="none"/>
          <w:lang w:val="en-US" w:eastAsia="zh-CN" w:bidi="ar-SA"/>
        </w:rPr>
        <w:t>（</w:t>
      </w:r>
      <w:r>
        <w:rPr>
          <w:rFonts w:hint="eastAsia" w:ascii="仿宋" w:hAnsi="仿宋" w:eastAsia="仿宋" w:cs="仿宋"/>
          <w:b/>
          <w:bCs/>
          <w:color w:val="auto"/>
          <w:kern w:val="2"/>
          <w:sz w:val="28"/>
          <w:szCs w:val="28"/>
          <w:highlight w:val="none"/>
          <w:lang w:val="en-US" w:eastAsia="zh-CN" w:bidi="ar-SA"/>
        </w:rPr>
        <w:t>五</w:t>
      </w:r>
      <w:r>
        <w:rPr>
          <w:rFonts w:hint="default" w:ascii="仿宋" w:hAnsi="仿宋" w:eastAsia="仿宋" w:cs="仿宋"/>
          <w:b/>
          <w:bCs/>
          <w:color w:val="auto"/>
          <w:kern w:val="2"/>
          <w:sz w:val="28"/>
          <w:szCs w:val="28"/>
          <w:highlight w:val="none"/>
          <w:lang w:val="en-US" w:eastAsia="zh-CN" w:bidi="ar-SA"/>
        </w:rPr>
        <w:t>）</w:t>
      </w:r>
      <w:r>
        <w:rPr>
          <w:rFonts w:hint="eastAsia" w:ascii="仿宋" w:hAnsi="仿宋" w:eastAsia="仿宋" w:cs="仿宋"/>
          <w:b/>
          <w:bCs/>
          <w:color w:val="auto"/>
          <w:kern w:val="2"/>
          <w:sz w:val="28"/>
          <w:szCs w:val="28"/>
          <w:highlight w:val="none"/>
          <w:lang w:val="en-US" w:eastAsia="zh-CN" w:bidi="ar-SA"/>
        </w:rPr>
        <w:t>技术</w:t>
      </w:r>
      <w:r>
        <w:rPr>
          <w:rFonts w:hint="default" w:ascii="仿宋" w:hAnsi="仿宋" w:eastAsia="仿宋" w:cs="仿宋"/>
          <w:b/>
          <w:bCs/>
          <w:color w:val="auto"/>
          <w:kern w:val="2"/>
          <w:sz w:val="28"/>
          <w:szCs w:val="28"/>
          <w:highlight w:val="none"/>
          <w:lang w:val="en-US" w:eastAsia="zh-CN" w:bidi="ar-SA"/>
        </w:rPr>
        <w:t xml:space="preserve">人员、仪器设备配置要求 </w:t>
      </w:r>
    </w:p>
    <w:p w14:paraId="72254ED3">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default"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1</w:t>
      </w:r>
      <w:r>
        <w:rPr>
          <w:rFonts w:hint="default" w:ascii="仿宋" w:hAnsi="仿宋" w:eastAsia="仿宋" w:cs="仿宋"/>
          <w:b w:val="0"/>
          <w:bCs w:val="0"/>
          <w:color w:val="auto"/>
          <w:kern w:val="2"/>
          <w:sz w:val="28"/>
          <w:szCs w:val="28"/>
          <w:highlight w:val="none"/>
          <w:lang w:val="en-US" w:eastAsia="zh-CN" w:bidi="ar-SA"/>
        </w:rPr>
        <w:t xml:space="preserve">、人员要求 </w:t>
      </w:r>
    </w:p>
    <w:p w14:paraId="63B3C0EF">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default"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1</w:t>
      </w:r>
      <w:r>
        <w:rPr>
          <w:rFonts w:hint="default" w:ascii="仿宋" w:hAnsi="仿宋" w:eastAsia="仿宋" w:cs="仿宋"/>
          <w:b w:val="0"/>
          <w:bCs w:val="0"/>
          <w:color w:val="auto"/>
          <w:kern w:val="2"/>
          <w:sz w:val="28"/>
          <w:szCs w:val="28"/>
          <w:highlight w:val="none"/>
          <w:lang w:val="en-US" w:eastAsia="zh-CN" w:bidi="ar-SA"/>
        </w:rPr>
        <w:t xml:space="preserve">.1 投标人拟投入本项目的项目负责人 1 人。 </w:t>
      </w:r>
    </w:p>
    <w:p w14:paraId="28F7B57B">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default"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1</w:t>
      </w:r>
      <w:r>
        <w:rPr>
          <w:rFonts w:hint="default" w:ascii="仿宋" w:hAnsi="仿宋" w:eastAsia="仿宋" w:cs="仿宋"/>
          <w:b w:val="0"/>
          <w:bCs w:val="0"/>
          <w:color w:val="auto"/>
          <w:kern w:val="2"/>
          <w:sz w:val="28"/>
          <w:szCs w:val="28"/>
          <w:highlight w:val="none"/>
          <w:lang w:val="en-US" w:eastAsia="zh-CN" w:bidi="ar-SA"/>
        </w:rPr>
        <w:t xml:space="preserve">.2 投标人拟投入本项目的技术负责人 1 人。 </w:t>
      </w:r>
    </w:p>
    <w:p w14:paraId="2326B403">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default"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1</w:t>
      </w:r>
      <w:r>
        <w:rPr>
          <w:rFonts w:hint="default" w:ascii="仿宋" w:hAnsi="仿宋" w:eastAsia="仿宋" w:cs="仿宋"/>
          <w:b w:val="0"/>
          <w:bCs w:val="0"/>
          <w:color w:val="auto"/>
          <w:kern w:val="2"/>
          <w:sz w:val="28"/>
          <w:szCs w:val="28"/>
          <w:highlight w:val="none"/>
          <w:lang w:val="en-US" w:eastAsia="zh-CN" w:bidi="ar-SA"/>
        </w:rPr>
        <w:t xml:space="preserve">.3 投标人拟投入本项目的安全负责人 1 人。 </w:t>
      </w:r>
    </w:p>
    <w:p w14:paraId="3780D5AB">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default"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1</w:t>
      </w:r>
      <w:r>
        <w:rPr>
          <w:rFonts w:hint="default" w:ascii="仿宋" w:hAnsi="仿宋" w:eastAsia="仿宋" w:cs="仿宋"/>
          <w:b w:val="0"/>
          <w:bCs w:val="0"/>
          <w:color w:val="auto"/>
          <w:kern w:val="2"/>
          <w:sz w:val="28"/>
          <w:szCs w:val="28"/>
          <w:highlight w:val="none"/>
          <w:lang w:val="en-US" w:eastAsia="zh-CN" w:bidi="ar-SA"/>
        </w:rPr>
        <w:t xml:space="preserve">.4 投标人拟投入本项目的管道CCTV检测人员应当不少于 1 人。 </w:t>
      </w:r>
    </w:p>
    <w:p w14:paraId="4CA766A7">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default"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1</w:t>
      </w:r>
      <w:r>
        <w:rPr>
          <w:rFonts w:hint="default" w:ascii="仿宋" w:hAnsi="仿宋" w:eastAsia="仿宋" w:cs="仿宋"/>
          <w:b w:val="0"/>
          <w:bCs w:val="0"/>
          <w:color w:val="auto"/>
          <w:kern w:val="2"/>
          <w:sz w:val="28"/>
          <w:szCs w:val="28"/>
          <w:highlight w:val="none"/>
          <w:lang w:val="en-US" w:eastAsia="zh-CN" w:bidi="ar-SA"/>
        </w:rPr>
        <w:t>.5 投标人拟投入本项目的管道作业人员应当不少于 1 人。</w:t>
      </w:r>
    </w:p>
    <w:p w14:paraId="71AC03F5">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default"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1</w:t>
      </w:r>
      <w:r>
        <w:rPr>
          <w:rFonts w:hint="default" w:ascii="仿宋" w:hAnsi="仿宋" w:eastAsia="仿宋" w:cs="仿宋"/>
          <w:b w:val="0"/>
          <w:bCs w:val="0"/>
          <w:color w:val="auto"/>
          <w:kern w:val="2"/>
          <w:sz w:val="28"/>
          <w:szCs w:val="28"/>
          <w:highlight w:val="none"/>
          <w:lang w:val="en-US" w:eastAsia="zh-CN" w:bidi="ar-SA"/>
        </w:rPr>
        <w:t>.</w:t>
      </w:r>
      <w:r>
        <w:rPr>
          <w:rFonts w:hint="eastAsia" w:ascii="仿宋" w:hAnsi="仿宋" w:eastAsia="仿宋" w:cs="仿宋"/>
          <w:b w:val="0"/>
          <w:bCs w:val="0"/>
          <w:color w:val="auto"/>
          <w:kern w:val="2"/>
          <w:sz w:val="28"/>
          <w:szCs w:val="28"/>
          <w:highlight w:val="none"/>
          <w:lang w:val="en-US" w:eastAsia="zh-CN" w:bidi="ar-SA"/>
        </w:rPr>
        <w:t>6</w:t>
      </w:r>
      <w:r>
        <w:rPr>
          <w:rFonts w:hint="default" w:ascii="仿宋" w:hAnsi="仿宋" w:eastAsia="仿宋" w:cs="仿宋"/>
          <w:b w:val="0"/>
          <w:bCs w:val="0"/>
          <w:color w:val="auto"/>
          <w:kern w:val="2"/>
          <w:sz w:val="28"/>
          <w:szCs w:val="28"/>
          <w:highlight w:val="none"/>
          <w:lang w:val="en-US" w:eastAsia="zh-CN" w:bidi="ar-SA"/>
        </w:rPr>
        <w:t xml:space="preserve"> 投标人拟投入本项目的工程测量人员应当不少于 </w:t>
      </w:r>
      <w:r>
        <w:rPr>
          <w:rFonts w:hint="eastAsia" w:ascii="仿宋" w:hAnsi="仿宋" w:eastAsia="仿宋" w:cs="仿宋"/>
          <w:b w:val="0"/>
          <w:bCs w:val="0"/>
          <w:color w:val="auto"/>
          <w:kern w:val="2"/>
          <w:sz w:val="28"/>
          <w:szCs w:val="28"/>
          <w:highlight w:val="none"/>
          <w:lang w:val="en-US" w:eastAsia="zh-CN" w:bidi="ar-SA"/>
        </w:rPr>
        <w:t>1</w:t>
      </w:r>
      <w:r>
        <w:rPr>
          <w:rFonts w:hint="default" w:ascii="仿宋" w:hAnsi="仿宋" w:eastAsia="仿宋" w:cs="仿宋"/>
          <w:b w:val="0"/>
          <w:bCs w:val="0"/>
          <w:color w:val="auto"/>
          <w:kern w:val="2"/>
          <w:sz w:val="28"/>
          <w:szCs w:val="28"/>
          <w:highlight w:val="none"/>
          <w:lang w:val="en-US" w:eastAsia="zh-CN" w:bidi="ar-SA"/>
        </w:rPr>
        <w:t xml:space="preserve">人。 </w:t>
      </w:r>
    </w:p>
    <w:p w14:paraId="5ED3B34C">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default"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1</w:t>
      </w:r>
      <w:r>
        <w:rPr>
          <w:rFonts w:hint="default" w:ascii="仿宋" w:hAnsi="仿宋" w:eastAsia="仿宋" w:cs="仿宋"/>
          <w:b w:val="0"/>
          <w:bCs w:val="0"/>
          <w:color w:val="auto"/>
          <w:kern w:val="2"/>
          <w:sz w:val="28"/>
          <w:szCs w:val="28"/>
          <w:highlight w:val="none"/>
          <w:lang w:val="en-US" w:eastAsia="zh-CN" w:bidi="ar-SA"/>
        </w:rPr>
        <w:t>.</w:t>
      </w:r>
      <w:r>
        <w:rPr>
          <w:rFonts w:hint="eastAsia" w:ascii="仿宋" w:hAnsi="仿宋" w:eastAsia="仿宋" w:cs="仿宋"/>
          <w:b w:val="0"/>
          <w:bCs w:val="0"/>
          <w:color w:val="auto"/>
          <w:kern w:val="2"/>
          <w:sz w:val="28"/>
          <w:szCs w:val="28"/>
          <w:highlight w:val="none"/>
          <w:lang w:val="en-US" w:eastAsia="zh-CN" w:bidi="ar-SA"/>
        </w:rPr>
        <w:t>7</w:t>
      </w:r>
      <w:r>
        <w:rPr>
          <w:rFonts w:hint="default" w:ascii="仿宋" w:hAnsi="仿宋" w:eastAsia="仿宋" w:cs="仿宋"/>
          <w:b w:val="0"/>
          <w:bCs w:val="0"/>
          <w:color w:val="auto"/>
          <w:kern w:val="2"/>
          <w:sz w:val="28"/>
          <w:szCs w:val="28"/>
          <w:highlight w:val="none"/>
          <w:lang w:val="en-US" w:eastAsia="zh-CN" w:bidi="ar-SA"/>
        </w:rPr>
        <w:t xml:space="preserve"> 投标人拟投入本项目项目组全体成员必须为本单位在职员工且为项目实际实施人员，采购人有权进行核实，且未经采购人书面同意不得随意调换。</w:t>
      </w:r>
    </w:p>
    <w:p w14:paraId="710AC8F3">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default"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2</w:t>
      </w:r>
      <w:r>
        <w:rPr>
          <w:rFonts w:hint="default" w:ascii="仿宋" w:hAnsi="仿宋" w:eastAsia="仿宋" w:cs="仿宋"/>
          <w:b w:val="0"/>
          <w:bCs w:val="0"/>
          <w:color w:val="auto"/>
          <w:kern w:val="2"/>
          <w:sz w:val="28"/>
          <w:szCs w:val="28"/>
          <w:highlight w:val="none"/>
          <w:lang w:val="en-US" w:eastAsia="zh-CN" w:bidi="ar-SA"/>
        </w:rPr>
        <w:t xml:space="preserve">、仪器设备要求 </w:t>
      </w:r>
    </w:p>
    <w:p w14:paraId="6128E070">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default" w:ascii="仿宋" w:hAnsi="仿宋" w:eastAsia="仿宋" w:cs="仿宋"/>
          <w:b w:val="0"/>
          <w:bCs w:val="0"/>
          <w:color w:val="auto"/>
          <w:kern w:val="2"/>
          <w:sz w:val="28"/>
          <w:szCs w:val="28"/>
          <w:highlight w:val="none"/>
          <w:lang w:val="en-US" w:eastAsia="zh-CN" w:bidi="ar-SA"/>
        </w:rPr>
      </w:pPr>
      <w:r>
        <w:rPr>
          <w:rFonts w:hint="default" w:ascii="仿宋" w:hAnsi="仿宋" w:eastAsia="仿宋" w:cs="仿宋"/>
          <w:b w:val="0"/>
          <w:bCs w:val="0"/>
          <w:color w:val="auto"/>
          <w:kern w:val="2"/>
          <w:sz w:val="28"/>
          <w:szCs w:val="28"/>
          <w:highlight w:val="none"/>
          <w:lang w:val="en-US" w:eastAsia="zh-CN" w:bidi="ar-SA"/>
        </w:rPr>
        <w:t>本项目实施过程中所有仪器设备、车辆</w:t>
      </w:r>
      <w:r>
        <w:rPr>
          <w:rFonts w:hint="eastAsia" w:ascii="仿宋" w:hAnsi="仿宋" w:eastAsia="仿宋" w:cs="仿宋"/>
          <w:b w:val="0"/>
          <w:bCs w:val="0"/>
          <w:color w:val="auto"/>
          <w:kern w:val="2"/>
          <w:sz w:val="28"/>
          <w:szCs w:val="28"/>
          <w:highlight w:val="none"/>
          <w:lang w:val="en-US" w:eastAsia="zh-CN" w:bidi="ar-SA"/>
        </w:rPr>
        <w:t>等</w:t>
      </w:r>
      <w:r>
        <w:rPr>
          <w:rFonts w:hint="default" w:ascii="仿宋" w:hAnsi="仿宋" w:eastAsia="仿宋" w:cs="仿宋"/>
          <w:b w:val="0"/>
          <w:bCs w:val="0"/>
          <w:color w:val="auto"/>
          <w:kern w:val="2"/>
          <w:sz w:val="28"/>
          <w:szCs w:val="28"/>
          <w:highlight w:val="none"/>
          <w:lang w:val="en-US" w:eastAsia="zh-CN" w:bidi="ar-SA"/>
        </w:rPr>
        <w:t>均由中标人自行配置，确保本项目顺利实施。投标人拟投入本项目的仪器设备包含但不限于</w:t>
      </w:r>
      <w:r>
        <w:rPr>
          <w:rFonts w:hint="eastAsia" w:ascii="仿宋" w:hAnsi="仿宋" w:eastAsia="仿宋" w:cs="仿宋"/>
          <w:b w:val="0"/>
          <w:bCs w:val="0"/>
          <w:color w:val="auto"/>
          <w:kern w:val="2"/>
          <w:sz w:val="28"/>
          <w:szCs w:val="28"/>
          <w:highlight w:val="none"/>
          <w:lang w:val="en-US" w:eastAsia="zh-CN" w:bidi="ar-SA"/>
        </w:rPr>
        <w:t>：</w:t>
      </w:r>
      <w:r>
        <w:rPr>
          <w:rFonts w:hint="default" w:ascii="仿宋" w:hAnsi="仿宋" w:eastAsia="仿宋" w:cs="仿宋"/>
          <w:b w:val="0"/>
          <w:bCs w:val="0"/>
          <w:color w:val="auto"/>
          <w:kern w:val="2"/>
          <w:sz w:val="28"/>
          <w:szCs w:val="28"/>
          <w:highlight w:val="none"/>
          <w:lang w:val="en-US" w:eastAsia="zh-CN" w:bidi="ar-SA"/>
        </w:rPr>
        <w:t>管道机器人</w:t>
      </w:r>
      <w:r>
        <w:rPr>
          <w:rFonts w:hint="eastAsia" w:ascii="仿宋" w:hAnsi="仿宋" w:eastAsia="仿宋" w:cs="仿宋"/>
          <w:b w:val="0"/>
          <w:bCs w:val="0"/>
          <w:color w:val="auto"/>
          <w:kern w:val="2"/>
          <w:sz w:val="28"/>
          <w:szCs w:val="28"/>
          <w:highlight w:val="none"/>
          <w:lang w:val="en-US" w:eastAsia="zh-CN" w:bidi="ar-SA"/>
        </w:rPr>
        <w:t>、</w:t>
      </w:r>
      <w:r>
        <w:rPr>
          <w:rFonts w:hint="default" w:ascii="仿宋" w:hAnsi="仿宋" w:eastAsia="仿宋" w:cs="仿宋"/>
          <w:b w:val="0"/>
          <w:bCs w:val="0"/>
          <w:color w:val="auto"/>
          <w:kern w:val="2"/>
          <w:sz w:val="28"/>
          <w:szCs w:val="28"/>
          <w:highlight w:val="none"/>
          <w:lang w:val="en-US" w:eastAsia="zh-CN" w:bidi="ar-SA"/>
        </w:rPr>
        <w:t>管道潜望镜</w:t>
      </w:r>
      <w:r>
        <w:rPr>
          <w:rFonts w:hint="eastAsia" w:ascii="仿宋" w:hAnsi="仿宋" w:eastAsia="仿宋" w:cs="仿宋"/>
          <w:b w:val="0"/>
          <w:bCs w:val="0"/>
          <w:color w:val="auto"/>
          <w:kern w:val="2"/>
          <w:sz w:val="28"/>
          <w:szCs w:val="28"/>
          <w:highlight w:val="none"/>
          <w:lang w:val="en-US" w:eastAsia="zh-CN" w:bidi="ar-SA"/>
        </w:rPr>
        <w:t>、</w:t>
      </w:r>
      <w:r>
        <w:rPr>
          <w:rFonts w:hint="default" w:ascii="仿宋" w:hAnsi="仿宋" w:eastAsia="仿宋" w:cs="仿宋"/>
          <w:b w:val="0"/>
          <w:bCs w:val="0"/>
          <w:color w:val="auto"/>
          <w:kern w:val="2"/>
          <w:sz w:val="28"/>
          <w:szCs w:val="28"/>
          <w:highlight w:val="none"/>
          <w:lang w:val="en-US" w:eastAsia="zh-CN" w:bidi="ar-SA"/>
        </w:rPr>
        <w:t>GNSS接收机（GPS定位仪）</w:t>
      </w:r>
      <w:r>
        <w:rPr>
          <w:rFonts w:hint="eastAsia" w:ascii="仿宋" w:hAnsi="仿宋" w:eastAsia="仿宋" w:cs="仿宋"/>
          <w:b w:val="0"/>
          <w:bCs w:val="0"/>
          <w:color w:val="auto"/>
          <w:kern w:val="2"/>
          <w:sz w:val="28"/>
          <w:szCs w:val="28"/>
          <w:highlight w:val="none"/>
          <w:lang w:val="en-US" w:eastAsia="zh-CN" w:bidi="ar-SA"/>
        </w:rPr>
        <w:t>、</w:t>
      </w:r>
      <w:r>
        <w:rPr>
          <w:rFonts w:hint="default" w:ascii="仿宋" w:hAnsi="仿宋" w:eastAsia="仿宋" w:cs="仿宋"/>
          <w:b w:val="0"/>
          <w:bCs w:val="0"/>
          <w:color w:val="auto"/>
          <w:kern w:val="2"/>
          <w:sz w:val="28"/>
          <w:szCs w:val="28"/>
          <w:highlight w:val="none"/>
          <w:lang w:val="en-US" w:eastAsia="zh-CN" w:bidi="ar-SA"/>
        </w:rPr>
        <w:t>水准仪</w:t>
      </w:r>
      <w:r>
        <w:rPr>
          <w:rFonts w:hint="eastAsia" w:ascii="仿宋" w:hAnsi="仿宋" w:eastAsia="仿宋" w:cs="仿宋"/>
          <w:b w:val="0"/>
          <w:bCs w:val="0"/>
          <w:color w:val="auto"/>
          <w:kern w:val="2"/>
          <w:sz w:val="28"/>
          <w:szCs w:val="28"/>
          <w:highlight w:val="none"/>
          <w:lang w:val="en-US" w:eastAsia="zh-CN" w:bidi="ar-SA"/>
        </w:rPr>
        <w:t>、</w:t>
      </w:r>
      <w:r>
        <w:rPr>
          <w:rFonts w:hint="default" w:ascii="仿宋" w:hAnsi="仿宋" w:eastAsia="仿宋" w:cs="仿宋"/>
          <w:b w:val="0"/>
          <w:bCs w:val="0"/>
          <w:color w:val="auto"/>
          <w:kern w:val="2"/>
          <w:sz w:val="28"/>
          <w:szCs w:val="28"/>
          <w:highlight w:val="none"/>
          <w:lang w:val="en-US" w:eastAsia="zh-CN" w:bidi="ar-SA"/>
        </w:rPr>
        <w:t>修复气囊</w:t>
      </w:r>
      <w:r>
        <w:rPr>
          <w:rFonts w:hint="eastAsia" w:ascii="仿宋" w:hAnsi="仿宋" w:eastAsia="仿宋" w:cs="仿宋"/>
          <w:b w:val="0"/>
          <w:bCs w:val="0"/>
          <w:color w:val="auto"/>
          <w:kern w:val="2"/>
          <w:sz w:val="28"/>
          <w:szCs w:val="28"/>
          <w:highlight w:val="none"/>
          <w:lang w:val="en-US" w:eastAsia="zh-CN" w:bidi="ar-SA"/>
        </w:rPr>
        <w:t>、</w:t>
      </w:r>
      <w:r>
        <w:rPr>
          <w:rFonts w:hint="default" w:ascii="仿宋" w:hAnsi="仿宋" w:eastAsia="仿宋" w:cs="仿宋"/>
          <w:b w:val="0"/>
          <w:bCs w:val="0"/>
          <w:color w:val="auto"/>
          <w:kern w:val="2"/>
          <w:sz w:val="28"/>
          <w:szCs w:val="28"/>
          <w:highlight w:val="none"/>
          <w:lang w:val="en-US" w:eastAsia="zh-CN" w:bidi="ar-SA"/>
        </w:rPr>
        <w:t>清洗吸污车</w:t>
      </w:r>
      <w:r>
        <w:rPr>
          <w:rFonts w:hint="eastAsia" w:ascii="仿宋" w:hAnsi="仿宋" w:eastAsia="仿宋" w:cs="仿宋"/>
          <w:b w:val="0"/>
          <w:bCs w:val="0"/>
          <w:color w:val="auto"/>
          <w:kern w:val="2"/>
          <w:sz w:val="28"/>
          <w:szCs w:val="28"/>
          <w:highlight w:val="none"/>
          <w:lang w:val="en-US" w:eastAsia="zh-CN" w:bidi="ar-SA"/>
        </w:rPr>
        <w:t>、</w:t>
      </w:r>
      <w:r>
        <w:rPr>
          <w:rFonts w:hint="default" w:ascii="仿宋" w:hAnsi="仿宋" w:eastAsia="仿宋" w:cs="仿宋"/>
          <w:b w:val="0"/>
          <w:bCs w:val="0"/>
          <w:color w:val="auto"/>
          <w:kern w:val="2"/>
          <w:sz w:val="28"/>
          <w:szCs w:val="28"/>
          <w:highlight w:val="none"/>
          <w:lang w:val="en-US" w:eastAsia="zh-CN" w:bidi="ar-SA"/>
        </w:rPr>
        <w:t>自卸汽车</w:t>
      </w:r>
      <w:r>
        <w:rPr>
          <w:rFonts w:hint="eastAsia" w:ascii="仿宋" w:hAnsi="仿宋" w:eastAsia="仿宋" w:cs="仿宋"/>
          <w:b w:val="0"/>
          <w:bCs w:val="0"/>
          <w:color w:val="auto"/>
          <w:kern w:val="2"/>
          <w:sz w:val="28"/>
          <w:szCs w:val="28"/>
          <w:highlight w:val="none"/>
          <w:lang w:val="en-US" w:eastAsia="zh-CN" w:bidi="ar-SA"/>
        </w:rPr>
        <w:t>、</w:t>
      </w:r>
      <w:r>
        <w:rPr>
          <w:rFonts w:hint="default" w:ascii="仿宋" w:hAnsi="仿宋" w:eastAsia="仿宋" w:cs="仿宋"/>
          <w:b w:val="0"/>
          <w:bCs w:val="0"/>
          <w:color w:val="auto"/>
          <w:kern w:val="2"/>
          <w:sz w:val="28"/>
          <w:szCs w:val="28"/>
          <w:highlight w:val="none"/>
          <w:lang w:val="en-US" w:eastAsia="zh-CN" w:bidi="ar-SA"/>
        </w:rPr>
        <w:t>挖掘机</w:t>
      </w:r>
      <w:r>
        <w:rPr>
          <w:rFonts w:hint="eastAsia" w:ascii="仿宋" w:hAnsi="仿宋" w:eastAsia="仿宋" w:cs="仿宋"/>
          <w:b w:val="0"/>
          <w:bCs w:val="0"/>
          <w:color w:val="auto"/>
          <w:kern w:val="2"/>
          <w:sz w:val="28"/>
          <w:szCs w:val="28"/>
          <w:highlight w:val="none"/>
          <w:lang w:val="en-US" w:eastAsia="zh-CN" w:bidi="ar-SA"/>
        </w:rPr>
        <w:t>等</w:t>
      </w:r>
      <w:r>
        <w:rPr>
          <w:rFonts w:hint="default" w:ascii="仿宋" w:hAnsi="仿宋" w:eastAsia="仿宋" w:cs="仿宋"/>
          <w:b w:val="0"/>
          <w:bCs w:val="0"/>
          <w:color w:val="auto"/>
          <w:kern w:val="2"/>
          <w:sz w:val="28"/>
          <w:szCs w:val="28"/>
          <w:highlight w:val="none"/>
          <w:lang w:val="en-US" w:eastAsia="zh-CN" w:bidi="ar-SA"/>
        </w:rPr>
        <w:t>。</w:t>
      </w:r>
    </w:p>
    <w:p w14:paraId="10E2017F">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default" w:ascii="仿宋" w:hAnsi="仿宋" w:eastAsia="仿宋" w:cs="仿宋"/>
          <w:b/>
          <w:bCs/>
          <w:color w:val="auto"/>
          <w:kern w:val="2"/>
          <w:sz w:val="28"/>
          <w:szCs w:val="28"/>
          <w:highlight w:val="none"/>
          <w:lang w:val="en-US" w:eastAsia="zh-CN" w:bidi="ar-SA"/>
        </w:rPr>
      </w:pPr>
      <w:r>
        <w:rPr>
          <w:rFonts w:hint="eastAsia" w:ascii="仿宋" w:hAnsi="仿宋" w:eastAsia="仿宋" w:cs="仿宋"/>
          <w:b/>
          <w:bCs/>
          <w:color w:val="auto"/>
          <w:kern w:val="2"/>
          <w:sz w:val="28"/>
          <w:szCs w:val="28"/>
          <w:highlight w:val="none"/>
          <w:lang w:val="en-US" w:eastAsia="zh-CN" w:bidi="ar-SA"/>
        </w:rPr>
        <w:t>（六）排水管网养护技术要求</w:t>
      </w:r>
    </w:p>
    <w:p w14:paraId="49601850">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default"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一）主要工作内容</w:t>
      </w:r>
    </w:p>
    <w:p w14:paraId="197D2195">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default" w:ascii="仿宋" w:hAnsi="仿宋" w:eastAsia="仿宋" w:cs="仿宋"/>
          <w:b w:val="0"/>
          <w:bCs w:val="0"/>
          <w:color w:val="auto"/>
          <w:kern w:val="2"/>
          <w:sz w:val="28"/>
          <w:szCs w:val="28"/>
          <w:highlight w:val="none"/>
          <w:lang w:val="en-US" w:eastAsia="zh-CN" w:bidi="ar-SA"/>
        </w:rPr>
      </w:pPr>
      <w:bookmarkStart w:id="3" w:name="OLE_LINK3"/>
      <w:r>
        <w:rPr>
          <w:rFonts w:hint="eastAsia" w:ascii="仿宋" w:hAnsi="仿宋" w:eastAsia="仿宋" w:cs="仿宋"/>
          <w:b w:val="0"/>
          <w:bCs w:val="0"/>
          <w:color w:val="auto"/>
          <w:kern w:val="2"/>
          <w:sz w:val="28"/>
          <w:szCs w:val="28"/>
          <w:highlight w:val="none"/>
          <w:lang w:val="en-US" w:eastAsia="zh-CN" w:bidi="ar-SA"/>
        </w:rPr>
        <w:t>1、污水管网养护工作：</w:t>
      </w:r>
    </w:p>
    <w:p w14:paraId="707E1DDA">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default"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对辖区内的污水主支管按照标准进行全面管理和维护，全面排查污水管网功能性和结构性状况，查清错接、混接、阻塞和渗漏等问题，台账按要求上报。</w:t>
      </w:r>
    </w:p>
    <w:p w14:paraId="314C3466">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default"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建立巡查制度及时发现区域内污水设施施工破坏、私接管、污水外溢、破损、河道排口非雨出流等情况并根据要求做好巡查记录台账按要求上报。</w:t>
      </w:r>
    </w:p>
    <w:p w14:paraId="5382FECD">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default"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2、污水管网及附属设施维修工作。</w:t>
      </w:r>
    </w:p>
    <w:bookmarkEnd w:id="3"/>
    <w:p w14:paraId="3BF25B7C">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二）工作要求</w:t>
      </w:r>
    </w:p>
    <w:p w14:paraId="5BAC702C">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1、污水管网养护工作要求：</w:t>
      </w:r>
    </w:p>
    <w:p w14:paraId="015836CF">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（1）按照相关规定的养护要求和考核标准进行养护。</w:t>
      </w:r>
    </w:p>
    <w:p w14:paraId="303B491D">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（2）投标单位对片区内的污水主支管按照标准进行全面管理和养护。</w:t>
      </w:r>
    </w:p>
    <w:p w14:paraId="6D70B3ED">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年度养护频率不低于1次，高压清洗疏通养护率100%上述内容均根据招标人要求进行实施。</w:t>
      </w:r>
    </w:p>
    <w:p w14:paraId="17B38100">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保证管道畅通、不满溢；积泥不超标、保障设施完好；接户管的疏通、清淤等。必须对养护区域内排水设施渗漏损坏及雨污互通点进行详细调查登记报处汇总，养护过程需全程摄像并提交招标人。</w:t>
      </w:r>
    </w:p>
    <w:p w14:paraId="5C689C76">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3）投标单位应按照国家有关标准等技术要求对养护及调查管线开展测绘工作，测绘数据应采用CGCS2000国家大地坐标系和1985国家高程基准。排水口的测绘应包括：排水口类型、位置、标高、尺寸和水流情况。排水管网测绘应包括：管道属性（雨水、污水、或合流）平面位置、走向、连接关系、管径、材质，地面高程、管内底高程、管道水位，检查井坐标，井底高程初步判断雨污混接情况，并在管网图上标注明确。</w:t>
      </w:r>
    </w:p>
    <w:p w14:paraId="3447554D">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（4）养护作业范围内涉及排水户或需对排水户进行调查的需建立排水户调查档案。</w:t>
      </w:r>
    </w:p>
    <w:p w14:paraId="2FA03D2C">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ascii="宋体" w:hAnsi="宋体" w:eastAsia="宋体" w:cs="宋体"/>
          <w:color w:val="auto"/>
          <w:sz w:val="24"/>
          <w:szCs w:val="24"/>
          <w:highlight w:val="none"/>
        </w:rPr>
      </w:pPr>
      <w:r>
        <w:rPr>
          <w:rFonts w:hint="eastAsia" w:ascii="仿宋" w:hAnsi="仿宋" w:eastAsia="仿宋" w:cs="仿宋"/>
          <w:b w:val="0"/>
          <w:bCs w:val="0"/>
          <w:color w:val="auto"/>
          <w:kern w:val="2"/>
          <w:sz w:val="28"/>
          <w:szCs w:val="28"/>
          <w:highlight w:val="none"/>
          <w:lang w:val="en-US" w:eastAsia="zh-CN" w:bidi="ar-SA"/>
        </w:rPr>
        <w:t>排水户调查根据居民小区、施工工地、公共建筑、单位庭院、工业企业、“小散乱”、垃圾中转站、等不同类别分别进行排查登记。</w:t>
      </w:r>
    </w:p>
    <w:p w14:paraId="31577E6D">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（5）投标单位在开展管网结构性功能性检测需严格按照《城镇排水管网检测和评估技术规程》（CJJ181)的要求执行，并根据招标人要求提供相应报告。</w:t>
      </w:r>
    </w:p>
    <w:p w14:paraId="0499F358">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（6）投标单位在开展管网养护过程中需配合招标人按要求做好窨井管理，对各井进行登记。</w:t>
      </w:r>
    </w:p>
    <w:p w14:paraId="21191EFC">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7）根据养护区域，科学合理进行网格化划分配备足够人员并建立巡视制度。养护辖区内每周巡视不少于1次。发现问题记录并及时报招标人。投标单位应根据实际情况合理安排人员确保巡视到位，并配合做好养护区域内的水质采样工作。内容主要为雨污水窨井和管道是否有损坏、漫溢现象；雨水井是否有污水流入，是否有雨污混接、私接乱排等现象，包括接户管及小区内部公共管网是否淤积等，及时做好记录并书面报招标人；同时协助做好管网排查工作。发现污、雨水井盖（含防坠落设施）丢失、损坏，应及时补缺更换（井盖及防坠落设施由招标人提供）。养护区域如有在建工地（老新村改造、街巷改造、其他管线施工、建筑工地等），应加强巡视，必要时采取旁站形式，阻止垃圾落入窨井，制止有损排水管道、窨井等行为；巡查台账需详尽。</w:t>
      </w:r>
    </w:p>
    <w:p w14:paraId="5BC65CDF">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2、污水管网及附属设施维修工作要求：</w:t>
      </w:r>
    </w:p>
    <w:p w14:paraId="63E5C11C">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 xml:space="preserve">清淤（潜水封堵和拆除、潜水员下池清淤、淤泥外运等）、布设临时排水设施、管道及附属设施维修等，具体详见维修清单。 </w:t>
      </w:r>
    </w:p>
    <w:p w14:paraId="002E30CF">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三）人员及公示要求</w:t>
      </w:r>
      <w:r>
        <w:rPr>
          <w:rFonts w:hint="eastAsia" w:ascii="仿宋" w:hAnsi="仿宋" w:eastAsia="仿宋" w:cs="仿宋"/>
          <w:b w:val="0"/>
          <w:bCs w:val="0"/>
          <w:color w:val="auto"/>
          <w:kern w:val="2"/>
          <w:sz w:val="28"/>
          <w:szCs w:val="28"/>
          <w:highlight w:val="none"/>
          <w:lang w:val="en-US" w:eastAsia="zh-CN" w:bidi="ar-SA"/>
        </w:rPr>
        <w:br w:type="textWrapping"/>
      </w:r>
      <w:r>
        <w:rPr>
          <w:rFonts w:hint="eastAsia" w:ascii="仿宋" w:hAnsi="仿宋" w:eastAsia="仿宋" w:cs="仿宋"/>
          <w:b w:val="0"/>
          <w:bCs w:val="0"/>
          <w:color w:val="auto"/>
          <w:kern w:val="2"/>
          <w:sz w:val="28"/>
          <w:szCs w:val="28"/>
          <w:highlight w:val="none"/>
          <w:lang w:val="en-US" w:eastAsia="zh-CN" w:bidi="ar-SA"/>
        </w:rPr>
        <w:tab/>
      </w:r>
      <w:r>
        <w:rPr>
          <w:rFonts w:hint="eastAsia" w:ascii="仿宋" w:hAnsi="仿宋" w:eastAsia="仿宋" w:cs="仿宋"/>
          <w:b w:val="0"/>
          <w:bCs w:val="0"/>
          <w:color w:val="auto"/>
          <w:kern w:val="2"/>
          <w:sz w:val="28"/>
          <w:szCs w:val="28"/>
          <w:highlight w:val="none"/>
          <w:lang w:val="en-US" w:eastAsia="zh-CN" w:bidi="ar-SA"/>
        </w:rPr>
        <w:t>1、检查人员要求身体健康，适合从事外勤工作。</w:t>
      </w:r>
      <w:r>
        <w:rPr>
          <w:rFonts w:hint="eastAsia" w:ascii="仿宋" w:hAnsi="仿宋" w:eastAsia="仿宋" w:cs="仿宋"/>
          <w:b w:val="0"/>
          <w:bCs w:val="0"/>
          <w:color w:val="auto"/>
          <w:kern w:val="2"/>
          <w:sz w:val="28"/>
          <w:szCs w:val="28"/>
          <w:highlight w:val="none"/>
          <w:lang w:val="en-US" w:eastAsia="zh-CN" w:bidi="ar-SA"/>
        </w:rPr>
        <w:br w:type="textWrapping"/>
      </w:r>
      <w:r>
        <w:rPr>
          <w:rFonts w:hint="eastAsia" w:ascii="仿宋" w:hAnsi="仿宋" w:eastAsia="仿宋" w:cs="仿宋"/>
          <w:b w:val="0"/>
          <w:bCs w:val="0"/>
          <w:color w:val="auto"/>
          <w:kern w:val="2"/>
          <w:sz w:val="28"/>
          <w:szCs w:val="28"/>
          <w:highlight w:val="none"/>
          <w:lang w:val="en-US" w:eastAsia="zh-CN" w:bidi="ar-SA"/>
        </w:rPr>
        <w:tab/>
      </w:r>
      <w:r>
        <w:rPr>
          <w:rFonts w:hint="eastAsia" w:ascii="仿宋" w:hAnsi="仿宋" w:eastAsia="仿宋" w:cs="仿宋"/>
          <w:b w:val="0"/>
          <w:bCs w:val="0"/>
          <w:color w:val="auto"/>
          <w:kern w:val="2"/>
          <w:sz w:val="28"/>
          <w:szCs w:val="28"/>
          <w:highlight w:val="none"/>
          <w:lang w:val="en-US" w:eastAsia="zh-CN" w:bidi="ar-SA"/>
        </w:rPr>
        <w:t>2、项目负责人具有良好的沟通协调能力、处理问题能力；项目负责人作为与招标人的联络人，必须具体参与日常普查管理、现场投诉处理及回复，实时了解项目进展情况。接到投诉第一时间赶赴现场（白天必须在1小时内，夜间在2小时内），并安排人员处理问题。并将投诉处理情况在招标人要求时限内反馈给投诉人和招标人。中标单位项目负责人不得私自更换，如中途确需更换的提前十天报招标人同意，否则终止合同，所有损失由中标单位承担。技术人员、辅助工人若干，根据项目具体进度配备。</w:t>
      </w:r>
    </w:p>
    <w:p w14:paraId="07131C51">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3、不得以任何形式将本项目分包、转包给其他单位和个人，发现查实者一律终止合同，所有损失由中标单位承担。</w:t>
      </w:r>
      <w:r>
        <w:rPr>
          <w:rFonts w:hint="eastAsia" w:ascii="仿宋" w:hAnsi="仿宋" w:eastAsia="仿宋" w:cs="仿宋"/>
          <w:b w:val="0"/>
          <w:bCs w:val="0"/>
          <w:color w:val="auto"/>
          <w:kern w:val="2"/>
          <w:sz w:val="28"/>
          <w:szCs w:val="28"/>
          <w:highlight w:val="none"/>
          <w:lang w:val="en-US" w:eastAsia="zh-CN" w:bidi="ar-SA"/>
        </w:rPr>
        <w:br w:type="textWrapping"/>
      </w:r>
      <w:r>
        <w:rPr>
          <w:rFonts w:hint="eastAsia" w:ascii="仿宋" w:hAnsi="仿宋" w:eastAsia="仿宋" w:cs="仿宋"/>
          <w:b w:val="0"/>
          <w:bCs w:val="0"/>
          <w:color w:val="auto"/>
          <w:kern w:val="2"/>
          <w:sz w:val="28"/>
          <w:szCs w:val="28"/>
          <w:highlight w:val="none"/>
          <w:lang w:val="en-US" w:eastAsia="zh-CN" w:bidi="ar-SA"/>
        </w:rPr>
        <w:tab/>
      </w:r>
      <w:r>
        <w:rPr>
          <w:rFonts w:hint="eastAsia" w:ascii="仿宋" w:hAnsi="仿宋" w:eastAsia="仿宋" w:cs="仿宋"/>
          <w:b w:val="0"/>
          <w:bCs w:val="0"/>
          <w:color w:val="auto"/>
          <w:kern w:val="2"/>
          <w:sz w:val="28"/>
          <w:szCs w:val="28"/>
          <w:highlight w:val="none"/>
          <w:lang w:val="en-US" w:eastAsia="zh-CN" w:bidi="ar-SA"/>
        </w:rPr>
        <w:t>4、工作人员按招标人要求统一着装，文明作业，接受建议和投诉，不得同检查对象争吵。</w:t>
      </w:r>
    </w:p>
    <w:p w14:paraId="0331FBDD">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5、建立公示制度。养护单位应主动联系辖区街道、社区，将养护单位情况进行公示，同所在街道、社区保持良好关系，及时解决街道、社区反映的排水问题。</w:t>
      </w:r>
      <w:r>
        <w:rPr>
          <w:rFonts w:hint="eastAsia" w:ascii="宋体" w:hAnsi="宋体" w:eastAsia="宋体" w:cs="宋体"/>
          <w:color w:val="auto"/>
          <w:sz w:val="24"/>
          <w:szCs w:val="24"/>
          <w:highlight w:val="none"/>
        </w:rPr>
        <w:br w:type="textWrapping"/>
      </w:r>
      <w:r>
        <w:rPr>
          <w:rFonts w:hint="eastAsia" w:ascii="仿宋" w:hAnsi="仿宋" w:eastAsia="仿宋" w:cs="仿宋"/>
          <w:b w:val="0"/>
          <w:bCs w:val="0"/>
          <w:color w:val="auto"/>
          <w:kern w:val="2"/>
          <w:sz w:val="28"/>
          <w:szCs w:val="28"/>
          <w:highlight w:val="none"/>
          <w:lang w:val="en-US" w:eastAsia="zh-CN" w:bidi="ar-SA"/>
        </w:rPr>
        <w:t xml:space="preserve">  四）成果台账要求</w:t>
      </w:r>
    </w:p>
    <w:p w14:paraId="2F980420">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1、绘制所辖范围内污水管网系统现状图纸。</w:t>
      </w:r>
    </w:p>
    <w:p w14:paraId="75E308B5">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2、按要求提供养护材料，检测报告，巡查报告、周报、月报等资料。</w:t>
      </w:r>
    </w:p>
    <w:p w14:paraId="21D203D6">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3、登记完成排水区内污水接纳现状信息。</w:t>
      </w:r>
    </w:p>
    <w:p w14:paraId="10E9FACB">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4、登记完成排水户普查信息。</w:t>
      </w:r>
    </w:p>
    <w:p w14:paraId="7B46ED3F">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5、登记完成排水区建筑物排水普查信息。</w:t>
      </w:r>
    </w:p>
    <w:p w14:paraId="6B08903B">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6、登记完成排水普查GIS信息采集。</w:t>
      </w:r>
    </w:p>
    <w:p w14:paraId="42921B7F">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7、排查成果文字总结。简要总结市政污水管道状况（结构性及功能性情况），排水区内排查成果和结论，重点排水户接纳及排水许可证办理情况。</w:t>
      </w:r>
    </w:p>
    <w:p w14:paraId="26FD4646">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五）安全与卫生要求</w:t>
      </w:r>
    </w:p>
    <w:p w14:paraId="5D7DBB60">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1、严格遵守《排水管道维护安全技术规程》（CJJ6-2009）的规定，保障排水管道养护人员的作业安全和身体健康。</w:t>
      </w:r>
    </w:p>
    <w:p w14:paraId="3B8A4ACF">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2、中标单位应有相关安全措施，按招标人要求统一配备养护人员安全防护装置（安全帽、安全标示、反光装置、护栏等），负责养护人员人身安全。</w:t>
      </w:r>
    </w:p>
    <w:p w14:paraId="4364C77B">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3、中标单位应对招标人委托养护的排水管道、窨井等排水设施安全负责，在养护辖区内因现场巡查、养护等工作不到位（如窨井盖缺失、未安装平整、地面油污）引起的第三方人员伤亡、财产损失等应由中标单位负责。</w:t>
      </w:r>
    </w:p>
    <w:p w14:paraId="0C45A330">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4、清挖出的垃圾必须及时运离现场，不得遗留在工作现场，并清洁周边环境卫生。垃圾必须妥善处理，并做好垃圾处置台账。</w:t>
      </w:r>
    </w:p>
    <w:p w14:paraId="5BAFB716">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六）综合说明及其他要求</w:t>
      </w:r>
    </w:p>
    <w:p w14:paraId="7F0F9BE2">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1、投标单位对辖区范围内污水主支管和周围环境应自行组织现场勘察，费用由投标单位自行承担；</w:t>
      </w:r>
    </w:p>
    <w:p w14:paraId="14DC2597">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2、投标单位对招标人提供的招标文件和勘察现场及所提供的现场资料和数据所做出的推论、解释和结论，以及由此所造成的后果，招标人概不负责。</w:t>
      </w:r>
    </w:p>
    <w:p w14:paraId="5C9AC854">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3、中标单位需严格按招标人规定的时间完成项目的各项工作内容，如在实施的过程中出现错误，误差，需负责及时更正直至招标人确认合格，中标单位在项目进行过程中产生的任何安全、损坏等责任事故一律由中标单位自行承担。</w:t>
      </w:r>
    </w:p>
    <w:p w14:paraId="39041A61">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4、如遇突发情况，中标单位需协助招标人完成需要中标单位配合的服务。</w:t>
      </w:r>
    </w:p>
    <w:p w14:paraId="3459065F">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5、投标报价一次报定，包括完成本次服务项目所需的劳务费、垃圾处理费、管道养护材料费、管理、保险、利润、税金及合同包含的所有风险、责任等等服务期间所发生的一切费用。</w:t>
      </w:r>
    </w:p>
    <w:p w14:paraId="565642DA">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6、投标单位的项目负责人作为与招标人的联络人，必须具体负责养护管理，实时了解养护进展情况，养护期间中途不得更换；项目负责人必须为养护单位正式职工。</w:t>
      </w:r>
    </w:p>
    <w:p w14:paraId="4577E245">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bCs/>
          <w:color w:val="auto"/>
          <w:kern w:val="2"/>
          <w:sz w:val="28"/>
          <w:szCs w:val="28"/>
          <w:highlight w:val="none"/>
          <w:lang w:val="en-US" w:eastAsia="zh-CN" w:bidi="ar-SA"/>
        </w:rPr>
      </w:pPr>
    </w:p>
    <w:p w14:paraId="051C3D04">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bCs/>
          <w:color w:val="auto"/>
          <w:kern w:val="2"/>
          <w:sz w:val="28"/>
          <w:szCs w:val="28"/>
          <w:highlight w:val="none"/>
          <w:lang w:val="en-US" w:eastAsia="zh-CN" w:bidi="ar-SA"/>
        </w:rPr>
      </w:pPr>
    </w:p>
    <w:p w14:paraId="21A177AB">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bCs/>
          <w:color w:val="auto"/>
          <w:kern w:val="2"/>
          <w:sz w:val="28"/>
          <w:szCs w:val="28"/>
          <w:highlight w:val="none"/>
          <w:lang w:val="en-US" w:eastAsia="zh-CN" w:bidi="ar-SA"/>
        </w:rPr>
      </w:pPr>
    </w:p>
    <w:p w14:paraId="11BE0BB2">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bCs/>
          <w:color w:val="auto"/>
          <w:kern w:val="2"/>
          <w:sz w:val="28"/>
          <w:szCs w:val="28"/>
          <w:highlight w:val="none"/>
          <w:lang w:val="en-US" w:eastAsia="zh-CN" w:bidi="ar-SA"/>
        </w:rPr>
      </w:pPr>
    </w:p>
    <w:p w14:paraId="0D409E94">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bCs/>
          <w:color w:val="auto"/>
          <w:kern w:val="2"/>
          <w:sz w:val="28"/>
          <w:szCs w:val="28"/>
          <w:highlight w:val="none"/>
          <w:lang w:val="en-US" w:eastAsia="zh-CN" w:bidi="ar-SA"/>
        </w:rPr>
      </w:pPr>
    </w:p>
    <w:p w14:paraId="310B2817">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bCs/>
          <w:color w:val="auto"/>
          <w:kern w:val="2"/>
          <w:sz w:val="28"/>
          <w:szCs w:val="28"/>
          <w:highlight w:val="none"/>
          <w:lang w:val="en-US" w:eastAsia="zh-CN" w:bidi="ar-SA"/>
        </w:rPr>
      </w:pPr>
    </w:p>
    <w:p w14:paraId="72C4D2C8">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bCs/>
          <w:color w:val="auto"/>
          <w:kern w:val="2"/>
          <w:sz w:val="28"/>
          <w:szCs w:val="28"/>
          <w:highlight w:val="none"/>
          <w:lang w:val="en-US" w:eastAsia="zh-CN" w:bidi="ar-SA"/>
        </w:rPr>
      </w:pPr>
    </w:p>
    <w:p w14:paraId="34EFFF6B">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bCs/>
          <w:color w:val="auto"/>
          <w:kern w:val="2"/>
          <w:sz w:val="28"/>
          <w:szCs w:val="28"/>
          <w:highlight w:val="none"/>
          <w:lang w:val="en-US" w:eastAsia="zh-CN" w:bidi="ar-SA"/>
        </w:rPr>
      </w:pPr>
    </w:p>
    <w:p w14:paraId="55174385">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bCs/>
          <w:color w:val="auto"/>
          <w:kern w:val="2"/>
          <w:sz w:val="28"/>
          <w:szCs w:val="28"/>
          <w:highlight w:val="none"/>
          <w:lang w:val="en-US" w:eastAsia="zh-CN" w:bidi="ar-SA"/>
        </w:rPr>
      </w:pPr>
    </w:p>
    <w:p w14:paraId="5AD97C99">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bCs/>
          <w:color w:val="auto"/>
          <w:kern w:val="2"/>
          <w:sz w:val="28"/>
          <w:szCs w:val="28"/>
          <w:highlight w:val="none"/>
          <w:lang w:val="en-US" w:eastAsia="zh-CN" w:bidi="ar-SA"/>
        </w:rPr>
      </w:pPr>
    </w:p>
    <w:p w14:paraId="58B2763E">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bCs/>
          <w:color w:val="auto"/>
          <w:kern w:val="2"/>
          <w:sz w:val="28"/>
          <w:szCs w:val="28"/>
          <w:highlight w:val="none"/>
          <w:lang w:val="en-US" w:eastAsia="zh-CN" w:bidi="ar-SA"/>
        </w:rPr>
      </w:pPr>
    </w:p>
    <w:p w14:paraId="494CBF16">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bCs/>
          <w:color w:val="auto"/>
          <w:kern w:val="2"/>
          <w:sz w:val="28"/>
          <w:szCs w:val="28"/>
          <w:highlight w:val="none"/>
          <w:lang w:val="en-US" w:eastAsia="zh-CN" w:bidi="ar-SA"/>
        </w:rPr>
      </w:pPr>
    </w:p>
    <w:p w14:paraId="57D9A58B">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bCs/>
          <w:color w:val="auto"/>
          <w:kern w:val="2"/>
          <w:sz w:val="28"/>
          <w:szCs w:val="28"/>
          <w:highlight w:val="none"/>
          <w:lang w:val="en-US" w:eastAsia="zh-CN" w:bidi="ar-SA"/>
        </w:rPr>
      </w:pPr>
    </w:p>
    <w:p w14:paraId="1A238F4E">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bCs/>
          <w:color w:val="auto"/>
          <w:kern w:val="2"/>
          <w:sz w:val="28"/>
          <w:szCs w:val="28"/>
          <w:highlight w:val="none"/>
          <w:lang w:val="en-US" w:eastAsia="zh-CN" w:bidi="ar-SA"/>
        </w:rPr>
      </w:pPr>
    </w:p>
    <w:p w14:paraId="6F4AACE8">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bCs/>
          <w:color w:val="auto"/>
          <w:kern w:val="2"/>
          <w:sz w:val="28"/>
          <w:szCs w:val="28"/>
          <w:highlight w:val="none"/>
          <w:lang w:val="en-US" w:eastAsia="zh-CN" w:bidi="ar-SA"/>
        </w:rPr>
      </w:pPr>
    </w:p>
    <w:p w14:paraId="42C13040">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bCs/>
          <w:color w:val="auto"/>
          <w:kern w:val="2"/>
          <w:sz w:val="28"/>
          <w:szCs w:val="28"/>
          <w:highlight w:val="none"/>
          <w:lang w:val="en-US" w:eastAsia="zh-CN" w:bidi="ar-SA"/>
        </w:rPr>
      </w:pPr>
    </w:p>
    <w:p w14:paraId="50ED3EC9">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bCs/>
          <w:color w:val="auto"/>
          <w:kern w:val="2"/>
          <w:sz w:val="28"/>
          <w:szCs w:val="28"/>
          <w:highlight w:val="none"/>
          <w:lang w:val="en-US" w:eastAsia="zh-CN" w:bidi="ar-SA"/>
        </w:rPr>
      </w:pPr>
    </w:p>
    <w:p w14:paraId="15743DFB">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bCs/>
          <w:color w:val="auto"/>
          <w:kern w:val="2"/>
          <w:sz w:val="28"/>
          <w:szCs w:val="28"/>
          <w:highlight w:val="none"/>
          <w:lang w:val="en-US" w:eastAsia="zh-CN" w:bidi="ar-SA"/>
        </w:rPr>
      </w:pPr>
    </w:p>
    <w:p w14:paraId="6467E145">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bCs/>
          <w:color w:val="auto"/>
          <w:kern w:val="2"/>
          <w:sz w:val="28"/>
          <w:szCs w:val="28"/>
          <w:highlight w:val="none"/>
          <w:lang w:val="en-US" w:eastAsia="zh-CN" w:bidi="ar-SA"/>
        </w:rPr>
      </w:pPr>
    </w:p>
    <w:p w14:paraId="4545CFED">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bCs/>
          <w:color w:val="auto"/>
          <w:kern w:val="2"/>
          <w:sz w:val="28"/>
          <w:szCs w:val="28"/>
          <w:highlight w:val="none"/>
          <w:lang w:val="en-US" w:eastAsia="zh-CN" w:bidi="ar-SA"/>
        </w:rPr>
      </w:pPr>
    </w:p>
    <w:p w14:paraId="68158979">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bCs/>
          <w:color w:val="auto"/>
          <w:kern w:val="2"/>
          <w:sz w:val="28"/>
          <w:szCs w:val="28"/>
          <w:highlight w:val="none"/>
          <w:lang w:val="en-US" w:eastAsia="zh-CN" w:bidi="ar-SA"/>
        </w:rPr>
      </w:pPr>
    </w:p>
    <w:p w14:paraId="5180F7DF">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bCs/>
          <w:snapToGrid w:val="0"/>
          <w:color w:val="auto"/>
          <w:kern w:val="0"/>
          <w:sz w:val="28"/>
          <w:szCs w:val="28"/>
          <w:highlight w:val="none"/>
          <w:lang w:val="en-US" w:eastAsia="zh-CN"/>
        </w:rPr>
      </w:pPr>
      <w:r>
        <w:rPr>
          <w:rFonts w:hint="eastAsia" w:ascii="仿宋" w:hAnsi="仿宋" w:eastAsia="仿宋" w:cs="仿宋"/>
          <w:b/>
          <w:bCs/>
          <w:color w:val="auto"/>
          <w:kern w:val="2"/>
          <w:sz w:val="28"/>
          <w:szCs w:val="28"/>
          <w:highlight w:val="none"/>
          <w:lang w:val="en-US" w:eastAsia="zh-CN" w:bidi="ar-SA"/>
        </w:rPr>
        <w:t>二、</w:t>
      </w:r>
      <w:r>
        <w:rPr>
          <w:rFonts w:hint="eastAsia" w:ascii="仿宋" w:hAnsi="仿宋" w:eastAsia="仿宋" w:cs="仿宋"/>
          <w:b/>
          <w:bCs/>
          <w:snapToGrid w:val="0"/>
          <w:color w:val="auto"/>
          <w:kern w:val="0"/>
          <w:sz w:val="28"/>
          <w:szCs w:val="28"/>
          <w:highlight w:val="none"/>
          <w:lang w:val="en-US" w:eastAsia="zh-CN"/>
        </w:rPr>
        <w:t>商务条件</w:t>
      </w:r>
      <w:bookmarkEnd w:id="2"/>
    </w:p>
    <w:p w14:paraId="4615F57C">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exact"/>
        <w:ind w:firstLine="562" w:firstLineChars="200"/>
        <w:jc w:val="left"/>
        <w:textAlignment w:val="baseline"/>
        <w:rPr>
          <w:rFonts w:hint="eastAsia" w:ascii="仿宋" w:hAnsi="仿宋" w:eastAsia="仿宋" w:cs="仿宋"/>
          <w:snapToGrid w:val="0"/>
          <w:color w:val="auto"/>
          <w:kern w:val="0"/>
          <w:sz w:val="28"/>
          <w:szCs w:val="28"/>
          <w:highlight w:val="none"/>
          <w:lang w:val="zh-CN" w:eastAsia="en-US" w:bidi="zh-CN"/>
        </w:rPr>
      </w:pPr>
      <w:r>
        <w:rPr>
          <w:rFonts w:hint="eastAsia" w:ascii="仿宋" w:hAnsi="仿宋" w:eastAsia="仿宋" w:cs="仿宋"/>
          <w:b/>
          <w:bCs/>
          <w:snapToGrid w:val="0"/>
          <w:color w:val="auto"/>
          <w:kern w:val="0"/>
          <w:sz w:val="28"/>
          <w:szCs w:val="28"/>
          <w:highlight w:val="none"/>
          <w:lang w:val="en-US" w:eastAsia="zh-CN"/>
        </w:rPr>
        <w:t>1.</w:t>
      </w:r>
      <w:r>
        <w:rPr>
          <w:rFonts w:hint="eastAsia" w:ascii="仿宋" w:hAnsi="仿宋" w:eastAsia="仿宋" w:cs="仿宋"/>
          <w:b/>
          <w:bCs/>
          <w:snapToGrid w:val="0"/>
          <w:color w:val="auto"/>
          <w:kern w:val="0"/>
          <w:sz w:val="28"/>
          <w:szCs w:val="28"/>
          <w:highlight w:val="none"/>
          <w:lang w:val="zh-CN" w:eastAsia="zh-CN"/>
        </w:rPr>
        <w:t>履行地点</w:t>
      </w:r>
      <w:r>
        <w:rPr>
          <w:rFonts w:hint="eastAsia" w:ascii="仿宋" w:hAnsi="仿宋" w:eastAsia="仿宋" w:cs="仿宋"/>
          <w:snapToGrid w:val="0"/>
          <w:color w:val="auto"/>
          <w:kern w:val="0"/>
          <w:sz w:val="28"/>
          <w:szCs w:val="28"/>
          <w:highlight w:val="none"/>
          <w:lang w:val="zh-CN" w:eastAsia="en-US" w:bidi="zh-CN"/>
        </w:rPr>
        <w:t>：</w:t>
      </w:r>
      <w:r>
        <w:rPr>
          <w:rFonts w:hint="eastAsia" w:ascii="仿宋" w:hAnsi="仿宋" w:eastAsia="仿宋" w:cs="仿宋"/>
          <w:snapToGrid w:val="0"/>
          <w:color w:val="auto"/>
          <w:kern w:val="0"/>
          <w:sz w:val="28"/>
          <w:szCs w:val="28"/>
          <w:highlight w:val="none"/>
          <w:lang w:val="en-US" w:eastAsia="en-US" w:bidi="zh-CN"/>
        </w:rPr>
        <w:t>新余高新技术产业开发区综合行政执法大队</w:t>
      </w:r>
      <w:r>
        <w:rPr>
          <w:rFonts w:hint="eastAsia" w:ascii="仿宋" w:hAnsi="仿宋" w:eastAsia="仿宋" w:cs="仿宋"/>
          <w:snapToGrid w:val="0"/>
          <w:color w:val="auto"/>
          <w:kern w:val="0"/>
          <w:sz w:val="28"/>
          <w:szCs w:val="28"/>
          <w:highlight w:val="none"/>
          <w:lang w:val="zh-CN" w:eastAsia="en-US" w:bidi="zh-CN"/>
        </w:rPr>
        <w:t>指定地点。</w:t>
      </w:r>
    </w:p>
    <w:p w14:paraId="47EEACC7">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exact"/>
        <w:ind w:firstLine="562" w:firstLineChars="200"/>
        <w:jc w:val="left"/>
        <w:textAlignment w:val="baseline"/>
        <w:rPr>
          <w:rFonts w:hint="default" w:ascii="仿宋" w:hAnsi="仿宋" w:eastAsia="仿宋" w:cs="仿宋"/>
          <w:snapToGrid w:val="0"/>
          <w:color w:val="auto"/>
          <w:kern w:val="0"/>
          <w:sz w:val="28"/>
          <w:szCs w:val="28"/>
          <w:highlight w:val="none"/>
          <w:lang w:val="en-US" w:eastAsia="en-US" w:bidi="zh-CN"/>
        </w:rPr>
      </w:pPr>
      <w:r>
        <w:rPr>
          <w:rFonts w:hint="eastAsia" w:ascii="仿宋" w:hAnsi="仿宋" w:eastAsia="仿宋" w:cs="仿宋"/>
          <w:b/>
          <w:bCs/>
          <w:snapToGrid w:val="0"/>
          <w:color w:val="auto"/>
          <w:kern w:val="0"/>
          <w:sz w:val="28"/>
          <w:szCs w:val="28"/>
          <w:highlight w:val="none"/>
          <w:lang w:val="en-US" w:eastAsia="zh-CN"/>
        </w:rPr>
        <w:t>2.</w:t>
      </w:r>
      <w:r>
        <w:rPr>
          <w:rFonts w:hint="eastAsia" w:ascii="仿宋" w:hAnsi="仿宋" w:eastAsia="仿宋" w:cs="仿宋"/>
          <w:b/>
          <w:bCs/>
          <w:snapToGrid w:val="0"/>
          <w:color w:val="auto"/>
          <w:kern w:val="0"/>
          <w:sz w:val="28"/>
          <w:szCs w:val="28"/>
          <w:highlight w:val="none"/>
          <w:lang w:val="zh-CN" w:eastAsia="zh-CN"/>
        </w:rPr>
        <w:t>服务期限：</w:t>
      </w:r>
      <w:r>
        <w:rPr>
          <w:rFonts w:hint="eastAsia" w:ascii="仿宋" w:hAnsi="仿宋" w:eastAsia="仿宋" w:cs="仿宋"/>
          <w:snapToGrid w:val="0"/>
          <w:color w:val="auto"/>
          <w:kern w:val="0"/>
          <w:sz w:val="28"/>
          <w:szCs w:val="28"/>
          <w:highlight w:val="none"/>
          <w:lang w:val="zh-CN" w:eastAsia="en-US" w:bidi="zh-CN"/>
        </w:rPr>
        <w:t>自合同签订生效之日起1年。（</w:t>
      </w:r>
      <w:r>
        <w:rPr>
          <w:rFonts w:hint="eastAsia" w:ascii="仿宋" w:hAnsi="仿宋" w:eastAsia="仿宋" w:cs="仿宋"/>
          <w:snapToGrid w:val="0"/>
          <w:color w:val="auto"/>
          <w:kern w:val="0"/>
          <w:sz w:val="28"/>
          <w:szCs w:val="28"/>
          <w:highlight w:val="none"/>
          <w:lang w:val="en-US" w:eastAsia="en-US" w:bidi="zh-CN"/>
        </w:rPr>
        <w:t>注：本项目采用单价折扣合同，年度最高支付限额为190万元，累计结算金额达到年度封顶限额时，采购人停止新增服务派单及履约安排，已完成合格服务工作量据实结算，双方互不承担违约责任。）</w:t>
      </w:r>
    </w:p>
    <w:p w14:paraId="189039A1">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bCs/>
          <w:color w:val="auto"/>
          <w:kern w:val="2"/>
          <w:sz w:val="28"/>
          <w:szCs w:val="28"/>
          <w:highlight w:val="none"/>
          <w:lang w:val="en-US" w:eastAsia="zh-CN" w:bidi="ar-SA"/>
        </w:rPr>
        <w:t>3.</w:t>
      </w:r>
      <w:r>
        <w:rPr>
          <w:rFonts w:hint="eastAsia" w:ascii="仿宋" w:hAnsi="仿宋" w:eastAsia="仿宋" w:cs="仿宋"/>
          <w:b/>
          <w:bCs/>
          <w:color w:val="auto"/>
          <w:kern w:val="2"/>
          <w:sz w:val="28"/>
          <w:szCs w:val="28"/>
          <w:highlight w:val="none"/>
          <w:lang w:val="zh-CN" w:eastAsia="zh-CN" w:bidi="ar-SA"/>
        </w:rPr>
        <w:t>付款方式：</w:t>
      </w:r>
      <w:r>
        <w:rPr>
          <w:rFonts w:hint="eastAsia" w:ascii="仿宋" w:hAnsi="仿宋" w:eastAsia="仿宋" w:cs="仿宋"/>
          <w:b w:val="0"/>
          <w:bCs w:val="0"/>
          <w:color w:val="auto"/>
          <w:kern w:val="2"/>
          <w:sz w:val="28"/>
          <w:szCs w:val="28"/>
          <w:highlight w:val="none"/>
          <w:lang w:val="en-US" w:eastAsia="zh-CN" w:bidi="ar-SA"/>
        </w:rPr>
        <w:t>每六个月</w:t>
      </w:r>
      <w:r>
        <w:rPr>
          <w:rFonts w:hint="eastAsia" w:ascii="仿宋" w:hAnsi="仿宋" w:eastAsia="仿宋" w:cs="仿宋"/>
          <w:iCs/>
          <w:color w:val="auto"/>
          <w:sz w:val="28"/>
          <w:szCs w:val="28"/>
          <w:highlight w:val="none"/>
          <w:lang w:eastAsia="zh-CN"/>
        </w:rPr>
        <w:t>支付</w:t>
      </w:r>
      <w:r>
        <w:rPr>
          <w:rFonts w:hint="eastAsia" w:ascii="仿宋" w:hAnsi="仿宋" w:eastAsia="仿宋" w:cs="仿宋"/>
          <w:iCs/>
          <w:color w:val="auto"/>
          <w:sz w:val="28"/>
          <w:szCs w:val="28"/>
          <w:highlight w:val="none"/>
          <w:lang w:val="en-US" w:eastAsia="zh-CN"/>
        </w:rPr>
        <w:t>一次</w:t>
      </w:r>
      <w:r>
        <w:rPr>
          <w:rFonts w:hint="eastAsia" w:ascii="仿宋" w:hAnsi="仿宋" w:eastAsia="仿宋" w:cs="仿宋"/>
          <w:iCs/>
          <w:color w:val="auto"/>
          <w:sz w:val="28"/>
          <w:szCs w:val="28"/>
          <w:highlight w:val="none"/>
          <w:lang w:eastAsia="zh-CN"/>
        </w:rPr>
        <w:t>。</w:t>
      </w:r>
      <w:r>
        <w:rPr>
          <w:rFonts w:hint="eastAsia" w:ascii="仿宋" w:hAnsi="仿宋" w:eastAsia="仿宋" w:cs="仿宋"/>
          <w:iCs/>
          <w:color w:val="auto"/>
          <w:sz w:val="28"/>
          <w:szCs w:val="28"/>
          <w:highlight w:val="none"/>
          <w:lang w:val="en-US" w:eastAsia="zh-CN"/>
        </w:rPr>
        <w:t>验收合格后，</w:t>
      </w:r>
      <w:r>
        <w:rPr>
          <w:rFonts w:hint="eastAsia" w:ascii="仿宋" w:hAnsi="仿宋" w:eastAsia="仿宋" w:cs="仿宋"/>
          <w:iCs/>
          <w:color w:val="auto"/>
          <w:sz w:val="28"/>
          <w:szCs w:val="28"/>
          <w:highlight w:val="none"/>
          <w:lang w:eastAsia="zh-CN"/>
        </w:rPr>
        <w:t>供应商</w:t>
      </w:r>
      <w:r>
        <w:rPr>
          <w:rFonts w:hint="eastAsia" w:ascii="仿宋" w:hAnsi="仿宋" w:eastAsia="仿宋" w:cs="仿宋"/>
          <w:iCs/>
          <w:color w:val="auto"/>
          <w:sz w:val="28"/>
          <w:szCs w:val="28"/>
          <w:highlight w:val="none"/>
          <w:lang w:val="en-US" w:eastAsia="zh-CN"/>
        </w:rPr>
        <w:t>提供</w:t>
      </w:r>
      <w:r>
        <w:rPr>
          <w:rFonts w:hint="eastAsia" w:ascii="仿宋" w:hAnsi="仿宋" w:eastAsia="仿宋" w:cs="仿宋"/>
          <w:iCs/>
          <w:color w:val="auto"/>
          <w:sz w:val="28"/>
          <w:szCs w:val="28"/>
          <w:highlight w:val="none"/>
          <w:lang w:eastAsia="zh-CN"/>
        </w:rPr>
        <w:t>合法有效的发票，采购人将根据考核结果在30个工作日内以转账方式</w:t>
      </w:r>
      <w:r>
        <w:rPr>
          <w:rFonts w:hint="eastAsia" w:ascii="仿宋" w:hAnsi="仿宋" w:eastAsia="仿宋" w:cs="仿宋"/>
          <w:iCs/>
          <w:color w:val="auto"/>
          <w:sz w:val="28"/>
          <w:szCs w:val="28"/>
          <w:highlight w:val="none"/>
          <w:lang w:val="en-US" w:eastAsia="zh-CN"/>
        </w:rPr>
        <w:t>据实</w:t>
      </w:r>
      <w:r>
        <w:rPr>
          <w:rFonts w:hint="eastAsia" w:ascii="仿宋" w:hAnsi="仿宋" w:eastAsia="仿宋" w:cs="仿宋"/>
          <w:iCs/>
          <w:color w:val="auto"/>
          <w:sz w:val="28"/>
          <w:szCs w:val="28"/>
          <w:highlight w:val="none"/>
          <w:lang w:eastAsia="zh-CN"/>
        </w:rPr>
        <w:t>支付。</w:t>
      </w:r>
    </w:p>
    <w:p w14:paraId="60B2C35C">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bCs/>
          <w:color w:val="auto"/>
          <w:kern w:val="2"/>
          <w:sz w:val="28"/>
          <w:szCs w:val="28"/>
          <w:highlight w:val="none"/>
          <w:lang w:val="en-US" w:eastAsia="zh-CN" w:bidi="ar-SA"/>
        </w:rPr>
        <w:t>4.</w:t>
      </w:r>
      <w:r>
        <w:rPr>
          <w:rFonts w:hint="default" w:ascii="仿宋" w:hAnsi="仿宋" w:eastAsia="仿宋" w:cs="仿宋"/>
          <w:b/>
          <w:bCs/>
          <w:color w:val="auto"/>
          <w:kern w:val="2"/>
          <w:sz w:val="28"/>
          <w:szCs w:val="28"/>
          <w:highlight w:val="none"/>
          <w:lang w:val="en-US" w:eastAsia="zh-CN" w:bidi="ar-SA"/>
        </w:rPr>
        <w:t>质保期限</w:t>
      </w:r>
      <w:r>
        <w:rPr>
          <w:rFonts w:hint="eastAsia" w:ascii="仿宋" w:hAnsi="仿宋" w:eastAsia="仿宋" w:cs="仿宋"/>
          <w:b/>
          <w:bCs/>
          <w:color w:val="auto"/>
          <w:kern w:val="2"/>
          <w:sz w:val="28"/>
          <w:szCs w:val="28"/>
          <w:highlight w:val="none"/>
          <w:lang w:val="en-US" w:eastAsia="zh-CN" w:bidi="ar-SA"/>
        </w:rPr>
        <w:t>：</w:t>
      </w:r>
      <w:r>
        <w:rPr>
          <w:rFonts w:hint="eastAsia" w:ascii="仿宋" w:hAnsi="仿宋" w:eastAsia="仿宋" w:cs="仿宋"/>
          <w:b w:val="0"/>
          <w:bCs w:val="0"/>
          <w:color w:val="auto"/>
          <w:kern w:val="2"/>
          <w:sz w:val="28"/>
          <w:szCs w:val="28"/>
          <w:highlight w:val="none"/>
          <w:lang w:val="en-US" w:eastAsia="zh-CN" w:bidi="ar-SA"/>
        </w:rPr>
        <w:t>12个月，自各参与方共同签署确认的验收合格报告之日起计算。</w:t>
      </w:r>
    </w:p>
    <w:p w14:paraId="43EAE166">
      <w:pPr>
        <w:keepNext w:val="0"/>
        <w:keepLines w:val="0"/>
        <w:pageBreakBefore w:val="0"/>
        <w:widowControl w:val="0"/>
        <w:kinsoku/>
        <w:wordWrap/>
        <w:overflowPunct/>
        <w:topLinePunct w:val="0"/>
        <w:bidi w:val="0"/>
        <w:snapToGrid w:val="0"/>
        <w:spacing w:line="500" w:lineRule="exact"/>
        <w:ind w:firstLine="562" w:firstLineChars="200"/>
        <w:jc w:val="both"/>
        <w:outlineLvl w:val="0"/>
        <w:rPr>
          <w:rFonts w:hint="eastAsia" w:ascii="仿宋" w:hAnsi="仿宋" w:eastAsia="仿宋" w:cs="仿宋"/>
          <w:b/>
          <w:bCs/>
          <w:color w:val="auto"/>
          <w:kern w:val="2"/>
          <w:sz w:val="28"/>
          <w:szCs w:val="28"/>
          <w:highlight w:val="none"/>
          <w:lang w:val="en-US" w:eastAsia="zh-CN" w:bidi="ar-SA"/>
        </w:rPr>
      </w:pPr>
      <w:r>
        <w:rPr>
          <w:rFonts w:hint="eastAsia" w:ascii="仿宋" w:hAnsi="仿宋" w:eastAsia="仿宋" w:cs="仿宋"/>
          <w:b/>
          <w:bCs/>
          <w:color w:val="auto"/>
          <w:kern w:val="2"/>
          <w:sz w:val="28"/>
          <w:szCs w:val="28"/>
          <w:highlight w:val="none"/>
          <w:lang w:val="en-US" w:eastAsia="zh-CN" w:bidi="ar-SA"/>
        </w:rPr>
        <w:t>5.响应时间：</w:t>
      </w:r>
    </w:p>
    <w:p w14:paraId="549EFBDF">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default"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5.</w:t>
      </w:r>
      <w:r>
        <w:rPr>
          <w:rFonts w:hint="default" w:ascii="仿宋" w:hAnsi="仿宋" w:eastAsia="仿宋" w:cs="仿宋"/>
          <w:b w:val="0"/>
          <w:bCs w:val="0"/>
          <w:color w:val="auto"/>
          <w:kern w:val="2"/>
          <w:sz w:val="28"/>
          <w:szCs w:val="28"/>
          <w:highlight w:val="none"/>
          <w:lang w:val="en-US" w:eastAsia="zh-CN" w:bidi="ar-SA"/>
        </w:rPr>
        <w:t>1.一般性问题响应时间</w:t>
      </w:r>
      <w:r>
        <w:rPr>
          <w:rFonts w:hint="eastAsia" w:ascii="仿宋" w:hAnsi="仿宋" w:eastAsia="仿宋" w:cs="仿宋"/>
          <w:b w:val="0"/>
          <w:bCs w:val="0"/>
          <w:color w:val="auto"/>
          <w:kern w:val="2"/>
          <w:sz w:val="28"/>
          <w:szCs w:val="28"/>
          <w:highlight w:val="none"/>
          <w:lang w:val="en-US" w:eastAsia="zh-CN" w:bidi="ar-SA"/>
        </w:rPr>
        <w:t>：中标人</w:t>
      </w:r>
      <w:r>
        <w:rPr>
          <w:rFonts w:hint="default" w:ascii="仿宋" w:hAnsi="仿宋" w:eastAsia="仿宋" w:cs="仿宋"/>
          <w:b w:val="0"/>
          <w:bCs w:val="0"/>
          <w:color w:val="auto"/>
          <w:kern w:val="2"/>
          <w:sz w:val="28"/>
          <w:szCs w:val="28"/>
          <w:highlight w:val="none"/>
          <w:lang w:val="en-US" w:eastAsia="zh-CN" w:bidi="ar-SA"/>
        </w:rPr>
        <w:t>接到</w:t>
      </w:r>
      <w:r>
        <w:rPr>
          <w:rFonts w:hint="eastAsia" w:ascii="仿宋" w:hAnsi="仿宋" w:eastAsia="仿宋" w:cs="仿宋"/>
          <w:b w:val="0"/>
          <w:bCs w:val="0"/>
          <w:color w:val="auto"/>
          <w:kern w:val="2"/>
          <w:sz w:val="28"/>
          <w:szCs w:val="28"/>
          <w:highlight w:val="none"/>
          <w:lang w:val="en-US" w:eastAsia="zh-CN" w:bidi="ar-SA"/>
        </w:rPr>
        <w:t>招标人</w:t>
      </w:r>
      <w:r>
        <w:rPr>
          <w:rFonts w:hint="default" w:ascii="仿宋" w:hAnsi="仿宋" w:eastAsia="仿宋" w:cs="仿宋"/>
          <w:b w:val="0"/>
          <w:bCs w:val="0"/>
          <w:color w:val="auto"/>
          <w:kern w:val="2"/>
          <w:sz w:val="28"/>
          <w:szCs w:val="28"/>
          <w:highlight w:val="none"/>
          <w:lang w:val="en-US" w:eastAsia="zh-CN" w:bidi="ar-SA"/>
        </w:rPr>
        <w:t>报修后，应在1小时内给予响应，并在24小时内</w:t>
      </w:r>
      <w:r>
        <w:rPr>
          <w:rFonts w:hint="eastAsia" w:ascii="仿宋" w:hAnsi="仿宋" w:eastAsia="仿宋" w:cs="仿宋"/>
          <w:b w:val="0"/>
          <w:bCs w:val="0"/>
          <w:color w:val="auto"/>
          <w:kern w:val="2"/>
          <w:sz w:val="28"/>
          <w:szCs w:val="28"/>
          <w:highlight w:val="none"/>
          <w:lang w:val="en-US" w:eastAsia="zh-CN" w:bidi="ar-SA"/>
        </w:rPr>
        <w:t>到达现场</w:t>
      </w:r>
      <w:r>
        <w:rPr>
          <w:rFonts w:hint="default" w:ascii="仿宋" w:hAnsi="仿宋" w:eastAsia="仿宋" w:cs="仿宋"/>
          <w:b w:val="0"/>
          <w:bCs w:val="0"/>
          <w:color w:val="auto"/>
          <w:kern w:val="2"/>
          <w:sz w:val="28"/>
          <w:szCs w:val="28"/>
          <w:highlight w:val="none"/>
          <w:lang w:val="en-US" w:eastAsia="zh-CN" w:bidi="ar-SA"/>
        </w:rPr>
        <w:t>。</w:t>
      </w:r>
    </w:p>
    <w:p w14:paraId="43A787AC">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default"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5.</w:t>
      </w:r>
      <w:r>
        <w:rPr>
          <w:rFonts w:hint="default" w:ascii="仿宋" w:hAnsi="仿宋" w:eastAsia="仿宋" w:cs="仿宋"/>
          <w:b w:val="0"/>
          <w:bCs w:val="0"/>
          <w:color w:val="auto"/>
          <w:kern w:val="2"/>
          <w:sz w:val="28"/>
          <w:szCs w:val="28"/>
          <w:highlight w:val="none"/>
          <w:lang w:val="en-US" w:eastAsia="zh-CN" w:bidi="ar-SA"/>
        </w:rPr>
        <w:t>2.紧急性问题响应时间</w:t>
      </w:r>
      <w:r>
        <w:rPr>
          <w:rFonts w:hint="eastAsia" w:ascii="仿宋" w:hAnsi="仿宋" w:eastAsia="仿宋" w:cs="仿宋"/>
          <w:b w:val="0"/>
          <w:bCs w:val="0"/>
          <w:color w:val="auto"/>
          <w:kern w:val="2"/>
          <w:sz w:val="28"/>
          <w:szCs w:val="28"/>
          <w:highlight w:val="none"/>
          <w:lang w:val="en-US" w:eastAsia="zh-CN" w:bidi="ar-SA"/>
        </w:rPr>
        <w:t>：中标人接到招标人</w:t>
      </w:r>
      <w:r>
        <w:rPr>
          <w:rFonts w:hint="default" w:ascii="仿宋" w:hAnsi="仿宋" w:eastAsia="仿宋" w:cs="仿宋"/>
          <w:b w:val="0"/>
          <w:bCs w:val="0"/>
          <w:color w:val="auto"/>
          <w:kern w:val="2"/>
          <w:sz w:val="28"/>
          <w:szCs w:val="28"/>
          <w:highlight w:val="none"/>
          <w:lang w:val="en-US" w:eastAsia="zh-CN" w:bidi="ar-SA"/>
        </w:rPr>
        <w:t>紧急报修后，应在30分钟内给予响应，并在2小时内</w:t>
      </w:r>
      <w:r>
        <w:rPr>
          <w:rFonts w:hint="eastAsia" w:ascii="仿宋" w:hAnsi="仿宋" w:eastAsia="仿宋" w:cs="仿宋"/>
          <w:b w:val="0"/>
          <w:bCs w:val="0"/>
          <w:color w:val="auto"/>
          <w:kern w:val="2"/>
          <w:sz w:val="28"/>
          <w:szCs w:val="28"/>
          <w:highlight w:val="none"/>
          <w:lang w:val="en-US" w:eastAsia="zh-CN" w:bidi="ar-SA"/>
        </w:rPr>
        <w:t>到达现场</w:t>
      </w:r>
      <w:r>
        <w:rPr>
          <w:rFonts w:hint="default" w:ascii="仿宋" w:hAnsi="仿宋" w:eastAsia="仿宋" w:cs="仿宋"/>
          <w:b w:val="0"/>
          <w:bCs w:val="0"/>
          <w:color w:val="auto"/>
          <w:kern w:val="2"/>
          <w:sz w:val="28"/>
          <w:szCs w:val="28"/>
          <w:highlight w:val="none"/>
          <w:lang w:val="en-US" w:eastAsia="zh-CN" w:bidi="ar-SA"/>
        </w:rPr>
        <w:t>。</w:t>
      </w:r>
    </w:p>
    <w:p w14:paraId="71F7FE47">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default"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5.3.突发性情况或故障：中标人须在得到招标人通知后30分钟内到达现场并及时排除突发情况或故障。</w:t>
      </w:r>
    </w:p>
    <w:p w14:paraId="15A0A5EE">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exact"/>
        <w:ind w:firstLine="562" w:firstLineChars="200"/>
        <w:jc w:val="left"/>
        <w:textAlignment w:val="baseline"/>
        <w:rPr>
          <w:rFonts w:hint="eastAsia" w:ascii="仿宋" w:hAnsi="仿宋" w:eastAsia="仿宋" w:cs="仿宋"/>
          <w:b/>
          <w:bCs/>
          <w:snapToGrid w:val="0"/>
          <w:color w:val="auto"/>
          <w:kern w:val="0"/>
          <w:sz w:val="28"/>
          <w:szCs w:val="28"/>
          <w:highlight w:val="none"/>
          <w:lang w:val="en-US" w:eastAsia="zh-CN"/>
        </w:rPr>
      </w:pPr>
      <w:r>
        <w:rPr>
          <w:rFonts w:hint="eastAsia" w:ascii="仿宋" w:hAnsi="仿宋" w:eastAsia="仿宋" w:cs="仿宋"/>
          <w:b/>
          <w:bCs/>
          <w:snapToGrid w:val="0"/>
          <w:color w:val="auto"/>
          <w:kern w:val="0"/>
          <w:sz w:val="28"/>
          <w:szCs w:val="28"/>
          <w:highlight w:val="none"/>
          <w:lang w:val="en-US" w:eastAsia="zh-CN"/>
        </w:rPr>
        <w:t>6.服务考核要求：</w:t>
      </w:r>
    </w:p>
    <w:p w14:paraId="17BDAD82">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1、承包人人员数量无正当理由未达到招标文件要求的，按照项目负责人和安全员未到岗按500元/天，其他人员缺员按300元/天*人次进行处罚。</w:t>
      </w:r>
    </w:p>
    <w:p w14:paraId="38377B3D">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2、承包人未按招标文件要求进行垃圾清运及路面清洁的，每发现一次，处罚2000元；若乙方在处理及运输养护垃圾及淤泥过程中出现二次污染垃圾未清理，乙方承担行政处罚、法律责任及社会责任的同时，每发现一次处罚10000元。</w:t>
      </w:r>
    </w:p>
    <w:p w14:paraId="63939A5E">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3、承包人未按招标人要求时限进行投诉处理的，每次处罚1000元；由于主观原因造成回复内容与实际不符等原因造成居民或单位重复投诉的，每次处罚3000元；</w:t>
      </w:r>
    </w:p>
    <w:p w14:paraId="1DA23784">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4、承包人在日常养护及投诉处理过程中，不得向居民收费，每发现一次，须退还所收费用另处罚3000元。</w:t>
      </w:r>
    </w:p>
    <w:p w14:paraId="3D414276">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5、由于污水管道养护不到位造成积水影响居民正常生活的处罚5000元。</w:t>
      </w:r>
    </w:p>
    <w:p w14:paraId="1D5F9F39">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6、招标人发现中标单位未按招标人要求填写巡查记录，记录有缺失，上报信息有遗漏、错误等，每发现一次处罚1000元。</w:t>
      </w:r>
    </w:p>
    <w:p w14:paraId="4A420AC1">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7、中标单位在日常养护巡检中，必须统一安全帽、工作服、未按要求统一着装、未正确佩戴安全帽，处罚5000元。</w:t>
      </w:r>
    </w:p>
    <w:p w14:paraId="3AEBB9DC">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8、特种作业人员必须持证上岗，无证上岗发现一次处罚5000元。</w:t>
      </w:r>
    </w:p>
    <w:p w14:paraId="4524AD60">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9、有限空间严格按照审批流程，违反规定或未按流程审批的，发现一次处罚50000元。</w:t>
      </w:r>
    </w:p>
    <w:p w14:paraId="65B652D1">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 xml:space="preserve">10、中标单位在中标后须安排投标承诺的所有人员在项目所在地进行驻点，随时开展合同约定的服务任务，相关人员必须严格按照采购人要求进行打卡考核，必须与投标时承诺的人员一致，不得随意更换人员。若存在人员不符或未进行打卡的，采购人有权进行单日单次 5000元的处罚，累计超过3次或以上处罚的，采购人有权无偿终止本项目合同，并且中标单位应向采购人赔偿合同金额10%。 </w:t>
      </w:r>
    </w:p>
    <w:p w14:paraId="5B337601">
      <w:pPr>
        <w:keepNext w:val="0"/>
        <w:keepLines w:val="0"/>
        <w:pageBreakBefore w:val="0"/>
        <w:widowControl w:val="0"/>
        <w:kinsoku/>
        <w:wordWrap/>
        <w:overflowPunct/>
        <w:topLinePunct w:val="0"/>
        <w:bidi w:val="0"/>
        <w:snapToGrid w:val="0"/>
        <w:spacing w:line="500" w:lineRule="exact"/>
        <w:ind w:firstLine="560" w:firstLineChars="200"/>
        <w:jc w:val="both"/>
        <w:outlineLvl w:val="0"/>
        <w:rPr>
          <w:rFonts w:hint="eastAsia" w:ascii="Calibri" w:hAnsi="Calibri" w:eastAsia="宋体" w:cs="Times New Roman"/>
          <w:color w:val="auto"/>
          <w:szCs w:val="22"/>
          <w:highlight w:val="none"/>
          <w:lang w:val="en-US" w:eastAsia="zh-CN"/>
        </w:rPr>
      </w:pPr>
      <w:r>
        <w:rPr>
          <w:rFonts w:hint="eastAsia" w:ascii="仿宋" w:hAnsi="仿宋" w:eastAsia="仿宋" w:cs="仿宋"/>
          <w:b w:val="0"/>
          <w:bCs w:val="0"/>
          <w:color w:val="auto"/>
          <w:kern w:val="2"/>
          <w:sz w:val="28"/>
          <w:szCs w:val="28"/>
          <w:highlight w:val="none"/>
          <w:lang w:val="en-US" w:eastAsia="zh-CN" w:bidi="ar-SA"/>
        </w:rPr>
        <w:t>11、中标单位必须严格按照相关规范进行服务，服从采购人的管理。不服从采购人的管理的，第一次警告，第二次以后(含第二次)按次承担3000元的违约金，三次以上(含三次)采购人有权无偿终止本项目合同，并且中标单位应向采购人赔偿合同金额 10%。</w:t>
      </w:r>
    </w:p>
    <w:p w14:paraId="288D1B58">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exact"/>
        <w:ind w:firstLine="562" w:firstLineChars="200"/>
        <w:jc w:val="left"/>
        <w:textAlignment w:val="baseline"/>
        <w:rPr>
          <w:rFonts w:hint="eastAsia" w:ascii="仿宋" w:hAnsi="仿宋" w:eastAsia="仿宋" w:cs="仿宋"/>
          <w:b/>
          <w:bCs/>
          <w:snapToGrid w:val="0"/>
          <w:color w:val="auto"/>
          <w:kern w:val="0"/>
          <w:sz w:val="28"/>
          <w:szCs w:val="28"/>
          <w:highlight w:val="none"/>
          <w:lang w:val="en-US" w:eastAsia="zh-CN" w:bidi="zh-CN"/>
        </w:rPr>
      </w:pPr>
      <w:r>
        <w:rPr>
          <w:rFonts w:hint="eastAsia" w:ascii="仿宋" w:hAnsi="仿宋" w:eastAsia="仿宋" w:cs="仿宋"/>
          <w:b/>
          <w:bCs/>
          <w:snapToGrid w:val="0"/>
          <w:color w:val="auto"/>
          <w:kern w:val="0"/>
          <w:sz w:val="28"/>
          <w:szCs w:val="28"/>
          <w:highlight w:val="none"/>
          <w:lang w:val="en-US" w:eastAsia="zh-CN" w:bidi="zh-CN"/>
        </w:rPr>
        <w:t>7.</w:t>
      </w:r>
      <w:r>
        <w:rPr>
          <w:rFonts w:hint="default" w:ascii="仿宋" w:hAnsi="仿宋" w:eastAsia="仿宋" w:cs="仿宋"/>
          <w:b/>
          <w:bCs/>
          <w:snapToGrid w:val="0"/>
          <w:color w:val="auto"/>
          <w:kern w:val="0"/>
          <w:sz w:val="28"/>
          <w:szCs w:val="28"/>
          <w:highlight w:val="none"/>
          <w:lang w:val="en-US" w:eastAsia="zh-CN" w:bidi="zh-CN"/>
        </w:rPr>
        <w:t>验收</w:t>
      </w:r>
      <w:r>
        <w:rPr>
          <w:rFonts w:hint="eastAsia" w:ascii="仿宋" w:hAnsi="仿宋" w:eastAsia="仿宋" w:cs="仿宋"/>
          <w:b/>
          <w:bCs/>
          <w:snapToGrid w:val="0"/>
          <w:color w:val="auto"/>
          <w:kern w:val="0"/>
          <w:sz w:val="28"/>
          <w:szCs w:val="28"/>
          <w:highlight w:val="none"/>
          <w:lang w:val="en-US" w:eastAsia="zh-CN" w:bidi="zh-CN"/>
        </w:rPr>
        <w:t>标准：</w:t>
      </w:r>
    </w:p>
    <w:p w14:paraId="0F3EC5EB">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exact"/>
        <w:ind w:firstLine="560" w:firstLineChars="200"/>
        <w:jc w:val="left"/>
        <w:textAlignment w:val="baseline"/>
        <w:rPr>
          <w:rFonts w:hint="eastAsia" w:ascii="仿宋" w:hAnsi="仿宋" w:eastAsia="仿宋" w:cs="仿宋"/>
          <w:b w:val="0"/>
          <w:bCs w:val="0"/>
          <w:snapToGrid w:val="0"/>
          <w:color w:val="auto"/>
          <w:kern w:val="0"/>
          <w:sz w:val="28"/>
          <w:szCs w:val="28"/>
          <w:highlight w:val="none"/>
          <w:lang w:val="en-US" w:eastAsia="zh-CN" w:bidi="zh-CN"/>
        </w:rPr>
      </w:pPr>
      <w:r>
        <w:rPr>
          <w:rFonts w:hint="eastAsia" w:ascii="仿宋" w:hAnsi="仿宋" w:eastAsia="仿宋" w:cs="仿宋"/>
          <w:b w:val="0"/>
          <w:bCs w:val="0"/>
          <w:snapToGrid w:val="0"/>
          <w:color w:val="auto"/>
          <w:kern w:val="0"/>
          <w:sz w:val="28"/>
          <w:szCs w:val="28"/>
          <w:highlight w:val="none"/>
          <w:lang w:val="en-US" w:eastAsia="zh-CN" w:bidi="zh-CN"/>
        </w:rPr>
        <w:t xml:space="preserve">7.1.由采购人验收，验收按国家有关的规定、规范及服务考核要求进行。 </w:t>
      </w:r>
    </w:p>
    <w:p w14:paraId="43041847">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exact"/>
        <w:ind w:firstLine="560" w:firstLineChars="200"/>
        <w:jc w:val="left"/>
        <w:textAlignment w:val="baseline"/>
        <w:rPr>
          <w:rFonts w:hint="eastAsia" w:ascii="仿宋" w:hAnsi="仿宋" w:eastAsia="仿宋" w:cs="仿宋"/>
          <w:b w:val="0"/>
          <w:bCs w:val="0"/>
          <w:snapToGrid w:val="0"/>
          <w:color w:val="auto"/>
          <w:kern w:val="0"/>
          <w:sz w:val="28"/>
          <w:szCs w:val="28"/>
          <w:highlight w:val="none"/>
          <w:lang w:val="en-US" w:eastAsia="zh-CN" w:bidi="zh-CN"/>
        </w:rPr>
      </w:pPr>
      <w:r>
        <w:rPr>
          <w:rFonts w:hint="eastAsia" w:ascii="仿宋" w:hAnsi="仿宋" w:eastAsia="仿宋" w:cs="仿宋"/>
          <w:b w:val="0"/>
          <w:bCs w:val="0"/>
          <w:snapToGrid w:val="0"/>
          <w:color w:val="auto"/>
          <w:kern w:val="0"/>
          <w:sz w:val="28"/>
          <w:szCs w:val="28"/>
          <w:highlight w:val="none"/>
          <w:lang w:val="en-US" w:eastAsia="zh-CN" w:bidi="zh-CN"/>
        </w:rPr>
        <w:t>7.2.管道检测图像清晰，检测到的图像应能清晰显示管道内部状况，包括管道壁、沉积物、裂缝等。检测设备应能覆盖管道全长，确保整个管道内部状况得到评估。检测设备应能记录管道内的各项数据，如管道长度、直径、沉积物厚度等，并为后续评估提供依据。检测完成后，应根据收集的数据编制详细的检测报告。</w:t>
      </w:r>
    </w:p>
    <w:p w14:paraId="29E8046A">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exact"/>
        <w:ind w:firstLine="560" w:firstLineChars="200"/>
        <w:jc w:val="left"/>
        <w:textAlignment w:val="baseline"/>
        <w:rPr>
          <w:rFonts w:hint="eastAsia" w:ascii="仿宋" w:hAnsi="仿宋" w:eastAsia="仿宋" w:cs="仿宋"/>
          <w:b w:val="0"/>
          <w:bCs w:val="0"/>
          <w:snapToGrid w:val="0"/>
          <w:color w:val="auto"/>
          <w:kern w:val="0"/>
          <w:sz w:val="28"/>
          <w:szCs w:val="28"/>
          <w:highlight w:val="none"/>
          <w:lang w:val="en-US" w:eastAsia="zh-CN" w:bidi="zh-CN"/>
        </w:rPr>
      </w:pPr>
      <w:r>
        <w:rPr>
          <w:rFonts w:hint="eastAsia" w:ascii="仿宋" w:hAnsi="仿宋" w:eastAsia="仿宋" w:cs="仿宋"/>
          <w:b w:val="0"/>
          <w:bCs w:val="0"/>
          <w:snapToGrid w:val="0"/>
          <w:color w:val="auto"/>
          <w:kern w:val="0"/>
          <w:sz w:val="28"/>
          <w:szCs w:val="28"/>
          <w:highlight w:val="none"/>
          <w:lang w:val="en-US" w:eastAsia="zh-CN" w:bidi="zh-CN"/>
        </w:rPr>
        <w:t>7.3.管道畅通率≥99%，井盖完好率≥99%，雨水口通畅率≥98%。</w:t>
      </w:r>
    </w:p>
    <w:p w14:paraId="51442E7C">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exact"/>
        <w:ind w:firstLine="560" w:firstLineChars="200"/>
        <w:jc w:val="left"/>
        <w:textAlignment w:val="baseline"/>
        <w:rPr>
          <w:rFonts w:hint="eastAsia" w:ascii="仿宋" w:hAnsi="仿宋" w:eastAsia="仿宋" w:cs="仿宋"/>
          <w:b w:val="0"/>
          <w:bCs w:val="0"/>
          <w:snapToGrid w:val="0"/>
          <w:color w:val="auto"/>
          <w:kern w:val="0"/>
          <w:sz w:val="28"/>
          <w:szCs w:val="28"/>
          <w:highlight w:val="none"/>
          <w:lang w:val="en-US" w:eastAsia="zh-CN" w:bidi="zh-CN"/>
        </w:rPr>
      </w:pPr>
      <w:r>
        <w:rPr>
          <w:rFonts w:hint="eastAsia" w:ascii="仿宋" w:hAnsi="仿宋" w:eastAsia="仿宋" w:cs="仿宋"/>
          <w:b w:val="0"/>
          <w:bCs w:val="0"/>
          <w:snapToGrid w:val="0"/>
          <w:color w:val="auto"/>
          <w:kern w:val="0"/>
          <w:sz w:val="28"/>
          <w:szCs w:val="28"/>
          <w:highlight w:val="none"/>
          <w:lang w:val="en-US" w:eastAsia="zh-CN" w:bidi="zh-CN"/>
        </w:rPr>
        <w:t>7.4.清淤垃圾日产日清，现场无遗留、无扬尘、无扰民。</w:t>
      </w:r>
    </w:p>
    <w:p w14:paraId="70F9DCEC">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exact"/>
        <w:ind w:firstLine="560" w:firstLineChars="200"/>
        <w:jc w:val="left"/>
        <w:textAlignment w:val="baseline"/>
        <w:rPr>
          <w:rFonts w:hint="eastAsia" w:ascii="仿宋" w:hAnsi="仿宋" w:eastAsia="仿宋" w:cs="仿宋"/>
          <w:b w:val="0"/>
          <w:bCs w:val="0"/>
          <w:snapToGrid w:val="0"/>
          <w:color w:val="auto"/>
          <w:kern w:val="0"/>
          <w:sz w:val="28"/>
          <w:szCs w:val="28"/>
          <w:highlight w:val="none"/>
          <w:lang w:val="en-US" w:eastAsia="zh-CN" w:bidi="zh-CN"/>
        </w:rPr>
      </w:pPr>
      <w:r>
        <w:rPr>
          <w:rFonts w:hint="eastAsia" w:ascii="仿宋" w:hAnsi="仿宋" w:eastAsia="仿宋" w:cs="仿宋"/>
          <w:b w:val="0"/>
          <w:bCs w:val="0"/>
          <w:snapToGrid w:val="0"/>
          <w:color w:val="auto"/>
          <w:kern w:val="0"/>
          <w:sz w:val="28"/>
          <w:szCs w:val="28"/>
          <w:highlight w:val="none"/>
          <w:lang w:val="en-US" w:eastAsia="zh-CN" w:bidi="zh-CN"/>
        </w:rPr>
        <w:t>7.5.由项目参与各方共同签署验收报告。</w:t>
      </w:r>
    </w:p>
    <w:p w14:paraId="294657B7">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exact"/>
        <w:ind w:firstLine="562" w:firstLineChars="200"/>
        <w:jc w:val="left"/>
        <w:textAlignment w:val="baseline"/>
        <w:rPr>
          <w:rFonts w:hint="eastAsia" w:ascii="仿宋" w:hAnsi="仿宋" w:eastAsia="仿宋" w:cs="仿宋"/>
          <w:b/>
          <w:bCs/>
          <w:snapToGrid w:val="0"/>
          <w:color w:val="auto"/>
          <w:kern w:val="0"/>
          <w:sz w:val="28"/>
          <w:szCs w:val="28"/>
          <w:highlight w:val="none"/>
          <w:lang w:val="en-US" w:eastAsia="zh-CN" w:bidi="zh-CN"/>
        </w:rPr>
      </w:pPr>
      <w:r>
        <w:rPr>
          <w:rFonts w:hint="eastAsia" w:ascii="仿宋" w:hAnsi="仿宋" w:eastAsia="仿宋" w:cs="仿宋"/>
          <w:b/>
          <w:bCs/>
          <w:snapToGrid w:val="0"/>
          <w:color w:val="auto"/>
          <w:kern w:val="0"/>
          <w:sz w:val="28"/>
          <w:szCs w:val="28"/>
          <w:highlight w:val="none"/>
          <w:lang w:val="en-US" w:eastAsia="zh-CN" w:bidi="zh-CN"/>
        </w:rPr>
        <w:t>8.知识产权：</w:t>
      </w:r>
    </w:p>
    <w:p w14:paraId="2D648CD5">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exact"/>
        <w:ind w:firstLine="560" w:firstLineChars="200"/>
        <w:jc w:val="left"/>
        <w:textAlignment w:val="baseline"/>
        <w:rPr>
          <w:rFonts w:hint="eastAsia" w:ascii="仿宋" w:hAnsi="仿宋" w:eastAsia="仿宋" w:cs="仿宋"/>
          <w:b w:val="0"/>
          <w:bCs w:val="0"/>
          <w:snapToGrid w:val="0"/>
          <w:color w:val="auto"/>
          <w:kern w:val="0"/>
          <w:sz w:val="28"/>
          <w:szCs w:val="28"/>
          <w:highlight w:val="none"/>
          <w:lang w:val="en-US" w:eastAsia="zh-CN" w:bidi="zh-CN"/>
        </w:rPr>
      </w:pPr>
      <w:r>
        <w:rPr>
          <w:rFonts w:hint="eastAsia" w:ascii="仿宋" w:hAnsi="仿宋" w:eastAsia="仿宋" w:cs="仿宋"/>
          <w:b w:val="0"/>
          <w:bCs w:val="0"/>
          <w:snapToGrid w:val="0"/>
          <w:color w:val="auto"/>
          <w:kern w:val="0"/>
          <w:sz w:val="28"/>
          <w:szCs w:val="28"/>
          <w:highlight w:val="none"/>
          <w:lang w:val="en-US" w:eastAsia="zh-CN" w:bidi="zh-CN"/>
        </w:rPr>
        <w:t xml:space="preserve">1.本项目的一切技术资料成果中标人不得对外公布。成果知识产权归新余高新技术产业开发区综合行政执法大队所有，中标人不得外传，也不得作盈利目的应用。 </w:t>
      </w:r>
    </w:p>
    <w:p w14:paraId="5C0C3A47">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exact"/>
        <w:ind w:firstLine="560" w:firstLineChars="200"/>
        <w:jc w:val="left"/>
        <w:textAlignment w:val="baseline"/>
        <w:rPr>
          <w:rFonts w:hint="eastAsia" w:ascii="仿宋" w:hAnsi="仿宋" w:eastAsia="仿宋" w:cs="仿宋"/>
          <w:b w:val="0"/>
          <w:bCs w:val="0"/>
          <w:snapToGrid w:val="0"/>
          <w:color w:val="auto"/>
          <w:kern w:val="0"/>
          <w:sz w:val="28"/>
          <w:szCs w:val="28"/>
          <w:highlight w:val="none"/>
          <w:lang w:val="en-US" w:eastAsia="zh-CN" w:bidi="zh-CN"/>
        </w:rPr>
      </w:pPr>
      <w:r>
        <w:rPr>
          <w:rFonts w:hint="eastAsia" w:ascii="仿宋" w:hAnsi="仿宋" w:eastAsia="仿宋" w:cs="仿宋"/>
          <w:b w:val="0"/>
          <w:bCs w:val="0"/>
          <w:snapToGrid w:val="0"/>
          <w:color w:val="auto"/>
          <w:kern w:val="0"/>
          <w:sz w:val="28"/>
          <w:szCs w:val="28"/>
          <w:highlight w:val="none"/>
          <w:lang w:val="en-US" w:eastAsia="zh-CN" w:bidi="zh-CN"/>
        </w:rPr>
        <w:t xml:space="preserve">2.中标人提供的成果还应满足下列要求： </w:t>
      </w:r>
    </w:p>
    <w:p w14:paraId="65AA2114">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exact"/>
        <w:ind w:firstLine="1120" w:firstLineChars="400"/>
        <w:jc w:val="left"/>
        <w:textAlignment w:val="baseline"/>
        <w:rPr>
          <w:rFonts w:hint="eastAsia" w:ascii="仿宋" w:hAnsi="仿宋" w:eastAsia="仿宋" w:cs="仿宋"/>
          <w:b w:val="0"/>
          <w:bCs w:val="0"/>
          <w:snapToGrid w:val="0"/>
          <w:color w:val="auto"/>
          <w:kern w:val="0"/>
          <w:sz w:val="28"/>
          <w:szCs w:val="28"/>
          <w:highlight w:val="none"/>
          <w:lang w:val="en-US" w:eastAsia="zh-CN" w:bidi="zh-CN"/>
        </w:rPr>
      </w:pPr>
      <w:r>
        <w:rPr>
          <w:rFonts w:hint="eastAsia" w:ascii="仿宋" w:hAnsi="仿宋" w:eastAsia="仿宋" w:cs="仿宋"/>
          <w:b w:val="0"/>
          <w:bCs w:val="0"/>
          <w:snapToGrid w:val="0"/>
          <w:color w:val="auto"/>
          <w:kern w:val="0"/>
          <w:sz w:val="28"/>
          <w:szCs w:val="28"/>
          <w:highlight w:val="none"/>
          <w:lang w:val="en-US" w:eastAsia="zh-CN" w:bidi="zh-CN"/>
        </w:rPr>
        <w:t xml:space="preserve">a.符合国家法律法规、政策要求； </w:t>
      </w:r>
    </w:p>
    <w:p w14:paraId="59A0C945">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exact"/>
        <w:ind w:firstLine="1120" w:firstLineChars="400"/>
        <w:jc w:val="left"/>
        <w:textAlignment w:val="baseline"/>
        <w:rPr>
          <w:rFonts w:hint="eastAsia" w:ascii="仿宋" w:hAnsi="仿宋" w:eastAsia="仿宋" w:cs="仿宋"/>
          <w:b w:val="0"/>
          <w:bCs w:val="0"/>
          <w:snapToGrid w:val="0"/>
          <w:color w:val="auto"/>
          <w:kern w:val="0"/>
          <w:sz w:val="28"/>
          <w:szCs w:val="28"/>
          <w:highlight w:val="none"/>
          <w:lang w:val="en-US" w:eastAsia="zh-CN" w:bidi="zh-CN"/>
        </w:rPr>
      </w:pPr>
      <w:r>
        <w:rPr>
          <w:rFonts w:hint="eastAsia" w:ascii="仿宋" w:hAnsi="仿宋" w:eastAsia="仿宋" w:cs="仿宋"/>
          <w:b w:val="0"/>
          <w:bCs w:val="0"/>
          <w:snapToGrid w:val="0"/>
          <w:color w:val="auto"/>
          <w:kern w:val="0"/>
          <w:sz w:val="28"/>
          <w:szCs w:val="28"/>
          <w:highlight w:val="none"/>
          <w:lang w:val="en-US" w:eastAsia="zh-CN" w:bidi="zh-CN"/>
        </w:rPr>
        <w:t xml:space="preserve">b.不得侵犯他人知识产权、名誉权等合法权益； </w:t>
      </w:r>
    </w:p>
    <w:p w14:paraId="1A8E6D10">
      <w:r>
        <w:rPr>
          <w:rFonts w:hint="eastAsia" w:ascii="仿宋" w:hAnsi="仿宋" w:eastAsia="仿宋" w:cs="仿宋"/>
          <w:b w:val="0"/>
          <w:bCs w:val="0"/>
          <w:snapToGrid w:val="0"/>
          <w:color w:val="auto"/>
          <w:kern w:val="0"/>
          <w:sz w:val="28"/>
          <w:szCs w:val="28"/>
          <w:highlight w:val="none"/>
          <w:lang w:val="en-US" w:eastAsia="zh-CN" w:bidi="zh-CN"/>
        </w:rPr>
        <w:t>c.不得给采购人商业名誉造成不良影响。</w:t>
      </w:r>
      <w:bookmarkStart w:id="4" w:name="_GoBack"/>
      <w:bookmarkEnd w:id="4"/>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9CE32D9"/>
    <w:multiLevelType w:val="singleLevel"/>
    <w:tmpl w:val="C9CE32D9"/>
    <w:lvl w:ilvl="0" w:tentative="0">
      <w:start w:val="4"/>
      <w:numFmt w:val="chineseCounting"/>
      <w:suff w:val="space"/>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AA737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2026-06-23T06:42:57Z</dcterms:created>
  <dc:creator>Administrator</dc:creator>
  <cp:lastModifiedBy>新余长兴工程咨询有限公司</cp:lastModifiedBy>
  <dcterms:modified xsi:type="dcterms:W3CDTF">2026-06-23T06:43:05Z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eyJoZGlkIjoiNGU4ODU3MjZhZjc4N2VjYjllNDk5Y2UzYjk0ZGI4ZTQiLCJ1c2VySWQiOiIzNTUzNzgwODAifQ==</vt:lpwstr>
  </property>
  <property fmtid="{D5CDD505-2E9C-101B-9397-08002B2CF9AE}" pid="4" name="ICV">
    <vt:lpwstr>7903DE9C15794AA0B5E950D5C015729E_12</vt:lpwstr>
  </property>
</Properties>
</file>