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2A103">
      <w:pPr>
        <w:pageBreakBefore w:val="0"/>
        <w:widowControl w:val="0"/>
        <w:wordWrap/>
        <w:overflowPunct/>
        <w:topLinePunct w:val="0"/>
        <w:bidi w:val="0"/>
        <w:spacing w:before="63" w:line="224" w:lineRule="auto"/>
        <w:jc w:val="center"/>
        <w:outlineLvl w:val="0"/>
        <w:rPr>
          <w:rFonts w:hint="eastAsia" w:asciiTheme="minorEastAsia" w:hAnsiTheme="minorEastAsia" w:eastAsiaTheme="minorEastAsia" w:cstheme="minorEastAsia"/>
          <w:color w:val="auto"/>
          <w:sz w:val="31"/>
          <w:szCs w:val="31"/>
          <w:highlight w:val="none"/>
          <w:lang w:eastAsia="zh-CN"/>
        </w:rPr>
      </w:pPr>
      <w:bookmarkStart w:id="0" w:name="_Toc21407"/>
      <w:bookmarkStart w:id="1" w:name="_Toc32483"/>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Theme="minorEastAsia" w:hAnsiTheme="minorEastAsia" w:eastAsiaTheme="minorEastAsia" w:cstheme="minorEastAsia"/>
          <w:color w:val="auto"/>
          <w:spacing w:val="9"/>
          <w:sz w:val="31"/>
          <w:szCs w:val="31"/>
          <w:highlight w:val="none"/>
          <w:lang w:eastAsia="zh-CN"/>
        </w:rPr>
        <w:t xml:space="preserve"> </w:t>
      </w:r>
      <w:bookmarkStart w:id="8" w:name="_GoBack"/>
      <w:r>
        <w:rPr>
          <w:rFonts w:hint="eastAsia" w:asciiTheme="minorEastAsia" w:hAnsiTheme="minorEastAsia" w:eastAsiaTheme="minorEastAsia" w:cstheme="minorEastAsia"/>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bookmarkEnd w:id="1"/>
      <w:bookmarkEnd w:id="8"/>
    </w:p>
    <w:p w14:paraId="30C0D51C">
      <w:pPr>
        <w:pageBreakBefore w:val="0"/>
        <w:widowControl w:val="0"/>
        <w:wordWrap/>
        <w:overflowPunct/>
        <w:topLinePunct w:val="0"/>
        <w:bidi w:val="0"/>
        <w:spacing w:line="309" w:lineRule="auto"/>
        <w:jc w:val="center"/>
        <w:rPr>
          <w:rFonts w:hint="eastAsia" w:asciiTheme="minorEastAsia" w:hAnsiTheme="minorEastAsia" w:eastAsiaTheme="minorEastAsia" w:cstheme="minorEastAsia"/>
          <w:color w:val="auto"/>
          <w:highlight w:val="none"/>
          <w:lang w:eastAsia="zh-CN"/>
        </w:rPr>
      </w:pPr>
    </w:p>
    <w:p w14:paraId="1DBC304A">
      <w:pPr>
        <w:pageBreakBefore w:val="0"/>
        <w:widowControl w:val="0"/>
        <w:wordWrap/>
        <w:overflowPunct/>
        <w:topLinePunct w:val="0"/>
        <w:bidi w:val="0"/>
        <w:spacing w:before="78" w:line="220" w:lineRule="auto"/>
        <w:jc w:val="both"/>
        <w:outlineLvl w:val="1"/>
        <w:rPr>
          <w:rFonts w:hint="eastAsia" w:asciiTheme="minorEastAsia" w:hAnsiTheme="minorEastAsia" w:eastAsiaTheme="minorEastAsia" w:cstheme="minorEastAsia"/>
          <w:color w:val="auto"/>
          <w:sz w:val="28"/>
          <w:szCs w:val="28"/>
          <w:highlight w:val="none"/>
        </w:rPr>
      </w:pPr>
      <w:bookmarkStart w:id="2" w:name="_Toc1815"/>
      <w:bookmarkStart w:id="3" w:name="_Toc2929"/>
      <w:r>
        <w:rPr>
          <w:rFonts w:hint="eastAsia" w:asciiTheme="minorEastAsia" w:hAnsiTheme="minorEastAsia" w:eastAsiaTheme="minorEastAsia" w:cstheme="minorEastAsia"/>
          <w:color w:val="auto"/>
          <w:spacing w:val="-2"/>
          <w:sz w:val="28"/>
          <w:szCs w:val="28"/>
          <w:highlight w:val="none"/>
          <w14:textOutline w14:w="4356" w14:cap="sq" w14:cmpd="sng" w14:algn="ctr">
            <w14:solidFill>
              <w14:srgbClr w14:val="000000"/>
            </w14:solidFill>
            <w14:prstDash w14:val="solid"/>
            <w14:bevel/>
          </w14:textOutline>
        </w:rPr>
        <w:t>一、</w:t>
      </w:r>
      <w:r>
        <w:rPr>
          <w:rFonts w:hint="eastAsia" w:asciiTheme="minorEastAsia" w:hAnsiTheme="minorEastAsia" w:eastAsiaTheme="minorEastAsia" w:cstheme="minorEastAsia"/>
          <w:color w:val="auto"/>
          <w:spacing w:val="-2"/>
          <w:sz w:val="28"/>
          <w:szCs w:val="28"/>
          <w:highlight w:val="none"/>
          <w:lang w:val="en-US" w:eastAsia="zh-CN"/>
          <w14:textOutline w14:w="4356" w14:cap="sq" w14:cmpd="sng" w14:algn="ctr">
            <w14:solidFill>
              <w14:srgbClr w14:val="000000"/>
            </w14:solidFill>
            <w14:prstDash w14:val="solid"/>
            <w14:bevel/>
          </w14:textOutline>
        </w:rPr>
        <w:t>采购</w:t>
      </w:r>
      <w:r>
        <w:rPr>
          <w:rFonts w:hint="eastAsia" w:asciiTheme="minorEastAsia" w:hAnsiTheme="minorEastAsia" w:eastAsiaTheme="minorEastAsia" w:cstheme="minorEastAsia"/>
          <w:color w:val="auto"/>
          <w:spacing w:val="-2"/>
          <w:sz w:val="28"/>
          <w:szCs w:val="28"/>
          <w:highlight w:val="none"/>
          <w14:textOutline w14:w="4356" w14:cap="sq" w14:cmpd="sng" w14:algn="ctr">
            <w14:solidFill>
              <w14:srgbClr w14:val="000000"/>
            </w14:solidFill>
            <w14:prstDash w14:val="solid"/>
            <w14:bevel/>
          </w14:textOutline>
        </w:rPr>
        <w:t>需求表</w:t>
      </w:r>
      <w:bookmarkEnd w:id="2"/>
      <w:bookmarkEnd w:id="3"/>
    </w:p>
    <w:p w14:paraId="60952341">
      <w:pPr>
        <w:pageBreakBefore w:val="0"/>
        <w:widowControl w:val="0"/>
        <w:wordWrap/>
        <w:overflowPunct/>
        <w:topLinePunct w:val="0"/>
        <w:bidi w:val="0"/>
        <w:spacing w:before="64"/>
        <w:rPr>
          <w:rFonts w:hint="eastAsia" w:asciiTheme="minorEastAsia" w:hAnsiTheme="minorEastAsia" w:eastAsiaTheme="minorEastAsia" w:cstheme="minorEastAsia"/>
          <w:color w:val="auto"/>
          <w:highlight w:val="none"/>
        </w:rPr>
      </w:pPr>
    </w:p>
    <w:tbl>
      <w:tblPr>
        <w:tblStyle w:val="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13"/>
        <w:gridCol w:w="6788"/>
      </w:tblGrid>
      <w:tr w14:paraId="6BCC41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313" w:type="dxa"/>
          </w:tcPr>
          <w:p w14:paraId="43D1D53C">
            <w:pPr>
              <w:pageBreakBefore w:val="0"/>
              <w:widowControl w:val="0"/>
              <w:wordWrap/>
              <w:overflowPunct/>
              <w:topLinePunct w:val="0"/>
              <w:bidi w:val="0"/>
              <w:spacing w:line="360" w:lineRule="auto"/>
              <w:ind w:left="1091" w:firstLine="210" w:firstLineChars="100"/>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highlight w:val="none"/>
              </w:rPr>
              <w:drawing>
                <wp:anchor distT="0" distB="0" distL="0" distR="0" simplePos="0" relativeHeight="251660288" behindDoc="1" locked="0" layoutInCell="1" allowOverlap="1">
                  <wp:simplePos x="0" y="0"/>
                  <wp:positionH relativeFrom="column">
                    <wp:posOffset>2540</wp:posOffset>
                  </wp:positionH>
                  <wp:positionV relativeFrom="paragraph">
                    <wp:posOffset>-3175</wp:posOffset>
                  </wp:positionV>
                  <wp:extent cx="1467485" cy="1468120"/>
                  <wp:effectExtent l="0" t="0" r="18415" b="1778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467485" cy="1468120"/>
                          </a:xfrm>
                          <a:prstGeom prst="rect">
                            <a:avLst/>
                          </a:prstGeom>
                        </pic:spPr>
                      </pic:pic>
                    </a:graphicData>
                  </a:graphic>
                </wp:anchor>
              </w:drawing>
            </w:r>
            <w:r>
              <w:rPr>
                <w:rFonts w:hint="eastAsia" w:asciiTheme="minorEastAsia" w:hAnsiTheme="minorEastAsia" w:eastAsiaTheme="minorEastAsia" w:cstheme="minorEastAsia"/>
                <w:color w:val="auto"/>
                <w:spacing w:val="0"/>
                <w:position w:val="0"/>
                <w:sz w:val="24"/>
                <w:szCs w:val="24"/>
                <w:highlight w:val="none"/>
              </w:rPr>
              <w:t>名称</w:t>
            </w:r>
          </w:p>
          <w:p w14:paraId="02DC9167">
            <w:pPr>
              <w:pStyle w:val="6"/>
              <w:pageBreakBefore w:val="0"/>
              <w:widowControl w:val="0"/>
              <w:wordWrap/>
              <w:overflowPunct/>
              <w:topLinePunct w:val="0"/>
              <w:bidi w:val="0"/>
              <w:spacing w:line="360" w:lineRule="auto"/>
              <w:rPr>
                <w:rFonts w:hint="eastAsia" w:asciiTheme="minorEastAsia" w:hAnsiTheme="minorEastAsia" w:eastAsiaTheme="minorEastAsia" w:cstheme="minorEastAsia"/>
                <w:color w:val="auto"/>
                <w:spacing w:val="0"/>
                <w:position w:val="0"/>
                <w:highlight w:val="none"/>
              </w:rPr>
            </w:pPr>
          </w:p>
          <w:p w14:paraId="29E27E02">
            <w:pPr>
              <w:pStyle w:val="6"/>
              <w:pageBreakBefore w:val="0"/>
              <w:widowControl w:val="0"/>
              <w:wordWrap/>
              <w:overflowPunct/>
              <w:topLinePunct w:val="0"/>
              <w:bidi w:val="0"/>
              <w:spacing w:line="360" w:lineRule="auto"/>
              <w:rPr>
                <w:rFonts w:hint="eastAsia" w:asciiTheme="minorEastAsia" w:hAnsiTheme="minorEastAsia" w:eastAsiaTheme="minorEastAsia" w:cstheme="minorEastAsia"/>
                <w:color w:val="auto"/>
                <w:spacing w:val="0"/>
                <w:position w:val="0"/>
                <w:highlight w:val="none"/>
              </w:rPr>
            </w:pPr>
          </w:p>
          <w:p w14:paraId="2576AEBC">
            <w:pPr>
              <w:pageBreakBefore w:val="0"/>
              <w:widowControl w:val="0"/>
              <w:wordWrap/>
              <w:overflowPunct/>
              <w:topLinePunct w:val="0"/>
              <w:bidi w:val="0"/>
              <w:spacing w:line="360" w:lineRule="auto"/>
              <w:ind w:left="481"/>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rPr>
              <w:t>内容</w:t>
            </w:r>
          </w:p>
        </w:tc>
        <w:tc>
          <w:tcPr>
            <w:tcW w:w="6788" w:type="dxa"/>
            <w:vAlign w:val="center"/>
          </w:tcPr>
          <w:p w14:paraId="088A0125">
            <w:pPr>
              <w:pStyle w:val="6"/>
              <w:pageBreakBefore w:val="0"/>
              <w:widowControl w:val="0"/>
              <w:wordWrap/>
              <w:overflowPunct/>
              <w:topLinePunct w:val="0"/>
              <w:bidi w:val="0"/>
              <w:spacing w:line="360" w:lineRule="auto"/>
              <w:jc w:val="center"/>
              <w:rPr>
                <w:rFonts w:hint="eastAsia" w:asciiTheme="minorEastAsia" w:hAnsiTheme="minorEastAsia" w:eastAsiaTheme="minorEastAsia" w:cstheme="minorEastAsia"/>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芦溪县工业园园区企业进行安全隐患排查和安全管家服务</w:t>
            </w:r>
          </w:p>
        </w:tc>
      </w:tr>
      <w:tr w14:paraId="5F63B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313" w:type="dxa"/>
            <w:vAlign w:val="center"/>
          </w:tcPr>
          <w:p w14:paraId="7DE7FC66">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rPr>
              <w:t>数量</w:t>
            </w:r>
          </w:p>
        </w:tc>
        <w:tc>
          <w:tcPr>
            <w:tcW w:w="6788" w:type="dxa"/>
            <w:vAlign w:val="center"/>
          </w:tcPr>
          <w:p w14:paraId="6335516F">
            <w:pPr>
              <w:pStyle w:val="6"/>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default" w:asciiTheme="minorEastAsia" w:hAnsiTheme="minorEastAsia" w:eastAsiaTheme="minorEastAsia" w:cstheme="minorEastAsia"/>
                <w:color w:val="auto"/>
                <w:spacing w:val="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2年</w:t>
            </w:r>
          </w:p>
        </w:tc>
      </w:tr>
      <w:tr w14:paraId="34BB19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6" w:hRule="atLeast"/>
        </w:trPr>
        <w:tc>
          <w:tcPr>
            <w:tcW w:w="2313" w:type="dxa"/>
            <w:vAlign w:val="center"/>
          </w:tcPr>
          <w:p w14:paraId="4CEA1D28">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lang w:val="en-US" w:eastAsia="zh-CN"/>
              </w:rPr>
              <w:t>服务</w:t>
            </w:r>
            <w:r>
              <w:rPr>
                <w:rFonts w:hint="eastAsia" w:asciiTheme="minorEastAsia" w:hAnsiTheme="minorEastAsia" w:eastAsiaTheme="minorEastAsia" w:cstheme="minorEastAsia"/>
                <w:color w:val="auto"/>
                <w:spacing w:val="0"/>
                <w:position w:val="0"/>
                <w:sz w:val="24"/>
                <w:szCs w:val="24"/>
                <w:highlight w:val="none"/>
              </w:rPr>
              <w:t>期</w:t>
            </w:r>
          </w:p>
        </w:tc>
        <w:tc>
          <w:tcPr>
            <w:tcW w:w="6788" w:type="dxa"/>
            <w:vAlign w:val="center"/>
          </w:tcPr>
          <w:p w14:paraId="0D938EFD">
            <w:pPr>
              <w:pStyle w:val="6"/>
              <w:pageBreakBefore w:val="0"/>
              <w:widowControl w:val="0"/>
              <w:wordWrap/>
              <w:overflowPunct/>
              <w:topLinePunct w:val="0"/>
              <w:bidi w:val="0"/>
              <w:spacing w:line="360" w:lineRule="auto"/>
              <w:jc w:val="center"/>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lang w:val="en-US" w:eastAsia="zh-CN"/>
              </w:rPr>
              <w:t>两年</w:t>
            </w:r>
          </w:p>
        </w:tc>
      </w:tr>
      <w:tr w14:paraId="282AB1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313" w:type="dxa"/>
            <w:vAlign w:val="center"/>
          </w:tcPr>
          <w:p w14:paraId="2B463FA5">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lang w:val="en-US" w:eastAsia="zh-CN"/>
              </w:rPr>
              <w:t>服务</w:t>
            </w:r>
            <w:r>
              <w:rPr>
                <w:rFonts w:hint="eastAsia" w:asciiTheme="minorEastAsia" w:hAnsiTheme="minorEastAsia" w:eastAsiaTheme="minorEastAsia" w:cstheme="minorEastAsia"/>
                <w:color w:val="auto"/>
                <w:spacing w:val="0"/>
                <w:position w:val="0"/>
                <w:sz w:val="24"/>
                <w:szCs w:val="24"/>
                <w:highlight w:val="none"/>
              </w:rPr>
              <w:t>地点</w:t>
            </w:r>
          </w:p>
        </w:tc>
        <w:tc>
          <w:tcPr>
            <w:tcW w:w="6788" w:type="dxa"/>
            <w:vAlign w:val="center"/>
          </w:tcPr>
          <w:p w14:paraId="21A852A0">
            <w:pPr>
              <w:keepNext w:val="0"/>
              <w:keepLines w:val="0"/>
              <w:widowControl/>
              <w:suppressLineNumbers w:val="0"/>
              <w:jc w:val="center"/>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lang w:val="en-US" w:eastAsia="zh-CN"/>
              </w:rPr>
              <w:t>采购人指定地点。</w:t>
            </w:r>
          </w:p>
        </w:tc>
      </w:tr>
      <w:tr w14:paraId="327CC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313" w:type="dxa"/>
            <w:vAlign w:val="center"/>
          </w:tcPr>
          <w:p w14:paraId="7DF3438E">
            <w:pPr>
              <w:keepNext w:val="0"/>
              <w:keepLines w:val="0"/>
              <w:pageBreakBefore w:val="0"/>
              <w:widowControl w:val="0"/>
              <w:kinsoku w:val="0"/>
              <w:wordWrap/>
              <w:overflowPunct/>
              <w:topLinePunct w:val="0"/>
              <w:autoSpaceDE w:val="0"/>
              <w:autoSpaceDN w:val="0"/>
              <w:bidi w:val="0"/>
              <w:adjustRightInd w:val="0"/>
              <w:snapToGrid w:val="0"/>
              <w:spacing w:line="240" w:lineRule="auto"/>
              <w:ind w:left="0"/>
              <w:jc w:val="center"/>
              <w:textAlignment w:val="baseline"/>
              <w:rPr>
                <w:rFonts w:hint="eastAsia" w:asciiTheme="minorEastAsia" w:hAnsiTheme="minorEastAsia" w:eastAsiaTheme="minorEastAsia" w:cstheme="minorEastAsia"/>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szCs w:val="24"/>
                <w:highlight w:val="none"/>
              </w:rPr>
              <w:t>备注</w:t>
            </w:r>
          </w:p>
        </w:tc>
        <w:tc>
          <w:tcPr>
            <w:tcW w:w="6788" w:type="dxa"/>
            <w:vAlign w:val="center"/>
          </w:tcPr>
          <w:p w14:paraId="44D5F4D0">
            <w:pPr>
              <w:pStyle w:val="6"/>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color w:val="auto"/>
                <w:spacing w:val="0"/>
                <w:position w:val="0"/>
                <w:highlight w:val="none"/>
              </w:rPr>
            </w:pPr>
          </w:p>
        </w:tc>
      </w:tr>
    </w:tbl>
    <w:p w14:paraId="2DC51851">
      <w:pPr>
        <w:pageBreakBefore w:val="0"/>
        <w:widowControl w:val="0"/>
        <w:wordWrap/>
        <w:overflowPunct/>
        <w:topLinePunct w:val="0"/>
        <w:bidi w:val="0"/>
        <w:rPr>
          <w:rFonts w:hint="eastAsia" w:asciiTheme="minorEastAsia" w:hAnsiTheme="minorEastAsia" w:eastAsiaTheme="minorEastAsia" w:cstheme="minorEastAsia"/>
          <w:color w:val="auto"/>
          <w:highlight w:val="none"/>
        </w:rPr>
      </w:pPr>
    </w:p>
    <w:p w14:paraId="4941EB08">
      <w:pPr>
        <w:pageBreakBefore w:val="0"/>
        <w:widowControl w:val="0"/>
        <w:wordWrap/>
        <w:overflowPunct/>
        <w:topLinePunct w:val="0"/>
        <w:bidi w:val="0"/>
        <w:rPr>
          <w:rFonts w:hint="eastAsia" w:asciiTheme="minorEastAsia" w:hAnsiTheme="minorEastAsia" w:eastAsiaTheme="minorEastAsia" w:cstheme="minorEastAsia"/>
          <w:color w:val="auto"/>
          <w:highlight w:val="none"/>
        </w:rPr>
        <w:sectPr>
          <w:footerReference r:id="rId3" w:type="default"/>
          <w:pgSz w:w="11906" w:h="16839"/>
          <w:pgMar w:top="1232" w:right="1786" w:bottom="1156" w:left="1786" w:header="1134" w:footer="1134" w:gutter="0"/>
          <w:pgNumType w:fmt="decimal"/>
          <w:cols w:space="720" w:num="1"/>
        </w:sectPr>
      </w:pPr>
    </w:p>
    <w:p w14:paraId="49411F6E">
      <w:pPr>
        <w:pageBreakBefore w:val="0"/>
        <w:widowControl w:val="0"/>
        <w:wordWrap/>
        <w:overflowPunct/>
        <w:topLinePunct w:val="0"/>
        <w:bidi w:val="0"/>
        <w:spacing w:before="47" w:line="219" w:lineRule="auto"/>
        <w:ind w:left="3805"/>
        <w:outlineLvl w:val="1"/>
        <w:rPr>
          <w:rFonts w:hint="eastAsia" w:asciiTheme="minorEastAsia" w:hAnsiTheme="minorEastAsia" w:eastAsiaTheme="minorEastAsia" w:cstheme="minorEastAsia"/>
          <w:color w:val="auto"/>
          <w:sz w:val="28"/>
          <w:szCs w:val="28"/>
          <w:highlight w:val="none"/>
        </w:rPr>
      </w:pPr>
      <w:bookmarkStart w:id="4" w:name="bookmark81"/>
      <w:bookmarkEnd w:id="4"/>
      <w:bookmarkStart w:id="5" w:name="_Toc32620"/>
      <w:bookmarkStart w:id="6" w:name="_Toc23575"/>
      <w:r>
        <w:rPr>
          <w:rFonts w:hint="eastAsia" w:asciiTheme="minorEastAsia" w:hAnsiTheme="minorEastAsia" w:eastAsiaTheme="minorEastAsia" w:cstheme="minorEastAsia"/>
          <w:color w:val="auto"/>
          <w:spacing w:val="-2"/>
          <w:sz w:val="28"/>
          <w:szCs w:val="28"/>
          <w:highlight w:val="none"/>
          <w14:textOutline w14:w="4356" w14:cap="sq" w14:cmpd="sng" w14:algn="ctr">
            <w14:solidFill>
              <w14:srgbClr w14:val="000000"/>
            </w14:solidFill>
            <w14:prstDash w14:val="solid"/>
            <w14:bevel/>
          </w14:textOutline>
        </w:rPr>
        <w:t>二、采购</w:t>
      </w:r>
      <w:r>
        <w:rPr>
          <w:rFonts w:hint="eastAsia" w:asciiTheme="minorEastAsia" w:hAnsiTheme="minorEastAsia" w:eastAsiaTheme="minorEastAsia" w:cstheme="minorEastAsia"/>
          <w:color w:val="auto"/>
          <w:spacing w:val="-2"/>
          <w:sz w:val="28"/>
          <w:szCs w:val="28"/>
          <w:highlight w:val="none"/>
          <w:lang w:val="en-US" w:eastAsia="zh-CN"/>
          <w14:textOutline w14:w="4356" w14:cap="sq" w14:cmpd="sng" w14:algn="ctr">
            <w14:solidFill>
              <w14:srgbClr w14:val="000000"/>
            </w14:solidFill>
            <w14:prstDash w14:val="solid"/>
            <w14:bevel/>
          </w14:textOutline>
        </w:rPr>
        <w:t>要</w:t>
      </w:r>
      <w:r>
        <w:rPr>
          <w:rFonts w:hint="eastAsia" w:asciiTheme="minorEastAsia" w:hAnsiTheme="minorEastAsia" w:eastAsiaTheme="minorEastAsia" w:cstheme="minorEastAsia"/>
          <w:color w:val="auto"/>
          <w:spacing w:val="-2"/>
          <w:sz w:val="28"/>
          <w:szCs w:val="28"/>
          <w:highlight w:val="none"/>
          <w14:textOutline w14:w="4356" w14:cap="sq" w14:cmpd="sng" w14:algn="ctr">
            <w14:solidFill>
              <w14:srgbClr w14:val="000000"/>
            </w14:solidFill>
            <w14:prstDash w14:val="solid"/>
            <w14:bevel/>
          </w14:textOutline>
        </w:rPr>
        <w:t>求</w:t>
      </w:r>
      <w:bookmarkEnd w:id="5"/>
      <w:bookmarkEnd w:id="6"/>
    </w:p>
    <w:p w14:paraId="729D43DD">
      <w:pPr>
        <w:pageBreakBefore w:val="0"/>
        <w:widowControl w:val="0"/>
        <w:wordWrap/>
        <w:overflowPunct/>
        <w:topLinePunct w:val="0"/>
        <w:bidi w:val="0"/>
        <w:spacing w:before="78" w:line="219" w:lineRule="auto"/>
        <w:outlineLvl w:val="2"/>
        <w:rPr>
          <w:rFonts w:hint="eastAsia" w:asciiTheme="minorEastAsia" w:hAnsiTheme="minorEastAsia" w:eastAsiaTheme="minorEastAsia" w:cstheme="minorEastAsia"/>
          <w:b/>
          <w:bCs/>
          <w:color w:val="auto"/>
          <w:sz w:val="28"/>
          <w:szCs w:val="28"/>
          <w:highlight w:val="none"/>
        </w:rPr>
      </w:pPr>
      <w:bookmarkStart w:id="7" w:name="_Toc18481"/>
      <w:r>
        <w:rPr>
          <w:rFonts w:hint="eastAsia" w:asciiTheme="minorEastAsia" w:hAnsiTheme="minorEastAsia" w:eastAsiaTheme="minorEastAsia" w:cstheme="minorEastAsia"/>
          <w:b/>
          <w:bCs/>
          <w:color w:val="auto"/>
          <w:spacing w:val="-5"/>
          <w:sz w:val="28"/>
          <w:szCs w:val="28"/>
          <w:highlight w:val="none"/>
        </w:rPr>
        <w:t>（一）</w:t>
      </w:r>
      <w:r>
        <w:rPr>
          <w:rFonts w:hint="eastAsia" w:asciiTheme="minorEastAsia" w:hAnsiTheme="minorEastAsia" w:eastAsiaTheme="minorEastAsia" w:cstheme="minorEastAsia"/>
          <w:b/>
          <w:bCs/>
          <w:color w:val="auto"/>
          <w:spacing w:val="-5"/>
          <w:sz w:val="28"/>
          <w:szCs w:val="28"/>
          <w:highlight w:val="none"/>
          <w:lang w:val="en-US" w:eastAsia="zh-CN"/>
        </w:rPr>
        <w:t>服务</w:t>
      </w:r>
      <w:r>
        <w:rPr>
          <w:rFonts w:hint="eastAsia" w:asciiTheme="minorEastAsia" w:hAnsiTheme="minorEastAsia" w:eastAsiaTheme="minorEastAsia" w:cstheme="minorEastAsia"/>
          <w:b/>
          <w:bCs/>
          <w:color w:val="auto"/>
          <w:spacing w:val="-5"/>
          <w:sz w:val="28"/>
          <w:szCs w:val="28"/>
          <w:highlight w:val="none"/>
        </w:rPr>
        <w:t>需求</w:t>
      </w:r>
      <w:bookmarkEnd w:id="7"/>
    </w:p>
    <w:p w14:paraId="42C5BE98">
      <w:pPr>
        <w:keepNext w:val="0"/>
        <w:keepLines w:val="0"/>
        <w:pageBreakBefore w:val="0"/>
        <w:widowControl/>
        <w:kinsoku w:val="0"/>
        <w:wordWrap/>
        <w:overflowPunct/>
        <w:topLinePunct w:val="0"/>
        <w:autoSpaceDE w:val="0"/>
        <w:autoSpaceDN w:val="0"/>
        <w:bidi w:val="0"/>
        <w:adjustRightInd w:val="0"/>
        <w:snapToGrid w:val="0"/>
        <w:spacing w:before="0" w:beforeLines="100" w:line="240" w:lineRule="auto"/>
        <w:textAlignment w:val="baseline"/>
        <w:rPr>
          <w:rFonts w:ascii="宋体" w:hAnsi="宋体" w:eastAsia="宋体" w:cs="宋体"/>
          <w:b/>
          <w:bCs/>
          <w:color w:val="000000" w:themeColor="text1"/>
          <w:sz w:val="24"/>
          <w:szCs w:val="24"/>
          <w:highlight w:val="none"/>
          <w14:textFill>
            <w14:solidFill>
              <w14:schemeClr w14:val="tx1"/>
            </w14:solidFill>
          </w14:textFill>
        </w:rPr>
      </w:pPr>
      <w:r>
        <w:rPr>
          <w:rFonts w:ascii="宋体" w:hAnsi="宋体" w:eastAsia="宋体" w:cs="宋体"/>
          <w:b/>
          <w:bCs/>
          <w:color w:val="000000" w:themeColor="text1"/>
          <w:spacing w:val="-3"/>
          <w:sz w:val="24"/>
          <w:szCs w:val="24"/>
          <w:highlight w:val="none"/>
          <w14:textFill>
            <w14:solidFill>
              <w14:schemeClr w14:val="tx1"/>
            </w14:solidFill>
          </w14:textFill>
        </w:rPr>
        <w:t>一）服务目标</w:t>
      </w:r>
    </w:p>
    <w:p w14:paraId="3A0C8C4A">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根据《中华人民共和国安全生产法》等法律法规和政策文件，为加强园区安全生产监管服务，决定开展园区安全生产技术咨询及安全管家服务工作，协助园区不断提高安全生产监管效能,督促辖区内企业落实安全生产主体责任,做好风险防范和隐患排查整改工作，帮助企业建立、完善安全管理体系,不断提升安全生产监管水平,杜绝重特大事故、较大事故，避免和减少一般事故，维护园区安全形势稳定向好。</w:t>
      </w:r>
    </w:p>
    <w:p w14:paraId="5F6EFA17">
      <w:pPr>
        <w:keepNext w:val="0"/>
        <w:keepLines w:val="0"/>
        <w:pageBreakBefore w:val="0"/>
        <w:widowControl/>
        <w:kinsoku/>
        <w:wordWrap/>
        <w:overflowPunct/>
        <w:topLinePunct w:val="0"/>
        <w:autoSpaceDE/>
        <w:autoSpaceDN/>
        <w:bidi w:val="0"/>
        <w:adjustRightInd/>
        <w:snapToGrid w:val="0"/>
        <w:spacing w:before="0" w:beforeLines="100" w:line="240" w:lineRule="auto"/>
        <w:textAlignment w:val="auto"/>
        <w:rPr>
          <w:rFonts w:hint="eastAsia" w:ascii="宋体" w:hAnsi="宋体" w:eastAsia="宋体" w:cs="宋体"/>
          <w:color w:val="000000" w:themeColor="text1"/>
          <w:spacing w:val="-3"/>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spacing w:val="-3"/>
          <w:sz w:val="24"/>
          <w:szCs w:val="24"/>
          <w:highlight w:val="none"/>
          <w:lang w:val="en-US" w:eastAsia="zh-CN"/>
          <w14:textFill>
            <w14:solidFill>
              <w14:schemeClr w14:val="tx1"/>
            </w14:solidFill>
          </w14:textFill>
        </w:rPr>
        <w:t>二）服务内容</w:t>
      </w:r>
    </w:p>
    <w:p w14:paraId="53382ABA">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1.指导企业完善一厂一档建立，主要内容有：</w:t>
      </w:r>
    </w:p>
    <w:p w14:paraId="6DD79E76">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（1）建立健全安全生产责任制度；</w:t>
      </w:r>
    </w:p>
    <w:p w14:paraId="6B861354">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（2）协助企业建立完善安全管理机制；</w:t>
      </w:r>
    </w:p>
    <w:p w14:paraId="342CC103">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（3）安全管理制度及操作规程；</w:t>
      </w:r>
    </w:p>
    <w:p w14:paraId="353A5BB3">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（4）安全会议制度的建立；</w:t>
      </w:r>
    </w:p>
    <w:p w14:paraId="5BE71B19">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（5）制定安全教育培训计划；</w:t>
      </w:r>
    </w:p>
    <w:p w14:paraId="681D8976">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（6）定期对企业进行安全教育培训；</w:t>
      </w:r>
    </w:p>
    <w:p w14:paraId="55D21037">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（7）企业隐患分级及风险辨识；</w:t>
      </w:r>
    </w:p>
    <w:p w14:paraId="6137B58B">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（8）定期对企业进行安全隐患排查，提出整改方案，协助企业上传隐患排查系统；</w:t>
      </w:r>
    </w:p>
    <w:p w14:paraId="561104DF">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（9）定期开展“反三违”安全检查；</w:t>
      </w:r>
    </w:p>
    <w:p w14:paraId="7534F1F3">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（10）完善五个一、十个一次台账；</w:t>
      </w:r>
    </w:p>
    <w:p w14:paraId="4224D6AC">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（11）企业日常隐患排查记录、各类人员取证信息。</w:t>
      </w:r>
    </w:p>
    <w:p w14:paraId="35A5C8D1">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2.对园区企业进行检查，内容包括：</w:t>
      </w:r>
    </w:p>
    <w:p w14:paraId="0DEC6D00">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（1）现场安全隐患检查；</w:t>
      </w:r>
    </w:p>
    <w:p w14:paraId="77E4C994">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（2）现场安全设施检查；</w:t>
      </w:r>
    </w:p>
    <w:p w14:paraId="60F6A14B">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（3）现场特种设备检查；</w:t>
      </w:r>
    </w:p>
    <w:p w14:paraId="44BC17FC">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（4）现场危险作业检查；</w:t>
      </w:r>
    </w:p>
    <w:p w14:paraId="794FF500">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（5）现场标识标牌检查；</w:t>
      </w:r>
    </w:p>
    <w:p w14:paraId="5B829DC4">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3.日常工作规范</w:t>
      </w:r>
    </w:p>
    <w:p w14:paraId="0B7FB218">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（1）常驻人员必须遵守管委会规章制度和作息时间；</w:t>
      </w:r>
    </w:p>
    <w:p w14:paraId="538707EF">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（2）收集基础信息：核实并填写园区所有企业工商信息、主要安全管理信息和主要的安全生产风险因素等；</w:t>
      </w:r>
    </w:p>
    <w:p w14:paraId="0116CF9D">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（3）现场排查：每个月对园区所有危化企业排查一次，每季度对园区所有工贸企业排查一次，主要排查事故隐患和可能发生的事故及其危害程度分析；</w:t>
      </w:r>
    </w:p>
    <w:p w14:paraId="2DDB6553">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（4）隐患诊断治理：针对企业长期存在的隐患，从企业自身的人的不安全行为、物的不安全状态和管理缺陷三方面分析原因、落实责任，制定整改方案；</w:t>
      </w:r>
    </w:p>
    <w:p w14:paraId="7284DE8D">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（5）专家评估意见：每月末针对危化企业、每季末针对工贸企业检查出来的隐患，提出评估意见和整改建议；</w:t>
      </w:r>
    </w:p>
    <w:p w14:paraId="57B83FBF">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（6）整改复查：组建复查小组，对隐患整改方案落实情况进行全面复查；</w:t>
      </w:r>
    </w:p>
    <w:p w14:paraId="6F6A012A">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（7）评价归档：按照被整治的企业实际情况制作成一企一档，一企一档须有企业基本情况信息、检查（含复查）记录、培训记录、危险和有害因素辨识和分析以及整改台账等。</w:t>
      </w:r>
    </w:p>
    <w:p w14:paraId="19BB862B">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default"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（8）安全教育培训：由工业园管委会牵头，每季度举办一次整个园区企业安全管理人员培训班。</w:t>
      </w:r>
    </w:p>
    <w:p w14:paraId="11DDB159">
      <w:pPr>
        <w:keepNext w:val="0"/>
        <w:keepLines w:val="0"/>
        <w:pageBreakBefore w:val="0"/>
        <w:widowControl/>
        <w:kinsoku/>
        <w:wordWrap/>
        <w:overflowPunct/>
        <w:topLinePunct w:val="0"/>
        <w:autoSpaceDE/>
        <w:autoSpaceDN/>
        <w:bidi w:val="0"/>
        <w:adjustRightInd/>
        <w:snapToGrid w:val="0"/>
        <w:spacing w:line="240" w:lineRule="auto"/>
        <w:ind w:left="13"/>
        <w:textAlignment w:val="auto"/>
        <w:rPr>
          <w:rFonts w:ascii="宋体" w:hAnsi="宋体" w:eastAsia="宋体" w:cs="宋体"/>
          <w:b/>
          <w:bCs/>
          <w:color w:val="000000" w:themeColor="text1"/>
          <w:sz w:val="24"/>
          <w:szCs w:val="24"/>
          <w:highlight w:val="none"/>
          <w14:textFill>
            <w14:solidFill>
              <w14:schemeClr w14:val="tx1"/>
            </w14:solidFill>
          </w14:textFill>
        </w:rPr>
      </w:pPr>
      <w:r>
        <w:rPr>
          <w:rFonts w:ascii="宋体" w:hAnsi="宋体" w:eastAsia="宋体" w:cs="宋体"/>
          <w:b/>
          <w:bCs/>
          <w:color w:val="000000" w:themeColor="text1"/>
          <w:spacing w:val="-1"/>
          <w:sz w:val="24"/>
          <w:szCs w:val="24"/>
          <w:highlight w:val="none"/>
          <w14:textFill>
            <w14:solidFill>
              <w14:schemeClr w14:val="tx1"/>
            </w14:solidFill>
          </w14:textFill>
        </w:rPr>
        <w:t>三）常驻技术服务人员工作要求</w:t>
      </w:r>
    </w:p>
    <w:p w14:paraId="75A26430">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1.本项目为园区安全技术咨询常驻服务，投标供应商须设有专职服务团队和 1 辆工作汽车常驻园区，专职专业技术人员作为常驻安全管家协助园区指导安全生产服务，配合园区工作人员从事安全生产工作，为入驻企业提供安全隐患排查和安全技术咨询服务。常驻专业技术人员必须遵守采购人规章制度和作息时间，周末和节假日期间参与园区值班值守和执法检查。</w:t>
      </w:r>
    </w:p>
    <w:p w14:paraId="64FC4B59">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2.按照国家技术规范、标准、规程和合同中规定的技术要求进行安全服务工作，接受采购人工作指导，对合同规定的服务内容积极主动高质量的完成任务。</w:t>
      </w:r>
    </w:p>
    <w:p w14:paraId="5A518D50">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3.服务过程中发现的问题和隐患要提出整改意见或建议，向指导服务单位进行书面交底，每次检查出具专门的安全生产专业技术报告并签名。</w:t>
      </w:r>
    </w:p>
    <w:p w14:paraId="7DCF363F">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4.要切实履行职责，服务工作不走过场，不弄虚作假。服务期间发现的问题隐患，应持续跟踪检查指导，对重大隐患或突出问题必须如实报告采购人，并提出整改处理意见和解决问题的措施方法，不得隐瞒。</w:t>
      </w:r>
    </w:p>
    <w:p w14:paraId="77CDB14C">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5.开展危化、工贸领域安全生产技术服务工作时，应严格遵守国家规定相关的安全保卫及规章制度，恪守职业道德，诚实守信，不得泄漏相关单位的技术和商业秘密，并承担其提交的成果报告及有关资料保密义务。</w:t>
      </w:r>
    </w:p>
    <w:p w14:paraId="55A9957A">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6.按照采购人规定的时间提交服务成果报告，并对其资料准确性、真实性负责，否则承担相应的法律责任。同时配合采购人完成服务成果报告专家评审及主管部门备案等工作，并负责处理评审和备案有关技术事项。</w:t>
      </w:r>
    </w:p>
    <w:p w14:paraId="4CB638DC">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7.不得借服务为名，向被服务企业或相关单位收取任何费用。在工作中要廉洁自律，不得吃拿要卡。如发现经核实视情况进行罚款、更换人员，情节严重取消合同。</w:t>
      </w:r>
    </w:p>
    <w:p w14:paraId="3677BE25">
      <w:pPr>
        <w:keepNext w:val="0"/>
        <w:keepLines w:val="0"/>
        <w:pageBreakBefore w:val="0"/>
        <w:widowControl/>
        <w:kinsoku w:val="0"/>
        <w:wordWrap w:val="0"/>
        <w:overflowPunct/>
        <w:topLinePunct w:val="0"/>
        <w:autoSpaceDE w:val="0"/>
        <w:autoSpaceDN w:val="0"/>
        <w:bidi w:val="0"/>
        <w:adjustRightInd w:val="0"/>
        <w:snapToGrid w:val="0"/>
        <w:spacing w:line="240" w:lineRule="auto"/>
        <w:ind w:firstLine="480" w:firstLineChars="200"/>
        <w:jc w:val="left"/>
        <w:textAlignment w:val="baseline"/>
        <w:rPr>
          <w:rFonts w:hint="eastAsia" w:asciiTheme="minorEastAsia" w:hAnsiTheme="minorEastAsia" w:eastAsiaTheme="minorEastAsia" w:cstheme="minorEastAsia"/>
          <w:snapToGrid/>
          <w:color w:val="auto"/>
          <w:spacing w:val="0"/>
          <w:kern w:val="0"/>
          <w:sz w:val="24"/>
          <w:szCs w:val="24"/>
          <w:highlight w:val="none"/>
          <w:lang w:val="en-US" w:eastAsia="zh-CN"/>
        </w:rPr>
      </w:pPr>
      <w:r>
        <w:rPr>
          <w:rFonts w:hint="eastAsia" w:asciiTheme="minorEastAsia" w:hAnsiTheme="minorEastAsia" w:eastAsiaTheme="minorEastAsia" w:cstheme="minorEastAsia"/>
          <w:snapToGrid/>
          <w:color w:val="auto"/>
          <w:spacing w:val="0"/>
          <w:kern w:val="0"/>
          <w:sz w:val="24"/>
          <w:szCs w:val="24"/>
          <w:highlight w:val="none"/>
          <w:lang w:val="en-US" w:eastAsia="zh-CN"/>
        </w:rPr>
        <w:t>8.在项目实施或服务过程中，若上级应急管理部门检查指出企业隐患而安全管家在以往检查中未发现并提出，对安全管家进行相应处罚，按照一般隐患 1 千元/条，重大事故隐患 5 千元 /条标准，在服务费用中扣除。因安全管家未发现企业事故隐患导致辖区内企业发生一般以上生产安全事故，以应急管理部门认定事故隐患原因为准，对安全管家进行相应的处罚，按照一般事故 1 万/起，较大事故 3 万/起，重大事故 5 万/起，特别重大事故 10 万/起标准，在服务费用中扣除。</w:t>
      </w:r>
    </w:p>
    <w:p w14:paraId="50B0A8B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950E8">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790A19">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8790A19">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78183D"/>
    <w:rsid w:val="277818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2026-06-23T04:44:00Z</dcterms:created>
  <dc:creator>Lenovo</dc:creator>
  <cp:lastModifiedBy>Lenovo</cp:lastModifiedBy>
  <dcterms:modified xsi:type="dcterms:W3CDTF">2026-06-23T04:44:50Z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DB63F1E537DC4C1783D8A89876F77F4E_11</vt:lpwstr>
  </property>
  <property fmtid="{D5CDD505-2E9C-101B-9397-08002B2CF9AE}" pid="4" name="KSOTemplateDocerSaveRecord">
    <vt:lpwstr>eyJoZGlkIjoiZjNlODc3ZmIyZmIxOTMyYzAyZWZjOTU1YzRiNjNjZjAiLCJ1c2VySWQiOiIzOTI0NzI0NDAifQ==</vt:lpwstr>
  </property>
</Properties>
</file>