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839E4D">
      <w:pPr>
        <w:pageBreakBefore w:val="0"/>
        <w:widowControl w:val="0"/>
        <w:wordWrap/>
        <w:overflowPunct/>
        <w:topLinePunct w:val="0"/>
        <w:bidi w:val="0"/>
        <w:spacing w:before="63" w:line="224" w:lineRule="auto"/>
        <w:jc w:val="center"/>
        <w:rPr>
          <w:rFonts w:ascii="宋体" w:hAnsi="宋体" w:eastAsia="宋体" w:cs="宋体"/>
          <w:color w:val="auto"/>
          <w:sz w:val="31"/>
          <w:szCs w:val="31"/>
          <w:highlight w:val="none"/>
          <w:lang w:eastAsia="zh-CN"/>
        </w:rPr>
      </w:pPr>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第五章</w:t>
      </w:r>
      <w:r>
        <w:rPr>
          <w:rFonts w:ascii="宋体" w:hAnsi="宋体" w:eastAsia="宋体" w:cs="宋体"/>
          <w:color w:val="auto"/>
          <w:spacing w:val="9"/>
          <w:sz w:val="31"/>
          <w:szCs w:val="31"/>
          <w:highlight w:val="none"/>
          <w:lang w:eastAsia="zh-CN"/>
        </w:rPr>
        <w:t xml:space="preserve">  </w:t>
      </w:r>
      <w:r>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p>
    <w:p w14:paraId="260696E6">
      <w:pPr>
        <w:pageBreakBefore w:val="0"/>
        <w:widowControl w:val="0"/>
        <w:wordWrap/>
        <w:overflowPunct/>
        <w:topLinePunct w:val="0"/>
        <w:bidi w:val="0"/>
        <w:spacing w:line="309" w:lineRule="auto"/>
        <w:jc w:val="center"/>
        <w:rPr>
          <w:color w:val="auto"/>
          <w:highlight w:val="none"/>
          <w:lang w:eastAsia="zh-CN"/>
        </w:rPr>
      </w:pPr>
    </w:p>
    <w:p w14:paraId="4362D3A3">
      <w:pPr>
        <w:pageBreakBefore w:val="0"/>
        <w:widowControl w:val="0"/>
        <w:wordWrap/>
        <w:overflowPunct/>
        <w:topLinePunct w:val="0"/>
        <w:bidi w:val="0"/>
        <w:spacing w:before="78" w:line="220" w:lineRule="auto"/>
        <w:jc w:val="both"/>
        <w:outlineLvl w:val="1"/>
        <w:rPr>
          <w:rFonts w:ascii="宋体" w:hAnsi="宋体" w:eastAsia="宋体" w:cs="宋体"/>
          <w:color w:val="auto"/>
          <w:sz w:val="24"/>
          <w:szCs w:val="24"/>
          <w:highlight w:val="none"/>
        </w:rPr>
      </w:pP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需求表</w:t>
      </w:r>
    </w:p>
    <w:p w14:paraId="749E746C">
      <w:pPr>
        <w:pageBreakBefore w:val="0"/>
        <w:widowControl w:val="0"/>
        <w:wordWrap/>
        <w:overflowPunct/>
        <w:topLinePunct w:val="0"/>
        <w:bidi w:val="0"/>
        <w:spacing w:before="64"/>
        <w:rPr>
          <w:color w:val="auto"/>
          <w:highlight w:val="none"/>
        </w:rPr>
      </w:pPr>
    </w:p>
    <w:tbl>
      <w:tblPr>
        <w:tblStyle w:val="7"/>
        <w:tblW w:w="9015"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14:paraId="11FD39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2048" w:type="dxa"/>
            <w:tcBorders>
              <w:right w:val="nil"/>
            </w:tcBorders>
          </w:tcPr>
          <w:p w14:paraId="046B1CB4">
            <w:pPr>
              <w:pageBreakBefore w:val="0"/>
              <w:widowControl w:val="0"/>
              <w:wordWrap/>
              <w:overflowPunct/>
              <w:topLinePunct w:val="0"/>
              <w:bidi w:val="0"/>
              <w:spacing w:before="183" w:line="223" w:lineRule="auto"/>
              <w:ind w:left="1091"/>
              <w:rPr>
                <w:rFonts w:ascii="宋体" w:hAnsi="宋体" w:eastAsia="宋体" w:cs="宋体"/>
                <w:color w:val="auto"/>
                <w:sz w:val="24"/>
                <w:szCs w:val="24"/>
                <w:highlight w:val="none"/>
              </w:rPr>
            </w:pPr>
            <w:r>
              <w:rPr>
                <w:color w:val="auto"/>
                <w:highlight w:val="none"/>
              </w:rPr>
              <w:drawing>
                <wp:anchor distT="0" distB="0" distL="0" distR="0" simplePos="0" relativeHeight="251659264" behindDoc="1" locked="0" layoutInCell="1" allowOverlap="1">
                  <wp:simplePos x="0" y="0"/>
                  <wp:positionH relativeFrom="column">
                    <wp:posOffset>6985</wp:posOffset>
                  </wp:positionH>
                  <wp:positionV relativeFrom="paragraph">
                    <wp:posOffset>0</wp:posOffset>
                  </wp:positionV>
                  <wp:extent cx="1805305" cy="1485265"/>
                  <wp:effectExtent l="0" t="0" r="4445" b="63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4"/>
                          <a:stretch>
                            <a:fillRect/>
                          </a:stretch>
                        </pic:blipFill>
                        <pic:spPr>
                          <a:xfrm>
                            <a:off x="0" y="0"/>
                            <a:ext cx="1805051" cy="1485442"/>
                          </a:xfrm>
                          <a:prstGeom prst="rect">
                            <a:avLst/>
                          </a:prstGeom>
                        </pic:spPr>
                      </pic:pic>
                    </a:graphicData>
                  </a:graphic>
                </wp:anchor>
              </w:drawing>
            </w:r>
            <w:r>
              <w:rPr>
                <w:rFonts w:ascii="宋体" w:hAnsi="宋体" w:eastAsia="宋体" w:cs="宋体"/>
                <w:color w:val="auto"/>
                <w:sz w:val="24"/>
                <w:szCs w:val="24"/>
                <w:highlight w:val="none"/>
              </w:rPr>
              <w:t>名</w:t>
            </w:r>
          </w:p>
          <w:p w14:paraId="5E094A50">
            <w:pPr>
              <w:pStyle w:val="8"/>
              <w:pageBreakBefore w:val="0"/>
              <w:widowControl w:val="0"/>
              <w:wordWrap/>
              <w:overflowPunct/>
              <w:topLinePunct w:val="0"/>
              <w:bidi w:val="0"/>
              <w:spacing w:line="245" w:lineRule="auto"/>
              <w:rPr>
                <w:color w:val="auto"/>
                <w:highlight w:val="none"/>
              </w:rPr>
            </w:pPr>
          </w:p>
          <w:p w14:paraId="4D866FC2">
            <w:pPr>
              <w:pStyle w:val="8"/>
              <w:pageBreakBefore w:val="0"/>
              <w:widowControl w:val="0"/>
              <w:wordWrap/>
              <w:overflowPunct/>
              <w:topLinePunct w:val="0"/>
              <w:bidi w:val="0"/>
              <w:spacing w:line="246" w:lineRule="auto"/>
              <w:rPr>
                <w:color w:val="auto"/>
                <w:highlight w:val="none"/>
              </w:rPr>
            </w:pPr>
          </w:p>
          <w:p w14:paraId="631CA845">
            <w:pPr>
              <w:pageBreakBefore w:val="0"/>
              <w:widowControl w:val="0"/>
              <w:wordWrap/>
              <w:overflowPunct/>
              <w:topLinePunct w:val="0"/>
              <w:bidi w:val="0"/>
              <w:spacing w:before="78" w:line="219" w:lineRule="auto"/>
              <w:ind w:left="481"/>
              <w:rPr>
                <w:rFonts w:ascii="宋体" w:hAnsi="宋体" w:eastAsia="宋体" w:cs="宋体"/>
                <w:color w:val="auto"/>
                <w:sz w:val="24"/>
                <w:szCs w:val="24"/>
                <w:highlight w:val="none"/>
              </w:rPr>
            </w:pPr>
            <w:r>
              <w:rPr>
                <w:rFonts w:ascii="宋体" w:hAnsi="宋体" w:eastAsia="宋体" w:cs="宋体"/>
                <w:color w:val="auto"/>
                <w:sz w:val="24"/>
                <w:szCs w:val="24"/>
                <w:highlight w:val="none"/>
              </w:rPr>
              <w:t>内</w:t>
            </w:r>
          </w:p>
          <w:p w14:paraId="519314DC">
            <w:pPr>
              <w:pStyle w:val="8"/>
              <w:pageBreakBefore w:val="0"/>
              <w:widowControl w:val="0"/>
              <w:wordWrap/>
              <w:overflowPunct/>
              <w:topLinePunct w:val="0"/>
              <w:bidi w:val="0"/>
              <w:spacing w:line="338" w:lineRule="auto"/>
              <w:rPr>
                <w:color w:val="auto"/>
                <w:highlight w:val="none"/>
              </w:rPr>
            </w:pPr>
          </w:p>
          <w:p w14:paraId="153719AA">
            <w:pPr>
              <w:pageBreakBefore w:val="0"/>
              <w:widowControl w:val="0"/>
              <w:wordWrap/>
              <w:overflowPunct/>
              <w:topLinePunct w:val="0"/>
              <w:bidi w:val="0"/>
              <w:spacing w:before="78" w:line="220" w:lineRule="auto"/>
              <w:ind w:left="1311"/>
              <w:rPr>
                <w:rFonts w:ascii="宋体" w:hAnsi="宋体" w:eastAsia="宋体" w:cs="宋体"/>
                <w:color w:val="auto"/>
                <w:sz w:val="24"/>
                <w:szCs w:val="24"/>
                <w:highlight w:val="none"/>
              </w:rPr>
            </w:pPr>
            <w:r>
              <w:rPr>
                <w:rFonts w:ascii="宋体" w:hAnsi="宋体" w:eastAsia="宋体" w:cs="宋体"/>
                <w:color w:val="auto"/>
                <w:sz w:val="24"/>
                <w:szCs w:val="24"/>
                <w:highlight w:val="none"/>
              </w:rPr>
              <w:t>容</w:t>
            </w:r>
          </w:p>
        </w:tc>
        <w:tc>
          <w:tcPr>
            <w:tcW w:w="817" w:type="dxa"/>
            <w:tcBorders>
              <w:left w:val="nil"/>
            </w:tcBorders>
          </w:tcPr>
          <w:p w14:paraId="677ACB1E">
            <w:pPr>
              <w:pStyle w:val="8"/>
              <w:pageBreakBefore w:val="0"/>
              <w:widowControl w:val="0"/>
              <w:wordWrap/>
              <w:overflowPunct/>
              <w:topLinePunct w:val="0"/>
              <w:bidi w:val="0"/>
              <w:spacing w:line="263" w:lineRule="auto"/>
              <w:rPr>
                <w:color w:val="auto"/>
                <w:highlight w:val="none"/>
              </w:rPr>
            </w:pPr>
          </w:p>
          <w:p w14:paraId="4D72C9BC">
            <w:pPr>
              <w:pStyle w:val="8"/>
              <w:pageBreakBefore w:val="0"/>
              <w:widowControl w:val="0"/>
              <w:wordWrap/>
              <w:overflowPunct/>
              <w:topLinePunct w:val="0"/>
              <w:bidi w:val="0"/>
              <w:spacing w:line="263" w:lineRule="auto"/>
              <w:rPr>
                <w:color w:val="auto"/>
                <w:highlight w:val="none"/>
              </w:rPr>
            </w:pPr>
          </w:p>
          <w:p w14:paraId="730C42C6">
            <w:pPr>
              <w:pStyle w:val="8"/>
              <w:pageBreakBefore w:val="0"/>
              <w:widowControl w:val="0"/>
              <w:wordWrap/>
              <w:overflowPunct/>
              <w:topLinePunct w:val="0"/>
              <w:bidi w:val="0"/>
              <w:spacing w:line="264" w:lineRule="auto"/>
              <w:rPr>
                <w:color w:val="auto"/>
                <w:highlight w:val="none"/>
              </w:rPr>
            </w:pPr>
          </w:p>
          <w:p w14:paraId="7F559047">
            <w:pPr>
              <w:pageBreakBefore w:val="0"/>
              <w:widowControl w:val="0"/>
              <w:wordWrap/>
              <w:overflowPunct/>
              <w:topLinePunct w:val="0"/>
              <w:bidi w:val="0"/>
              <w:spacing w:before="78" w:line="221" w:lineRule="auto"/>
              <w:ind w:left="192"/>
              <w:rPr>
                <w:rFonts w:ascii="宋体" w:hAnsi="宋体" w:eastAsia="宋体" w:cs="宋体"/>
                <w:color w:val="auto"/>
                <w:sz w:val="24"/>
                <w:szCs w:val="24"/>
                <w:highlight w:val="none"/>
              </w:rPr>
            </w:pPr>
            <w:r>
              <w:rPr>
                <w:rFonts w:ascii="宋体" w:hAnsi="宋体" w:eastAsia="宋体" w:cs="宋体"/>
                <w:color w:val="auto"/>
                <w:sz w:val="24"/>
                <w:szCs w:val="24"/>
                <w:highlight w:val="none"/>
              </w:rPr>
              <w:t>称</w:t>
            </w:r>
          </w:p>
        </w:tc>
        <w:tc>
          <w:tcPr>
            <w:tcW w:w="6150" w:type="dxa"/>
          </w:tcPr>
          <w:p w14:paraId="7D69D458">
            <w:pPr>
              <w:pStyle w:val="8"/>
              <w:pageBreakBefore w:val="0"/>
              <w:widowControl w:val="0"/>
              <w:wordWrap/>
              <w:overflowPunct/>
              <w:topLinePunct w:val="0"/>
              <w:bidi w:val="0"/>
              <w:jc w:val="center"/>
              <w:rPr>
                <w:rFonts w:hint="eastAsia" w:ascii="宋体" w:hAnsi="宋体" w:eastAsia="宋体" w:cs="宋体"/>
                <w:snapToGrid w:val="0"/>
                <w:color w:val="auto"/>
                <w:spacing w:val="-6"/>
                <w:sz w:val="24"/>
                <w:szCs w:val="24"/>
                <w:highlight w:val="none"/>
                <w:lang w:val="en-US" w:eastAsia="zh-CN" w:bidi="ar-SA"/>
              </w:rPr>
            </w:pPr>
          </w:p>
          <w:p w14:paraId="60E9C238">
            <w:pPr>
              <w:pStyle w:val="8"/>
              <w:pageBreakBefore w:val="0"/>
              <w:widowControl w:val="0"/>
              <w:wordWrap/>
              <w:overflowPunct/>
              <w:topLinePunct w:val="0"/>
              <w:bidi w:val="0"/>
              <w:jc w:val="center"/>
              <w:rPr>
                <w:rFonts w:hint="eastAsia" w:ascii="宋体" w:hAnsi="宋体" w:eastAsia="宋体" w:cs="宋体"/>
                <w:snapToGrid w:val="0"/>
                <w:color w:val="auto"/>
                <w:spacing w:val="-6"/>
                <w:sz w:val="24"/>
                <w:szCs w:val="24"/>
                <w:highlight w:val="none"/>
                <w:lang w:val="en-US" w:eastAsia="zh-CN" w:bidi="ar-SA"/>
              </w:rPr>
            </w:pPr>
          </w:p>
          <w:p w14:paraId="51363398">
            <w:pPr>
              <w:pStyle w:val="8"/>
              <w:pageBreakBefore w:val="0"/>
              <w:widowControl w:val="0"/>
              <w:wordWrap/>
              <w:overflowPunct/>
              <w:topLinePunct w:val="0"/>
              <w:bidi w:val="0"/>
              <w:jc w:val="center"/>
              <w:rPr>
                <w:rFonts w:hint="eastAsia" w:ascii="宋体" w:hAnsi="宋体" w:eastAsia="宋体" w:cs="宋体"/>
                <w:snapToGrid w:val="0"/>
                <w:color w:val="auto"/>
                <w:spacing w:val="-6"/>
                <w:sz w:val="24"/>
                <w:szCs w:val="24"/>
                <w:highlight w:val="none"/>
                <w:lang w:val="en-US" w:eastAsia="zh-CN" w:bidi="ar-SA"/>
              </w:rPr>
            </w:pPr>
          </w:p>
          <w:p w14:paraId="1528245F">
            <w:pPr>
              <w:pStyle w:val="8"/>
              <w:pageBreakBefore w:val="0"/>
              <w:widowControl w:val="0"/>
              <w:wordWrap/>
              <w:overflowPunct/>
              <w:topLinePunct w:val="0"/>
              <w:bidi w:val="0"/>
              <w:jc w:val="center"/>
              <w:rPr>
                <w:color w:val="auto"/>
                <w:highlight w:val="none"/>
              </w:rPr>
            </w:pPr>
            <w:r>
              <w:rPr>
                <w:rFonts w:hint="eastAsia" w:ascii="宋体" w:hAnsi="宋体" w:eastAsia="宋体" w:cs="宋体"/>
                <w:snapToGrid w:val="0"/>
                <w:color w:val="auto"/>
                <w:spacing w:val="-6"/>
                <w:sz w:val="24"/>
                <w:szCs w:val="24"/>
                <w:highlight w:val="none"/>
                <w:lang w:val="en-US" w:eastAsia="zh-CN" w:bidi="ar-SA"/>
              </w:rPr>
              <w:t>新余市看守所食堂采购及配送服务</w:t>
            </w:r>
          </w:p>
        </w:tc>
      </w:tr>
      <w:tr w14:paraId="6EA107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6B7DEEB6">
            <w:pPr>
              <w:pageBreakBefore w:val="0"/>
              <w:widowControl w:val="0"/>
              <w:wordWrap/>
              <w:overflowPunct/>
              <w:topLinePunct w:val="0"/>
              <w:bidi w:val="0"/>
              <w:spacing w:before="253" w:line="219" w:lineRule="auto"/>
              <w:ind w:left="1188"/>
              <w:rPr>
                <w:rFonts w:ascii="宋体" w:hAnsi="宋体" w:eastAsia="宋体" w:cs="宋体"/>
                <w:color w:val="auto"/>
                <w:sz w:val="24"/>
                <w:szCs w:val="24"/>
                <w:highlight w:val="none"/>
              </w:rPr>
            </w:pPr>
            <w:r>
              <w:rPr>
                <w:rFonts w:ascii="宋体" w:hAnsi="宋体" w:eastAsia="宋体" w:cs="宋体"/>
                <w:color w:val="auto"/>
                <w:spacing w:val="-6"/>
                <w:sz w:val="24"/>
                <w:szCs w:val="24"/>
                <w:highlight w:val="none"/>
              </w:rPr>
              <w:t>数量</w:t>
            </w:r>
          </w:p>
        </w:tc>
        <w:tc>
          <w:tcPr>
            <w:tcW w:w="6150" w:type="dxa"/>
          </w:tcPr>
          <w:p w14:paraId="6FE8D71F">
            <w:pPr>
              <w:pStyle w:val="8"/>
              <w:pageBreakBefore w:val="0"/>
              <w:widowControl w:val="0"/>
              <w:wordWrap/>
              <w:overflowPunct/>
              <w:topLinePunct w:val="0"/>
              <w:bidi w:val="0"/>
              <w:jc w:val="center"/>
              <w:rPr>
                <w:rFonts w:hint="eastAsia" w:eastAsia="宋体"/>
                <w:color w:val="auto"/>
                <w:highlight w:val="none"/>
                <w:lang w:val="en-US" w:eastAsia="zh-CN"/>
              </w:rPr>
            </w:pPr>
          </w:p>
          <w:p w14:paraId="196B8AE2">
            <w:pPr>
              <w:pStyle w:val="8"/>
              <w:pageBreakBefore w:val="0"/>
              <w:widowControl w:val="0"/>
              <w:wordWrap/>
              <w:overflowPunct/>
              <w:topLinePunct w:val="0"/>
              <w:bidi w:val="0"/>
              <w:jc w:val="center"/>
              <w:rPr>
                <w:color w:val="auto"/>
                <w:highlight w:val="none"/>
              </w:rPr>
            </w:pPr>
            <w:r>
              <w:rPr>
                <w:rFonts w:hint="eastAsia" w:eastAsia="宋体"/>
                <w:color w:val="auto"/>
                <w:highlight w:val="none"/>
                <w:lang w:val="en-US" w:eastAsia="zh-CN"/>
              </w:rPr>
              <w:t>1 项</w:t>
            </w:r>
          </w:p>
        </w:tc>
      </w:tr>
      <w:tr w14:paraId="0B1025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47BBD0C4">
            <w:pPr>
              <w:pageBreakBefore w:val="0"/>
              <w:widowControl w:val="0"/>
              <w:wordWrap/>
              <w:overflowPunct/>
              <w:topLinePunct w:val="0"/>
              <w:bidi w:val="0"/>
              <w:spacing w:before="253" w:line="219" w:lineRule="auto"/>
              <w:ind w:left="1071"/>
              <w:rPr>
                <w:rFonts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lang w:val="en-US" w:eastAsia="zh-CN"/>
              </w:rPr>
              <w:t>服务</w:t>
            </w:r>
            <w:r>
              <w:rPr>
                <w:rFonts w:ascii="宋体" w:hAnsi="宋体" w:eastAsia="宋体" w:cs="宋体"/>
                <w:color w:val="auto"/>
                <w:spacing w:val="-5"/>
                <w:sz w:val="24"/>
                <w:szCs w:val="24"/>
                <w:highlight w:val="none"/>
              </w:rPr>
              <w:t>期</w:t>
            </w:r>
          </w:p>
        </w:tc>
        <w:tc>
          <w:tcPr>
            <w:tcW w:w="6150" w:type="dxa"/>
            <w:vAlign w:val="top"/>
          </w:tcPr>
          <w:p w14:paraId="30F7CF3C">
            <w:pPr>
              <w:pStyle w:val="8"/>
              <w:pageBreakBefore w:val="0"/>
              <w:widowControl w:val="0"/>
              <w:wordWrap/>
              <w:overflowPunct/>
              <w:topLinePunct w:val="0"/>
              <w:bidi w:val="0"/>
              <w:jc w:val="center"/>
              <w:rPr>
                <w:rFonts w:hint="eastAsia" w:ascii="宋体" w:hAnsi="宋体" w:eastAsia="宋体" w:cs="宋体"/>
                <w:snapToGrid w:val="0"/>
                <w:color w:val="auto"/>
                <w:spacing w:val="-6"/>
                <w:sz w:val="24"/>
                <w:szCs w:val="24"/>
                <w:highlight w:val="none"/>
                <w:lang w:val="en-US" w:eastAsia="zh-CN" w:bidi="ar-SA"/>
              </w:rPr>
            </w:pPr>
          </w:p>
          <w:p w14:paraId="3B68A757">
            <w:pPr>
              <w:pStyle w:val="8"/>
              <w:pageBreakBefore w:val="0"/>
              <w:widowControl w:val="0"/>
              <w:wordWrap/>
              <w:overflowPunct/>
              <w:topLinePunct w:val="0"/>
              <w:bidi w:val="0"/>
              <w:jc w:val="center"/>
              <w:rPr>
                <w:color w:val="auto"/>
                <w:highlight w:val="none"/>
              </w:rPr>
            </w:pPr>
            <w:r>
              <w:rPr>
                <w:rFonts w:hint="eastAsia" w:ascii="宋体" w:hAnsi="宋体" w:eastAsia="宋体" w:cs="宋体"/>
                <w:snapToGrid w:val="0"/>
                <w:color w:val="auto"/>
                <w:spacing w:val="-6"/>
                <w:sz w:val="24"/>
                <w:szCs w:val="24"/>
                <w:highlight w:val="none"/>
                <w:lang w:val="en-US" w:eastAsia="zh-CN" w:bidi="ar-SA"/>
              </w:rPr>
              <w:t>自合同签订生效之日起12个月</w:t>
            </w:r>
          </w:p>
        </w:tc>
      </w:tr>
      <w:tr w14:paraId="33FD85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7FBFD968">
            <w:pPr>
              <w:pageBreakBefore w:val="0"/>
              <w:widowControl w:val="0"/>
              <w:wordWrap/>
              <w:overflowPunct/>
              <w:topLinePunct w:val="0"/>
              <w:bidi w:val="0"/>
              <w:spacing w:before="256" w:line="219" w:lineRule="auto"/>
              <w:ind w:left="951"/>
              <w:rPr>
                <w:rFonts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lang w:val="en-US" w:eastAsia="zh-CN"/>
              </w:rPr>
              <w:t>服务</w:t>
            </w:r>
            <w:r>
              <w:rPr>
                <w:rFonts w:ascii="宋体" w:hAnsi="宋体" w:eastAsia="宋体" w:cs="宋体"/>
                <w:color w:val="auto"/>
                <w:spacing w:val="-4"/>
                <w:sz w:val="24"/>
                <w:szCs w:val="24"/>
                <w:highlight w:val="none"/>
              </w:rPr>
              <w:t>地点</w:t>
            </w:r>
          </w:p>
        </w:tc>
        <w:tc>
          <w:tcPr>
            <w:tcW w:w="6150" w:type="dxa"/>
            <w:vAlign w:val="top"/>
          </w:tcPr>
          <w:p w14:paraId="7CB4883C">
            <w:pPr>
              <w:pStyle w:val="8"/>
              <w:pageBreakBefore w:val="0"/>
              <w:widowControl w:val="0"/>
              <w:wordWrap/>
              <w:overflowPunct/>
              <w:topLinePunct w:val="0"/>
              <w:bidi w:val="0"/>
              <w:jc w:val="center"/>
              <w:rPr>
                <w:rFonts w:hint="eastAsia" w:ascii="宋体" w:hAnsi="宋体" w:eastAsia="宋体" w:cs="宋体"/>
                <w:snapToGrid w:val="0"/>
                <w:color w:val="auto"/>
                <w:spacing w:val="-6"/>
                <w:sz w:val="24"/>
                <w:szCs w:val="24"/>
                <w:highlight w:val="none"/>
                <w:lang w:val="en-US" w:eastAsia="zh-CN" w:bidi="ar-SA"/>
              </w:rPr>
            </w:pPr>
          </w:p>
          <w:p w14:paraId="446F27FE">
            <w:pPr>
              <w:pStyle w:val="8"/>
              <w:pageBreakBefore w:val="0"/>
              <w:widowControl w:val="0"/>
              <w:wordWrap/>
              <w:overflowPunct/>
              <w:topLinePunct w:val="0"/>
              <w:bidi w:val="0"/>
              <w:jc w:val="center"/>
              <w:rPr>
                <w:color w:val="auto"/>
                <w:highlight w:val="none"/>
              </w:rPr>
            </w:pPr>
            <w:r>
              <w:rPr>
                <w:rFonts w:hint="eastAsia" w:ascii="宋体" w:hAnsi="宋体" w:eastAsia="宋体" w:cs="宋体"/>
                <w:snapToGrid w:val="0"/>
                <w:color w:val="auto"/>
                <w:spacing w:val="-6"/>
                <w:sz w:val="24"/>
                <w:szCs w:val="24"/>
                <w:highlight w:val="none"/>
                <w:lang w:val="en-US" w:eastAsia="zh-CN" w:bidi="ar-SA"/>
              </w:rPr>
              <w:t>采购人指定地点</w:t>
            </w:r>
          </w:p>
        </w:tc>
      </w:tr>
      <w:tr w14:paraId="300ADC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65" w:type="dxa"/>
            <w:gridSpan w:val="2"/>
          </w:tcPr>
          <w:p w14:paraId="1D4121F0">
            <w:pPr>
              <w:pageBreakBefore w:val="0"/>
              <w:widowControl w:val="0"/>
              <w:wordWrap/>
              <w:overflowPunct/>
              <w:topLinePunct w:val="0"/>
              <w:bidi w:val="0"/>
              <w:spacing w:before="256" w:line="221" w:lineRule="auto"/>
              <w:ind w:left="1189"/>
              <w:rPr>
                <w:rFonts w:ascii="宋体" w:hAnsi="宋体" w:eastAsia="宋体" w:cs="宋体"/>
                <w:color w:val="auto"/>
                <w:sz w:val="24"/>
                <w:szCs w:val="24"/>
                <w:highlight w:val="none"/>
              </w:rPr>
            </w:pPr>
            <w:r>
              <w:rPr>
                <w:rFonts w:ascii="宋体" w:hAnsi="宋体" w:eastAsia="宋体" w:cs="宋体"/>
                <w:color w:val="auto"/>
                <w:spacing w:val="-7"/>
                <w:sz w:val="24"/>
                <w:szCs w:val="24"/>
                <w:highlight w:val="none"/>
              </w:rPr>
              <w:t>备注</w:t>
            </w:r>
          </w:p>
        </w:tc>
        <w:tc>
          <w:tcPr>
            <w:tcW w:w="6150" w:type="dxa"/>
          </w:tcPr>
          <w:p w14:paraId="499A3072">
            <w:pPr>
              <w:pStyle w:val="8"/>
              <w:pageBreakBefore w:val="0"/>
              <w:widowControl w:val="0"/>
              <w:wordWrap/>
              <w:overflowPunct/>
              <w:topLinePunct w:val="0"/>
              <w:bidi w:val="0"/>
              <w:rPr>
                <w:color w:val="auto"/>
                <w:highlight w:val="none"/>
              </w:rPr>
            </w:pPr>
          </w:p>
        </w:tc>
      </w:tr>
    </w:tbl>
    <w:p w14:paraId="17D424DB">
      <w:pPr>
        <w:pageBreakBefore w:val="0"/>
        <w:widowControl w:val="0"/>
        <w:wordWrap/>
        <w:overflowPunct/>
        <w:topLinePunct w:val="0"/>
        <w:bidi w:val="0"/>
        <w:rPr>
          <w:color w:val="auto"/>
          <w:highlight w:val="none"/>
        </w:rPr>
      </w:pPr>
    </w:p>
    <w:p w14:paraId="7A628577">
      <w:pPr>
        <w:bidi w:val="0"/>
        <w:rPr>
          <w:rFonts w:ascii="Arial" w:hAnsi="Arial" w:eastAsia="Arial" w:cs="Arial"/>
          <w:snapToGrid w:val="0"/>
          <w:color w:val="000000"/>
          <w:sz w:val="21"/>
          <w:szCs w:val="21"/>
          <w:lang w:val="en-US" w:eastAsia="en-US" w:bidi="ar-SA"/>
        </w:rPr>
      </w:pPr>
    </w:p>
    <w:p w14:paraId="71017F17">
      <w:pPr>
        <w:bidi w:val="0"/>
        <w:rPr>
          <w:lang w:val="en-US" w:eastAsia="en-US"/>
        </w:rPr>
      </w:pPr>
    </w:p>
    <w:p w14:paraId="73128CE3">
      <w:pPr>
        <w:bidi w:val="0"/>
        <w:rPr>
          <w:lang w:val="en-US" w:eastAsia="en-US"/>
        </w:rPr>
      </w:pPr>
    </w:p>
    <w:p w14:paraId="72788F67">
      <w:pPr>
        <w:bidi w:val="0"/>
        <w:rPr>
          <w:lang w:val="en-US" w:eastAsia="en-US"/>
        </w:rPr>
      </w:pPr>
    </w:p>
    <w:p w14:paraId="04D97890">
      <w:pPr>
        <w:bidi w:val="0"/>
        <w:rPr>
          <w:lang w:val="en-US" w:eastAsia="en-US"/>
        </w:rPr>
      </w:pPr>
    </w:p>
    <w:p w14:paraId="35FA51FF">
      <w:pPr>
        <w:bidi w:val="0"/>
        <w:rPr>
          <w:lang w:val="en-US" w:eastAsia="en-US"/>
        </w:rPr>
      </w:pPr>
    </w:p>
    <w:p w14:paraId="1CEDF0DD">
      <w:pPr>
        <w:bidi w:val="0"/>
        <w:rPr>
          <w:lang w:val="en-US" w:eastAsia="en-US"/>
        </w:rPr>
      </w:pPr>
    </w:p>
    <w:p w14:paraId="16188D3D">
      <w:pPr>
        <w:bidi w:val="0"/>
        <w:rPr>
          <w:lang w:val="en-US" w:eastAsia="en-US"/>
        </w:rPr>
      </w:pPr>
    </w:p>
    <w:p w14:paraId="4D560AB8">
      <w:pPr>
        <w:bidi w:val="0"/>
        <w:rPr>
          <w:lang w:val="en-US" w:eastAsia="en-US"/>
        </w:rPr>
      </w:pPr>
    </w:p>
    <w:p w14:paraId="4F4B7365">
      <w:pPr>
        <w:bidi w:val="0"/>
        <w:rPr>
          <w:lang w:val="en-US" w:eastAsia="en-US"/>
        </w:rPr>
      </w:pPr>
    </w:p>
    <w:p w14:paraId="6BF3B5E5">
      <w:pPr>
        <w:bidi w:val="0"/>
        <w:rPr>
          <w:lang w:val="en-US" w:eastAsia="en-US"/>
        </w:rPr>
      </w:pPr>
    </w:p>
    <w:p w14:paraId="590517C8">
      <w:pPr>
        <w:pStyle w:val="9"/>
        <w:rPr>
          <w:lang w:val="en-US" w:eastAsia="en-US"/>
        </w:rPr>
      </w:pPr>
    </w:p>
    <w:p w14:paraId="01316D8C">
      <w:pPr>
        <w:pStyle w:val="10"/>
        <w:rPr>
          <w:lang w:val="en-US" w:eastAsia="en-US"/>
        </w:rPr>
      </w:pPr>
    </w:p>
    <w:p w14:paraId="39886C57">
      <w:pPr>
        <w:pStyle w:val="10"/>
        <w:rPr>
          <w:lang w:val="en-US" w:eastAsia="en-US"/>
        </w:rPr>
      </w:pPr>
    </w:p>
    <w:p w14:paraId="55088515">
      <w:pPr>
        <w:bidi w:val="0"/>
        <w:rPr>
          <w:lang w:val="en-US" w:eastAsia="en-US"/>
        </w:rPr>
      </w:pPr>
    </w:p>
    <w:p w14:paraId="548534CF">
      <w:pPr>
        <w:pageBreakBefore w:val="0"/>
        <w:widowControl w:val="0"/>
        <w:wordWrap/>
        <w:overflowPunct/>
        <w:topLinePunct w:val="0"/>
        <w:bidi w:val="0"/>
        <w:spacing w:before="47" w:line="219" w:lineRule="auto"/>
        <w:outlineLvl w:val="1"/>
        <w:rPr>
          <w:rFonts w:ascii="宋体" w:hAnsi="宋体" w:eastAsia="宋体" w:cs="宋体"/>
          <w:color w:val="auto"/>
          <w:sz w:val="28"/>
          <w:szCs w:val="28"/>
          <w:highlight w:val="none"/>
        </w:rPr>
      </w:pPr>
      <w:bookmarkStart w:id="0" w:name="bookmark81"/>
      <w:bookmarkEnd w:id="0"/>
      <w:r>
        <w:rPr>
          <w:rFonts w:ascii="宋体" w:hAnsi="宋体" w:eastAsia="宋体" w:cs="宋体"/>
          <w:color w:val="auto"/>
          <w:spacing w:val="-2"/>
          <w:sz w:val="28"/>
          <w:szCs w:val="28"/>
          <w:highlight w:val="none"/>
          <w14:textOutline w14:w="4356" w14:cap="sq" w14:cmpd="sng" w14:algn="ctr">
            <w14:solidFill>
              <w14:srgbClr w14:val="000000"/>
            </w14:solidFill>
            <w14:prstDash w14:val="solid"/>
            <w14:bevel/>
          </w14:textOutline>
        </w:rPr>
        <w:t>二、</w:t>
      </w:r>
      <w:r>
        <w:rPr>
          <w:rFonts w:hint="eastAsia" w:ascii="宋体" w:hAnsi="宋体" w:eastAsia="宋体" w:cs="宋体"/>
          <w:color w:val="auto"/>
          <w:spacing w:val="-2"/>
          <w:sz w:val="28"/>
          <w:szCs w:val="28"/>
          <w:highlight w:val="none"/>
          <w:lang w:val="en-US" w:eastAsia="zh-CN"/>
          <w14:textOutline w14:w="4356" w14:cap="sq" w14:cmpd="sng" w14:algn="ctr">
            <w14:solidFill>
              <w14:srgbClr w14:val="000000"/>
            </w14:solidFill>
            <w14:prstDash w14:val="solid"/>
            <w14:bevel/>
          </w14:textOutline>
        </w:rPr>
        <w:t>服务要</w:t>
      </w:r>
      <w:r>
        <w:rPr>
          <w:rFonts w:ascii="宋体" w:hAnsi="宋体" w:eastAsia="宋体" w:cs="宋体"/>
          <w:color w:val="auto"/>
          <w:spacing w:val="-2"/>
          <w:sz w:val="28"/>
          <w:szCs w:val="28"/>
          <w:highlight w:val="none"/>
          <w14:textOutline w14:w="4356" w14:cap="sq" w14:cmpd="sng" w14:algn="ctr">
            <w14:solidFill>
              <w14:srgbClr w14:val="000000"/>
            </w14:solidFill>
            <w14:prstDash w14:val="solid"/>
            <w14:bevel/>
          </w14:textOutline>
        </w:rPr>
        <w:t>求</w:t>
      </w:r>
    </w:p>
    <w:p w14:paraId="22971DD7">
      <w:pPr>
        <w:pageBreakBefore w:val="0"/>
        <w:widowControl w:val="0"/>
        <w:wordWrap/>
        <w:overflowPunct/>
        <w:topLinePunct w:val="0"/>
        <w:bidi w:val="0"/>
        <w:spacing w:line="257" w:lineRule="auto"/>
        <w:rPr>
          <w:color w:val="auto"/>
          <w:highlight w:val="none"/>
        </w:rPr>
      </w:pPr>
    </w:p>
    <w:p w14:paraId="1D58E501">
      <w:pPr>
        <w:pageBreakBefore w:val="0"/>
        <w:widowControl w:val="0"/>
        <w:wordWrap/>
        <w:overflowPunct/>
        <w:topLinePunct w:val="0"/>
        <w:bidi w:val="0"/>
        <w:spacing w:line="258" w:lineRule="auto"/>
        <w:rPr>
          <w:color w:val="auto"/>
          <w:highlight w:val="none"/>
        </w:rPr>
      </w:pPr>
    </w:p>
    <w:p w14:paraId="28A52EAA">
      <w:pPr>
        <w:pageBreakBefore w:val="0"/>
        <w:widowControl w:val="0"/>
        <w:wordWrap/>
        <w:overflowPunct/>
        <w:topLinePunct w:val="0"/>
        <w:bidi w:val="0"/>
        <w:spacing w:line="258" w:lineRule="auto"/>
        <w:rPr>
          <w:color w:val="auto"/>
          <w:highlight w:val="none"/>
        </w:rPr>
      </w:pPr>
    </w:p>
    <w:p w14:paraId="5A0AEC48">
      <w:pPr>
        <w:pageBreakBefore w:val="0"/>
        <w:widowControl w:val="0"/>
        <w:wordWrap/>
        <w:overflowPunct/>
        <w:topLinePunct w:val="0"/>
        <w:bidi w:val="0"/>
        <w:spacing w:before="78" w:line="219" w:lineRule="auto"/>
        <w:rPr>
          <w:rFonts w:hint="default" w:ascii="宋体" w:hAnsi="宋体" w:eastAsia="宋体" w:cs="宋体"/>
          <w:color w:val="auto"/>
          <w:sz w:val="24"/>
          <w:szCs w:val="24"/>
          <w:highlight w:val="none"/>
          <w:lang w:val="en-US"/>
        </w:rPr>
      </w:pPr>
      <w:r>
        <w:rPr>
          <w:rFonts w:ascii="宋体" w:hAnsi="宋体" w:eastAsia="宋体" w:cs="宋体"/>
          <w:color w:val="auto"/>
          <w:spacing w:val="-5"/>
          <w:sz w:val="24"/>
          <w:szCs w:val="24"/>
          <w:highlight w:val="none"/>
        </w:rPr>
        <w:t>（一）</w:t>
      </w:r>
      <w:r>
        <w:rPr>
          <w:rFonts w:ascii="宋体" w:hAnsi="宋体" w:eastAsia="宋体" w:cs="宋体"/>
          <w:color w:val="auto"/>
          <w:spacing w:val="25"/>
          <w:sz w:val="24"/>
          <w:szCs w:val="24"/>
          <w:highlight w:val="none"/>
        </w:rPr>
        <w:t xml:space="preserve"> </w:t>
      </w:r>
      <w:r>
        <w:rPr>
          <w:rFonts w:hint="eastAsia" w:ascii="宋体" w:hAnsi="宋体" w:eastAsia="宋体" w:cs="宋体"/>
          <w:color w:val="auto"/>
          <w:spacing w:val="-5"/>
          <w:sz w:val="24"/>
          <w:szCs w:val="24"/>
          <w:highlight w:val="none"/>
          <w:lang w:val="en-US" w:eastAsia="zh-CN"/>
        </w:rPr>
        <w:t>服务明细表</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8"/>
        <w:gridCol w:w="2556"/>
        <w:gridCol w:w="4037"/>
        <w:gridCol w:w="1231"/>
      </w:tblGrid>
      <w:tr w14:paraId="1CBA10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8" w:hRule="atLeast"/>
        </w:trPr>
        <w:tc>
          <w:tcPr>
            <w:tcW w:w="744" w:type="dxa"/>
            <w:noWrap w:val="0"/>
            <w:vAlign w:val="center"/>
          </w:tcPr>
          <w:p w14:paraId="40417A5E">
            <w:pPr>
              <w:pStyle w:val="2"/>
              <w:pageBreakBefore w:val="0"/>
              <w:widowControl w:val="0"/>
              <w:numPr>
                <w:ilvl w:val="0"/>
                <w:numId w:val="0"/>
              </w:numPr>
              <w:kinsoku/>
              <w:wordWrap/>
              <w:overflowPunct/>
              <w:topLinePunct w:val="0"/>
              <w:autoSpaceDE/>
              <w:autoSpaceDN/>
              <w:bidi w:val="0"/>
              <w:spacing w:before="0" w:after="0" w:line="240" w:lineRule="auto"/>
              <w:jc w:val="both"/>
              <w:textAlignment w:val="auto"/>
              <w:rPr>
                <w:rFonts w:hint="eastAsia" w:ascii="宋体" w:hAnsi="宋体" w:eastAsia="宋体" w:cs="宋体"/>
                <w:b w:val="0"/>
                <w:bCs/>
                <w:color w:val="auto"/>
                <w:sz w:val="24"/>
                <w:szCs w:val="24"/>
                <w:highlight w:val="none"/>
                <w:vertAlign w:val="baseline"/>
                <w:lang w:val="en-US" w:eastAsia="zh-CN"/>
              </w:rPr>
            </w:pPr>
            <w:bookmarkStart w:id="1" w:name="_Toc21722"/>
            <w:bookmarkStart w:id="2" w:name="_Toc23671"/>
            <w:r>
              <w:rPr>
                <w:rFonts w:hint="eastAsia" w:ascii="宋体" w:hAnsi="宋体" w:eastAsia="宋体" w:cs="宋体"/>
                <w:b w:val="0"/>
                <w:bCs/>
                <w:color w:val="auto"/>
                <w:sz w:val="24"/>
                <w:szCs w:val="24"/>
                <w:highlight w:val="none"/>
                <w:vertAlign w:val="baseline"/>
                <w:lang w:val="en-US" w:eastAsia="zh-CN"/>
              </w:rPr>
              <w:t>序号</w:t>
            </w:r>
            <w:bookmarkEnd w:id="1"/>
            <w:bookmarkEnd w:id="2"/>
          </w:p>
        </w:tc>
        <w:tc>
          <w:tcPr>
            <w:tcW w:w="2861" w:type="dxa"/>
            <w:noWrap w:val="0"/>
            <w:vAlign w:val="center"/>
          </w:tcPr>
          <w:p w14:paraId="0D8A8DEC">
            <w:pPr>
              <w:pStyle w:val="2"/>
              <w:pageBreakBefore w:val="0"/>
              <w:widowControl w:val="0"/>
              <w:numPr>
                <w:ilvl w:val="0"/>
                <w:numId w:val="0"/>
              </w:numPr>
              <w:kinsoku/>
              <w:wordWrap/>
              <w:overflowPunct/>
              <w:topLinePunct w:val="0"/>
              <w:autoSpaceDE/>
              <w:autoSpaceDN/>
              <w:bidi w:val="0"/>
              <w:spacing w:line="520" w:lineRule="exact"/>
              <w:jc w:val="center"/>
              <w:textAlignment w:val="auto"/>
              <w:rPr>
                <w:rFonts w:hint="eastAsia" w:ascii="宋体" w:hAnsi="宋体" w:eastAsia="宋体" w:cs="宋体"/>
                <w:b w:val="0"/>
                <w:bCs/>
                <w:color w:val="auto"/>
                <w:sz w:val="24"/>
                <w:szCs w:val="24"/>
                <w:highlight w:val="none"/>
                <w:vertAlign w:val="baseline"/>
                <w:lang w:val="en-US" w:eastAsia="zh-CN"/>
              </w:rPr>
            </w:pPr>
            <w:bookmarkStart w:id="3" w:name="_Toc25800"/>
            <w:bookmarkStart w:id="4" w:name="_Toc15626"/>
            <w:r>
              <w:rPr>
                <w:rFonts w:hint="eastAsia" w:ascii="宋体" w:hAnsi="宋体" w:eastAsia="宋体" w:cs="宋体"/>
                <w:b w:val="0"/>
                <w:bCs/>
                <w:kern w:val="0"/>
                <w:sz w:val="24"/>
                <w:szCs w:val="24"/>
                <w:vertAlign w:val="baseline"/>
                <w:lang w:val="en-US" w:eastAsia="zh-CN" w:bidi="ar-SA"/>
              </w:rPr>
              <w:t>品名</w:t>
            </w:r>
            <w:bookmarkEnd w:id="3"/>
            <w:bookmarkEnd w:id="4"/>
          </w:p>
        </w:tc>
        <w:tc>
          <w:tcPr>
            <w:tcW w:w="4417" w:type="dxa"/>
            <w:noWrap w:val="0"/>
            <w:vAlign w:val="center"/>
          </w:tcPr>
          <w:p w14:paraId="0B358D3A">
            <w:pPr>
              <w:pStyle w:val="2"/>
              <w:pageBreakBefore w:val="0"/>
              <w:widowControl w:val="0"/>
              <w:numPr>
                <w:ilvl w:val="0"/>
                <w:numId w:val="0"/>
              </w:numPr>
              <w:kinsoku/>
              <w:wordWrap/>
              <w:overflowPunct/>
              <w:topLinePunct w:val="0"/>
              <w:autoSpaceDE/>
              <w:autoSpaceDN/>
              <w:bidi w:val="0"/>
              <w:spacing w:line="520" w:lineRule="exact"/>
              <w:jc w:val="center"/>
              <w:textAlignment w:val="auto"/>
              <w:rPr>
                <w:rFonts w:hint="eastAsia" w:ascii="宋体" w:hAnsi="宋体" w:eastAsia="宋体" w:cs="宋体"/>
                <w:b w:val="0"/>
                <w:bCs/>
                <w:color w:val="auto"/>
                <w:sz w:val="24"/>
                <w:szCs w:val="24"/>
                <w:highlight w:val="none"/>
                <w:vertAlign w:val="baseline"/>
                <w:lang w:val="en-US" w:eastAsia="zh-CN"/>
              </w:rPr>
            </w:pPr>
            <w:bookmarkStart w:id="5" w:name="_Toc7390"/>
            <w:bookmarkStart w:id="6" w:name="_Toc16673"/>
            <w:r>
              <w:rPr>
                <w:rFonts w:hint="eastAsia" w:ascii="宋体" w:hAnsi="宋体" w:eastAsia="宋体" w:cs="宋体"/>
                <w:b w:val="0"/>
                <w:bCs/>
                <w:color w:val="auto"/>
                <w:sz w:val="24"/>
                <w:szCs w:val="24"/>
                <w:highlight w:val="none"/>
                <w:vertAlign w:val="baseline"/>
                <w:lang w:val="en-US" w:eastAsia="zh-CN"/>
              </w:rPr>
              <w:t>技术参数</w:t>
            </w:r>
            <w:bookmarkEnd w:id="5"/>
            <w:bookmarkEnd w:id="6"/>
          </w:p>
        </w:tc>
        <w:tc>
          <w:tcPr>
            <w:tcW w:w="1376" w:type="dxa"/>
            <w:noWrap w:val="0"/>
            <w:vAlign w:val="center"/>
          </w:tcPr>
          <w:p w14:paraId="3322A3DC">
            <w:pPr>
              <w:pStyle w:val="2"/>
              <w:pageBreakBefore w:val="0"/>
              <w:widowControl w:val="0"/>
              <w:numPr>
                <w:ilvl w:val="0"/>
                <w:numId w:val="0"/>
              </w:numPr>
              <w:kinsoku/>
              <w:wordWrap/>
              <w:overflowPunct/>
              <w:topLinePunct w:val="0"/>
              <w:autoSpaceDE/>
              <w:autoSpaceDN/>
              <w:bidi w:val="0"/>
              <w:spacing w:line="520" w:lineRule="exact"/>
              <w:jc w:val="center"/>
              <w:textAlignment w:val="auto"/>
              <w:rPr>
                <w:rFonts w:hint="eastAsia" w:ascii="宋体" w:hAnsi="宋体" w:eastAsia="宋体" w:cs="宋体"/>
                <w:b w:val="0"/>
                <w:bCs/>
                <w:color w:val="auto"/>
                <w:sz w:val="24"/>
                <w:szCs w:val="24"/>
                <w:highlight w:val="none"/>
                <w:vertAlign w:val="baseline"/>
                <w:lang w:val="en-US" w:eastAsia="zh-CN"/>
              </w:rPr>
            </w:pPr>
            <w:bookmarkStart w:id="7" w:name="_Toc14610"/>
            <w:bookmarkStart w:id="8" w:name="_Toc16625"/>
            <w:r>
              <w:rPr>
                <w:rFonts w:hint="eastAsia" w:ascii="宋体" w:hAnsi="宋体" w:eastAsia="宋体" w:cs="宋体"/>
                <w:b w:val="0"/>
                <w:bCs/>
                <w:color w:val="auto"/>
                <w:sz w:val="24"/>
                <w:szCs w:val="24"/>
                <w:highlight w:val="none"/>
                <w:vertAlign w:val="baseline"/>
                <w:lang w:val="en-US" w:eastAsia="zh-CN"/>
              </w:rPr>
              <w:t>数量</w:t>
            </w:r>
            <w:bookmarkEnd w:id="7"/>
            <w:bookmarkEnd w:id="8"/>
          </w:p>
        </w:tc>
      </w:tr>
      <w:tr w14:paraId="7C42FF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9" w:hRule="atLeast"/>
        </w:trPr>
        <w:tc>
          <w:tcPr>
            <w:tcW w:w="744" w:type="dxa"/>
            <w:noWrap w:val="0"/>
            <w:vAlign w:val="center"/>
          </w:tcPr>
          <w:p w14:paraId="74F741D9">
            <w:pPr>
              <w:pStyle w:val="2"/>
              <w:pageBreakBefore w:val="0"/>
              <w:widowControl w:val="0"/>
              <w:numPr>
                <w:ilvl w:val="0"/>
                <w:numId w:val="0"/>
              </w:numPr>
              <w:kinsoku/>
              <w:wordWrap/>
              <w:overflowPunct/>
              <w:topLinePunct w:val="0"/>
              <w:autoSpaceDE/>
              <w:autoSpaceDN/>
              <w:bidi w:val="0"/>
              <w:spacing w:line="520" w:lineRule="exact"/>
              <w:jc w:val="center"/>
              <w:textAlignment w:val="auto"/>
              <w:rPr>
                <w:rFonts w:hint="default" w:ascii="宋体" w:hAnsi="宋体" w:eastAsia="宋体" w:cs="宋体"/>
                <w:b w:val="0"/>
                <w:bCs/>
                <w:color w:val="auto"/>
                <w:sz w:val="24"/>
                <w:szCs w:val="24"/>
                <w:highlight w:val="none"/>
                <w:vertAlign w:val="baseline"/>
                <w:lang w:val="en-US" w:eastAsia="zh-CN"/>
              </w:rPr>
            </w:pPr>
            <w:bookmarkStart w:id="9" w:name="_Toc29033"/>
            <w:bookmarkStart w:id="10" w:name="_Toc22031"/>
            <w:r>
              <w:rPr>
                <w:rFonts w:hint="eastAsia" w:ascii="宋体" w:hAnsi="宋体" w:eastAsia="宋体" w:cs="宋体"/>
                <w:b w:val="0"/>
                <w:bCs/>
                <w:color w:val="auto"/>
                <w:sz w:val="24"/>
                <w:szCs w:val="24"/>
                <w:highlight w:val="none"/>
                <w:vertAlign w:val="baseline"/>
                <w:lang w:val="en-US" w:eastAsia="zh-CN"/>
              </w:rPr>
              <w:t>1</w:t>
            </w:r>
            <w:bookmarkEnd w:id="9"/>
            <w:bookmarkEnd w:id="10"/>
          </w:p>
        </w:tc>
        <w:tc>
          <w:tcPr>
            <w:tcW w:w="2861" w:type="dxa"/>
            <w:noWrap w:val="0"/>
            <w:vAlign w:val="center"/>
          </w:tcPr>
          <w:p w14:paraId="3365E5F2">
            <w:pPr>
              <w:pStyle w:val="11"/>
              <w:widowControl w:val="0"/>
              <w:numPr>
                <w:ilvl w:val="0"/>
                <w:numId w:val="0"/>
              </w:numPr>
              <w:spacing w:line="240" w:lineRule="auto"/>
              <w:ind w:left="0" w:leftChars="0" w:firstLine="0" w:firstLineChars="0"/>
              <w:jc w:val="left"/>
              <w:outlineLvl w:val="9"/>
              <w:rPr>
                <w:rFonts w:hint="eastAsia" w:ascii="宋体" w:hAnsi="宋体" w:eastAsia="宋体"/>
                <w:b w:val="0"/>
                <w:bCs w:val="0"/>
                <w:color w:val="auto"/>
                <w:sz w:val="24"/>
                <w:szCs w:val="24"/>
                <w:highlight w:val="none"/>
                <w:lang w:val="en-US" w:eastAsia="zh-CN"/>
              </w:rPr>
            </w:pPr>
            <w:r>
              <w:rPr>
                <w:rFonts w:hint="eastAsia" w:ascii="宋体" w:hAnsi="宋体" w:eastAsia="宋体"/>
                <w:b w:val="0"/>
                <w:bCs w:val="0"/>
                <w:color w:val="auto"/>
                <w:sz w:val="24"/>
                <w:szCs w:val="24"/>
                <w:highlight w:val="none"/>
              </w:rPr>
              <w:t>绿叶菜、白菜类（、青菜、生菜、空心菜、苋菜、莴笋、菠菜、油麦菜、大白菜、圆白菜、油菜柳等</w:t>
            </w:r>
          </w:p>
        </w:tc>
        <w:tc>
          <w:tcPr>
            <w:tcW w:w="4417" w:type="dxa"/>
            <w:noWrap w:val="0"/>
            <w:vAlign w:val="center"/>
          </w:tcPr>
          <w:p w14:paraId="47FB9571">
            <w:pPr>
              <w:pStyle w:val="11"/>
              <w:widowControl w:val="0"/>
              <w:numPr>
                <w:ilvl w:val="0"/>
                <w:numId w:val="0"/>
              </w:numPr>
              <w:spacing w:line="240" w:lineRule="auto"/>
              <w:ind w:left="0" w:leftChars="0" w:firstLine="0" w:firstLineChars="0"/>
              <w:jc w:val="left"/>
              <w:outlineLvl w:val="9"/>
              <w:rPr>
                <w:rFonts w:hint="eastAsia" w:ascii="宋体" w:hAnsi="宋体" w:eastAsia="宋体"/>
                <w:b w:val="0"/>
                <w:bCs w:val="0"/>
                <w:color w:val="auto"/>
                <w:sz w:val="24"/>
                <w:szCs w:val="24"/>
                <w:highlight w:val="none"/>
                <w:lang w:val="en-US" w:eastAsia="zh-CN"/>
              </w:rPr>
            </w:pPr>
            <w:r>
              <w:rPr>
                <w:rFonts w:hint="eastAsia" w:ascii="宋体" w:hAnsi="宋体" w:eastAsia="宋体"/>
                <w:b w:val="0"/>
                <w:bCs w:val="0"/>
                <w:color w:val="auto"/>
                <w:sz w:val="24"/>
                <w:szCs w:val="24"/>
                <w:highlight w:val="none"/>
                <w:lang w:val="en-US" w:eastAsia="zh-CN"/>
              </w:rPr>
              <w:t>鲜嫩、无老叶、无黄叶、根部切口新鲜、茎叶完整、无花斑黄叶、无腐烂现象、农药残留符合国家标准；</w:t>
            </w:r>
          </w:p>
        </w:tc>
        <w:tc>
          <w:tcPr>
            <w:tcW w:w="1376" w:type="dxa"/>
            <w:noWrap w:val="0"/>
            <w:vAlign w:val="center"/>
          </w:tcPr>
          <w:p w14:paraId="342D50FC">
            <w:pPr>
              <w:pStyle w:val="11"/>
              <w:widowControl w:val="0"/>
              <w:numPr>
                <w:ilvl w:val="0"/>
                <w:numId w:val="0"/>
              </w:numPr>
              <w:spacing w:line="240" w:lineRule="auto"/>
              <w:ind w:leftChars="0"/>
              <w:jc w:val="center"/>
              <w:outlineLvl w:val="9"/>
              <w:rPr>
                <w:rFonts w:hint="eastAsia" w:ascii="宋体" w:hAnsi="宋体" w:eastAsia="宋体" w:cs="宋体"/>
                <w:b w:val="0"/>
                <w:bCs w:val="0"/>
                <w:kern w:val="0"/>
                <w:sz w:val="24"/>
                <w:szCs w:val="24"/>
                <w:vertAlign w:val="baseline"/>
                <w:lang w:val="en-US" w:eastAsia="zh-CN" w:bidi="ar-SA"/>
              </w:rPr>
            </w:pPr>
            <w:r>
              <w:rPr>
                <w:rFonts w:hint="eastAsia" w:ascii="宋体" w:hAnsi="宋体" w:eastAsia="宋体" w:cs="宋体"/>
                <w:b w:val="0"/>
                <w:bCs w:val="0"/>
                <w:kern w:val="0"/>
                <w:sz w:val="24"/>
                <w:szCs w:val="24"/>
                <w:vertAlign w:val="baseline"/>
                <w:lang w:val="en-US" w:eastAsia="zh-CN" w:bidi="ar-SA"/>
              </w:rPr>
              <w:t>以实际供货数量为准</w:t>
            </w:r>
          </w:p>
        </w:tc>
      </w:tr>
      <w:tr w14:paraId="386427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3" w:hRule="atLeast"/>
        </w:trPr>
        <w:tc>
          <w:tcPr>
            <w:tcW w:w="744" w:type="dxa"/>
            <w:noWrap w:val="0"/>
            <w:vAlign w:val="center"/>
          </w:tcPr>
          <w:p w14:paraId="008EADFE">
            <w:pPr>
              <w:pStyle w:val="2"/>
              <w:pageBreakBefore w:val="0"/>
              <w:widowControl w:val="0"/>
              <w:numPr>
                <w:ilvl w:val="0"/>
                <w:numId w:val="0"/>
              </w:numPr>
              <w:kinsoku/>
              <w:wordWrap/>
              <w:overflowPunct/>
              <w:topLinePunct w:val="0"/>
              <w:autoSpaceDE/>
              <w:autoSpaceDN/>
              <w:bidi w:val="0"/>
              <w:spacing w:line="520" w:lineRule="exact"/>
              <w:jc w:val="center"/>
              <w:textAlignment w:val="auto"/>
              <w:rPr>
                <w:rFonts w:hint="default" w:ascii="宋体" w:hAnsi="宋体" w:eastAsia="宋体" w:cs="宋体"/>
                <w:b w:val="0"/>
                <w:bCs/>
                <w:color w:val="auto"/>
                <w:sz w:val="24"/>
                <w:szCs w:val="24"/>
                <w:highlight w:val="none"/>
                <w:vertAlign w:val="baseline"/>
                <w:lang w:val="en-US" w:eastAsia="zh-CN"/>
              </w:rPr>
            </w:pPr>
            <w:bookmarkStart w:id="11" w:name="_Toc31834"/>
            <w:bookmarkStart w:id="12" w:name="_Toc17626"/>
            <w:r>
              <w:rPr>
                <w:rFonts w:hint="eastAsia" w:ascii="宋体" w:hAnsi="宋体" w:eastAsia="宋体" w:cs="宋体"/>
                <w:b w:val="0"/>
                <w:bCs/>
                <w:color w:val="auto"/>
                <w:sz w:val="24"/>
                <w:szCs w:val="24"/>
                <w:highlight w:val="none"/>
                <w:vertAlign w:val="baseline"/>
                <w:lang w:val="en-US" w:eastAsia="zh-CN"/>
              </w:rPr>
              <w:t>2</w:t>
            </w:r>
            <w:bookmarkEnd w:id="11"/>
            <w:bookmarkEnd w:id="12"/>
          </w:p>
        </w:tc>
        <w:tc>
          <w:tcPr>
            <w:tcW w:w="2861" w:type="dxa"/>
            <w:noWrap w:val="0"/>
            <w:vAlign w:val="center"/>
          </w:tcPr>
          <w:p w14:paraId="2A1D769B">
            <w:pPr>
              <w:pStyle w:val="11"/>
              <w:widowControl w:val="0"/>
              <w:numPr>
                <w:ilvl w:val="0"/>
                <w:numId w:val="0"/>
              </w:numPr>
              <w:spacing w:before="120" w:after="120" w:line="360" w:lineRule="auto"/>
              <w:ind w:left="0" w:leftChars="0" w:firstLine="0" w:firstLineChars="0"/>
              <w:jc w:val="center"/>
              <w:outlineLvl w:val="9"/>
              <w:rPr>
                <w:rFonts w:hint="eastAsia" w:ascii="宋体" w:hAnsi="宋体" w:eastAsia="宋体" w:cs="宋体"/>
                <w:b w:val="0"/>
                <w:bCs/>
                <w:kern w:val="0"/>
                <w:sz w:val="24"/>
                <w:szCs w:val="24"/>
                <w:vertAlign w:val="baseline"/>
                <w:lang w:val="en-US" w:eastAsia="zh-CN" w:bidi="ar-SA"/>
              </w:rPr>
            </w:pPr>
            <w:r>
              <w:rPr>
                <w:rFonts w:hint="eastAsia" w:ascii="宋体" w:hAnsi="宋体"/>
                <w:b w:val="0"/>
                <w:bCs w:val="0"/>
                <w:color w:val="auto"/>
                <w:sz w:val="24"/>
                <w:szCs w:val="24"/>
                <w:highlight w:val="none"/>
              </w:rPr>
              <w:t>根菜类（如白萝卜、红萝卜等）</w:t>
            </w:r>
          </w:p>
        </w:tc>
        <w:tc>
          <w:tcPr>
            <w:tcW w:w="4417" w:type="dxa"/>
            <w:noWrap w:val="0"/>
            <w:vAlign w:val="center"/>
          </w:tcPr>
          <w:p w14:paraId="76825371">
            <w:pPr>
              <w:pStyle w:val="11"/>
              <w:widowControl w:val="0"/>
              <w:numPr>
                <w:ilvl w:val="0"/>
                <w:numId w:val="0"/>
              </w:numPr>
              <w:spacing w:before="120" w:after="120" w:line="360" w:lineRule="auto"/>
              <w:ind w:left="0" w:leftChars="0" w:firstLine="0" w:firstLineChars="0"/>
              <w:jc w:val="left"/>
              <w:outlineLvl w:val="9"/>
              <w:rPr>
                <w:rFonts w:hint="eastAsia" w:ascii="宋体" w:hAnsi="宋体" w:eastAsia="宋体" w:cs="宋体"/>
                <w:b w:val="0"/>
                <w:bCs w:val="0"/>
                <w:kern w:val="0"/>
                <w:sz w:val="24"/>
                <w:szCs w:val="24"/>
                <w:vertAlign w:val="baseline"/>
                <w:lang w:val="en-US" w:eastAsia="zh-CN" w:bidi="ar-SA"/>
              </w:rPr>
            </w:pPr>
            <w:r>
              <w:rPr>
                <w:rFonts w:hint="eastAsia" w:ascii="宋体" w:hAnsi="宋体"/>
                <w:b w:val="0"/>
                <w:bCs w:val="0"/>
                <w:color w:val="auto"/>
                <w:sz w:val="24"/>
                <w:szCs w:val="24"/>
                <w:highlight w:val="none"/>
              </w:rPr>
              <w:t>大小均匀、皮细光滑、肉质脆嫩致密新鲜；表皮紧硬不开裂、不空心、不糠心、不黑心、弹击有实感；干净清洁、无泥沙、不带茎叶；根须完整、无畸形、无细小根；无害虫、无腐烂、无折断。</w:t>
            </w:r>
            <w:r>
              <w:rPr>
                <w:rFonts w:hint="eastAsia"/>
                <w:b w:val="0"/>
                <w:bCs w:val="0"/>
                <w:kern w:val="0"/>
                <w:sz w:val="24"/>
                <w:szCs w:val="24"/>
                <w:vertAlign w:val="baseline"/>
                <w:lang w:val="en-US" w:eastAsia="zh-CN" w:bidi="ar-SA"/>
              </w:rPr>
              <w:t>农药残留符合国家标准；</w:t>
            </w:r>
          </w:p>
        </w:tc>
        <w:tc>
          <w:tcPr>
            <w:tcW w:w="1376" w:type="dxa"/>
            <w:noWrap w:val="0"/>
            <w:vAlign w:val="center"/>
          </w:tcPr>
          <w:p w14:paraId="63A9F243">
            <w:pPr>
              <w:pStyle w:val="11"/>
              <w:widowControl w:val="0"/>
              <w:numPr>
                <w:ilvl w:val="0"/>
                <w:numId w:val="0"/>
              </w:numPr>
              <w:spacing w:before="120" w:after="120" w:line="360" w:lineRule="auto"/>
              <w:ind w:left="0" w:leftChars="0" w:firstLine="0" w:firstLineChars="0"/>
              <w:jc w:val="center"/>
              <w:outlineLvl w:val="9"/>
              <w:rPr>
                <w:rFonts w:hint="eastAsia" w:ascii="宋体" w:hAnsi="宋体" w:eastAsia="宋体" w:cs="宋体"/>
                <w:b w:val="0"/>
                <w:bCs w:val="0"/>
                <w:kern w:val="0"/>
                <w:sz w:val="24"/>
                <w:szCs w:val="24"/>
                <w:vertAlign w:val="baseline"/>
                <w:lang w:val="en-US" w:eastAsia="zh-CN" w:bidi="ar-SA"/>
              </w:rPr>
            </w:pPr>
            <w:r>
              <w:rPr>
                <w:rFonts w:hint="eastAsia" w:ascii="宋体" w:hAnsi="宋体" w:eastAsia="宋体" w:cs="宋体"/>
                <w:b w:val="0"/>
                <w:bCs w:val="0"/>
                <w:kern w:val="0"/>
                <w:sz w:val="24"/>
                <w:szCs w:val="24"/>
                <w:vertAlign w:val="baseline"/>
                <w:lang w:val="en-US" w:eastAsia="zh-CN" w:bidi="ar-SA"/>
              </w:rPr>
              <w:t>以实际供货数量为准</w:t>
            </w:r>
          </w:p>
        </w:tc>
      </w:tr>
      <w:tr w14:paraId="7953EA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6" w:hRule="atLeast"/>
        </w:trPr>
        <w:tc>
          <w:tcPr>
            <w:tcW w:w="744" w:type="dxa"/>
            <w:noWrap w:val="0"/>
            <w:vAlign w:val="top"/>
          </w:tcPr>
          <w:p w14:paraId="21870DFB">
            <w:pPr>
              <w:pStyle w:val="2"/>
              <w:pageBreakBefore w:val="0"/>
              <w:widowControl w:val="0"/>
              <w:numPr>
                <w:ilvl w:val="0"/>
                <w:numId w:val="0"/>
              </w:numPr>
              <w:kinsoku/>
              <w:wordWrap/>
              <w:overflowPunct/>
              <w:topLinePunct w:val="0"/>
              <w:autoSpaceDE/>
              <w:autoSpaceDN/>
              <w:bidi w:val="0"/>
              <w:spacing w:line="520" w:lineRule="exact"/>
              <w:jc w:val="center"/>
              <w:textAlignment w:val="auto"/>
              <w:rPr>
                <w:rFonts w:hint="default" w:ascii="宋体" w:hAnsi="宋体" w:eastAsia="宋体" w:cs="宋体"/>
                <w:b w:val="0"/>
                <w:bCs/>
                <w:color w:val="auto"/>
                <w:sz w:val="24"/>
                <w:szCs w:val="24"/>
                <w:highlight w:val="none"/>
                <w:vertAlign w:val="baseline"/>
                <w:lang w:val="en-US" w:eastAsia="zh-CN"/>
              </w:rPr>
            </w:pPr>
            <w:bookmarkStart w:id="13" w:name="_Toc11937"/>
            <w:bookmarkStart w:id="14" w:name="_Toc11050"/>
            <w:r>
              <w:rPr>
                <w:rFonts w:hint="eastAsia" w:ascii="宋体" w:hAnsi="宋体" w:eastAsia="宋体" w:cs="宋体"/>
                <w:b w:val="0"/>
                <w:bCs/>
                <w:color w:val="auto"/>
                <w:sz w:val="24"/>
                <w:szCs w:val="24"/>
                <w:highlight w:val="none"/>
                <w:vertAlign w:val="baseline"/>
                <w:lang w:val="en-US" w:eastAsia="zh-CN"/>
              </w:rPr>
              <w:t>3</w:t>
            </w:r>
            <w:bookmarkEnd w:id="13"/>
            <w:bookmarkEnd w:id="14"/>
          </w:p>
        </w:tc>
        <w:tc>
          <w:tcPr>
            <w:tcW w:w="2861" w:type="dxa"/>
            <w:noWrap w:val="0"/>
            <w:vAlign w:val="center"/>
          </w:tcPr>
          <w:p w14:paraId="0DAB20E6">
            <w:pPr>
              <w:pStyle w:val="11"/>
              <w:widowControl w:val="0"/>
              <w:numPr>
                <w:ilvl w:val="0"/>
                <w:numId w:val="0"/>
              </w:numPr>
              <w:spacing w:before="120" w:after="120" w:line="360" w:lineRule="auto"/>
              <w:ind w:left="0" w:leftChars="0" w:firstLine="0" w:firstLineChars="0"/>
              <w:jc w:val="center"/>
              <w:outlineLvl w:val="9"/>
              <w:rPr>
                <w:rFonts w:hint="eastAsia" w:ascii="宋体" w:hAnsi="宋体" w:eastAsia="宋体" w:cs="宋体"/>
                <w:b w:val="0"/>
                <w:bCs/>
                <w:kern w:val="0"/>
                <w:sz w:val="24"/>
                <w:szCs w:val="24"/>
                <w:vertAlign w:val="baseline"/>
                <w:lang w:val="en-US" w:eastAsia="zh-CN" w:bidi="ar-SA"/>
              </w:rPr>
            </w:pPr>
            <w:r>
              <w:rPr>
                <w:rFonts w:hint="eastAsia" w:ascii="宋体" w:hAnsi="宋体"/>
                <w:b w:val="0"/>
                <w:bCs w:val="0"/>
                <w:color w:val="auto"/>
                <w:sz w:val="24"/>
                <w:szCs w:val="24"/>
                <w:highlight w:val="none"/>
              </w:rPr>
              <w:t>瓜果类（如南瓜、冬瓜、丝瓜、苦瓜、黄瓜、菜瓜、西葫芦等）</w:t>
            </w:r>
          </w:p>
        </w:tc>
        <w:tc>
          <w:tcPr>
            <w:tcW w:w="4417" w:type="dxa"/>
            <w:noWrap w:val="0"/>
            <w:vAlign w:val="center"/>
          </w:tcPr>
          <w:p w14:paraId="594CBEAF">
            <w:pPr>
              <w:keepNext w:val="0"/>
              <w:keepLines w:val="0"/>
              <w:widowControl/>
              <w:suppressLineNumbers w:val="0"/>
              <w:jc w:val="left"/>
              <w:rPr>
                <w:rFonts w:hint="eastAsia" w:ascii="宋体" w:hAnsi="宋体" w:eastAsia="宋体" w:cs="宋体"/>
                <w:b w:val="0"/>
                <w:bCs w:val="0"/>
                <w:kern w:val="0"/>
                <w:sz w:val="24"/>
                <w:szCs w:val="24"/>
                <w:vertAlign w:val="baseline"/>
                <w:lang w:val="en-US" w:eastAsia="zh-CN" w:bidi="ar-SA"/>
              </w:rPr>
            </w:pPr>
            <w:r>
              <w:rPr>
                <w:rFonts w:hint="eastAsia" w:ascii="宋体" w:hAnsi="宋体"/>
                <w:b w:val="0"/>
                <w:bCs w:val="0"/>
                <w:color w:val="auto"/>
                <w:sz w:val="24"/>
                <w:szCs w:val="24"/>
                <w:highlight w:val="none"/>
              </w:rPr>
              <w:t>外观良好、色泽一致；表皮不损伤、无疤点、个体整齐；瓜肉坚实、无裂口、无折断、明显机械伤，不带泥土；冬瓜上无病斑、烂斑；</w:t>
            </w:r>
            <w:r>
              <w:rPr>
                <w:rFonts w:hint="eastAsia"/>
                <w:b w:val="0"/>
                <w:bCs w:val="0"/>
                <w:kern w:val="0"/>
                <w:sz w:val="24"/>
                <w:szCs w:val="24"/>
                <w:vertAlign w:val="baseline"/>
                <w:lang w:val="en-US" w:eastAsia="zh-CN" w:bidi="ar-SA"/>
              </w:rPr>
              <w:t>农药残留符合国家标准；</w:t>
            </w:r>
          </w:p>
        </w:tc>
        <w:tc>
          <w:tcPr>
            <w:tcW w:w="1376" w:type="dxa"/>
            <w:noWrap w:val="0"/>
            <w:vAlign w:val="center"/>
          </w:tcPr>
          <w:p w14:paraId="00102EAC">
            <w:pPr>
              <w:keepNext w:val="0"/>
              <w:keepLines w:val="0"/>
              <w:widowControl/>
              <w:suppressLineNumbers w:val="0"/>
              <w:jc w:val="center"/>
              <w:rPr>
                <w:rFonts w:hint="eastAsia" w:ascii="宋体" w:hAnsi="宋体" w:eastAsia="宋体" w:cs="宋体"/>
                <w:color w:val="000000"/>
                <w:kern w:val="0"/>
                <w:sz w:val="24"/>
                <w:szCs w:val="24"/>
                <w:lang w:val="en-US" w:eastAsia="zh-CN" w:bidi="ar"/>
              </w:rPr>
            </w:pPr>
            <w:r>
              <w:rPr>
                <w:rFonts w:hint="eastAsia" w:ascii="宋体" w:hAnsi="宋体" w:eastAsia="宋体" w:cs="宋体"/>
                <w:b w:val="0"/>
                <w:bCs w:val="0"/>
                <w:kern w:val="0"/>
                <w:sz w:val="24"/>
                <w:szCs w:val="24"/>
                <w:vertAlign w:val="baseline"/>
                <w:lang w:val="en-US" w:eastAsia="zh-CN" w:bidi="ar-SA"/>
              </w:rPr>
              <w:t>以实际供货数量为准</w:t>
            </w:r>
          </w:p>
        </w:tc>
      </w:tr>
      <w:tr w14:paraId="1F523F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90" w:hRule="atLeast"/>
        </w:trPr>
        <w:tc>
          <w:tcPr>
            <w:tcW w:w="744" w:type="dxa"/>
            <w:noWrap w:val="0"/>
            <w:vAlign w:val="top"/>
          </w:tcPr>
          <w:p w14:paraId="256A6128">
            <w:pPr>
              <w:pStyle w:val="2"/>
              <w:pageBreakBefore w:val="0"/>
              <w:widowControl w:val="0"/>
              <w:numPr>
                <w:ilvl w:val="0"/>
                <w:numId w:val="0"/>
              </w:numPr>
              <w:kinsoku/>
              <w:wordWrap/>
              <w:overflowPunct/>
              <w:topLinePunct w:val="0"/>
              <w:autoSpaceDE/>
              <w:autoSpaceDN/>
              <w:bidi w:val="0"/>
              <w:spacing w:line="520" w:lineRule="exact"/>
              <w:jc w:val="center"/>
              <w:textAlignment w:val="auto"/>
              <w:rPr>
                <w:rFonts w:hint="default" w:ascii="宋体" w:hAnsi="宋体" w:eastAsia="宋体" w:cs="宋体"/>
                <w:b w:val="0"/>
                <w:bCs/>
                <w:color w:val="auto"/>
                <w:sz w:val="24"/>
                <w:szCs w:val="24"/>
                <w:highlight w:val="none"/>
                <w:vertAlign w:val="baseline"/>
                <w:lang w:val="en-US" w:eastAsia="zh-CN"/>
              </w:rPr>
            </w:pPr>
            <w:bookmarkStart w:id="15" w:name="_Toc26820"/>
            <w:bookmarkStart w:id="16" w:name="_Toc4483"/>
            <w:r>
              <w:rPr>
                <w:rFonts w:hint="eastAsia" w:ascii="宋体" w:hAnsi="宋体" w:eastAsia="宋体" w:cs="宋体"/>
                <w:b w:val="0"/>
                <w:bCs/>
                <w:color w:val="auto"/>
                <w:sz w:val="24"/>
                <w:szCs w:val="24"/>
                <w:highlight w:val="none"/>
                <w:vertAlign w:val="baseline"/>
                <w:lang w:val="en-US" w:eastAsia="zh-CN"/>
              </w:rPr>
              <w:t>4</w:t>
            </w:r>
            <w:bookmarkEnd w:id="15"/>
            <w:bookmarkEnd w:id="16"/>
          </w:p>
        </w:tc>
        <w:tc>
          <w:tcPr>
            <w:tcW w:w="2861" w:type="dxa"/>
            <w:noWrap w:val="0"/>
            <w:vAlign w:val="center"/>
          </w:tcPr>
          <w:p w14:paraId="025EFD52">
            <w:pPr>
              <w:pStyle w:val="11"/>
              <w:widowControl w:val="0"/>
              <w:numPr>
                <w:ilvl w:val="0"/>
                <w:numId w:val="0"/>
              </w:numPr>
              <w:spacing w:before="120" w:after="120" w:line="360" w:lineRule="auto"/>
              <w:ind w:left="0" w:leftChars="0" w:firstLine="0" w:firstLineChars="0"/>
              <w:jc w:val="center"/>
              <w:outlineLvl w:val="9"/>
              <w:rPr>
                <w:rFonts w:hint="eastAsia" w:ascii="宋体" w:hAnsi="宋体" w:eastAsia="宋体" w:cs="宋体"/>
                <w:b w:val="0"/>
                <w:bCs/>
                <w:kern w:val="0"/>
                <w:sz w:val="24"/>
                <w:szCs w:val="24"/>
                <w:vertAlign w:val="baseline"/>
                <w:lang w:val="en-US" w:eastAsia="zh-CN" w:bidi="ar-SA"/>
              </w:rPr>
            </w:pPr>
            <w:r>
              <w:rPr>
                <w:rFonts w:hint="eastAsia" w:ascii="宋体" w:hAnsi="宋体"/>
                <w:b w:val="0"/>
                <w:bCs w:val="0"/>
                <w:color w:val="auto"/>
                <w:sz w:val="24"/>
                <w:szCs w:val="24"/>
                <w:highlight w:val="none"/>
              </w:rPr>
              <w:t>茄果类（如茄子、西红柿、红辣椒、青辣椒等）</w:t>
            </w:r>
          </w:p>
        </w:tc>
        <w:tc>
          <w:tcPr>
            <w:tcW w:w="4417" w:type="dxa"/>
            <w:noWrap w:val="0"/>
            <w:vAlign w:val="center"/>
          </w:tcPr>
          <w:p w14:paraId="79B8DA46">
            <w:pPr>
              <w:keepNext w:val="0"/>
              <w:keepLines w:val="0"/>
              <w:widowControl/>
              <w:suppressLineNumbers w:val="0"/>
              <w:jc w:val="left"/>
              <w:rPr>
                <w:rFonts w:hint="eastAsia" w:ascii="宋体" w:hAnsi="宋体" w:eastAsia="宋体" w:cs="宋体"/>
                <w:b w:val="0"/>
                <w:bCs w:val="0"/>
                <w:kern w:val="0"/>
                <w:sz w:val="24"/>
                <w:szCs w:val="24"/>
                <w:vertAlign w:val="baseline"/>
                <w:lang w:val="en-US" w:eastAsia="zh-CN" w:bidi="ar-SA"/>
              </w:rPr>
            </w:pPr>
            <w:r>
              <w:rPr>
                <w:rFonts w:hint="eastAsia" w:ascii="宋体" w:hAnsi="宋体"/>
                <w:b w:val="0"/>
                <w:bCs w:val="0"/>
                <w:color w:val="auto"/>
                <w:sz w:val="24"/>
                <w:szCs w:val="24"/>
                <w:highlight w:val="none"/>
              </w:rPr>
              <w:t>果实整洁，成熟度适中，无裂果及空洞现象；皮亮有光泽、无破皮；茄子较硬有弹性、茄身和群部有小刺；西红柿圆正、不破裂、无脐腐病、无压痕；辣椒无腐烂、无异味、结缔部新鲜不发黑、个体均匀、不发软皱缩。</w:t>
            </w:r>
            <w:r>
              <w:rPr>
                <w:rFonts w:hint="eastAsia"/>
                <w:b w:val="0"/>
                <w:bCs w:val="0"/>
                <w:kern w:val="0"/>
                <w:sz w:val="24"/>
                <w:szCs w:val="24"/>
                <w:vertAlign w:val="baseline"/>
                <w:lang w:val="en-US" w:eastAsia="zh-CN" w:bidi="ar-SA"/>
              </w:rPr>
              <w:t>农药残留符合国家标准；</w:t>
            </w:r>
          </w:p>
        </w:tc>
        <w:tc>
          <w:tcPr>
            <w:tcW w:w="1376" w:type="dxa"/>
            <w:noWrap w:val="0"/>
            <w:vAlign w:val="center"/>
          </w:tcPr>
          <w:p w14:paraId="37DEEAA0">
            <w:pPr>
              <w:keepNext w:val="0"/>
              <w:keepLines w:val="0"/>
              <w:widowControl/>
              <w:suppressLineNumbers w:val="0"/>
              <w:jc w:val="center"/>
              <w:rPr>
                <w:rFonts w:hint="eastAsia" w:ascii="宋体" w:hAnsi="宋体" w:eastAsia="宋体" w:cs="宋体"/>
                <w:b w:val="0"/>
                <w:bCs w:val="0"/>
                <w:kern w:val="0"/>
                <w:sz w:val="24"/>
                <w:szCs w:val="24"/>
                <w:vertAlign w:val="baseline"/>
                <w:lang w:val="en-US" w:eastAsia="zh-CN" w:bidi="ar-SA"/>
              </w:rPr>
            </w:pPr>
            <w:r>
              <w:rPr>
                <w:rFonts w:hint="eastAsia" w:ascii="宋体" w:hAnsi="宋体" w:eastAsia="宋体" w:cs="宋体"/>
                <w:b w:val="0"/>
                <w:bCs w:val="0"/>
                <w:kern w:val="0"/>
                <w:sz w:val="24"/>
                <w:szCs w:val="24"/>
                <w:vertAlign w:val="baseline"/>
                <w:lang w:val="en-US" w:eastAsia="zh-CN" w:bidi="ar-SA"/>
              </w:rPr>
              <w:t>以实际供货数量为准</w:t>
            </w:r>
          </w:p>
        </w:tc>
      </w:tr>
      <w:tr w14:paraId="67B37C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8" w:hRule="atLeast"/>
        </w:trPr>
        <w:tc>
          <w:tcPr>
            <w:tcW w:w="744" w:type="dxa"/>
            <w:noWrap w:val="0"/>
            <w:vAlign w:val="top"/>
          </w:tcPr>
          <w:p w14:paraId="5DAA8B3C">
            <w:pPr>
              <w:pStyle w:val="2"/>
              <w:pageBreakBefore w:val="0"/>
              <w:widowControl w:val="0"/>
              <w:numPr>
                <w:ilvl w:val="0"/>
                <w:numId w:val="0"/>
              </w:numPr>
              <w:kinsoku/>
              <w:wordWrap/>
              <w:overflowPunct/>
              <w:topLinePunct w:val="0"/>
              <w:autoSpaceDE/>
              <w:autoSpaceDN/>
              <w:bidi w:val="0"/>
              <w:spacing w:line="520" w:lineRule="exact"/>
              <w:jc w:val="center"/>
              <w:textAlignment w:val="auto"/>
              <w:rPr>
                <w:rFonts w:hint="default" w:ascii="宋体" w:hAnsi="宋体" w:eastAsia="宋体" w:cs="宋体"/>
                <w:b w:val="0"/>
                <w:bCs/>
                <w:color w:val="auto"/>
                <w:sz w:val="24"/>
                <w:szCs w:val="24"/>
                <w:highlight w:val="none"/>
                <w:vertAlign w:val="baseline"/>
                <w:lang w:val="en-US" w:eastAsia="zh-CN"/>
              </w:rPr>
            </w:pPr>
            <w:bookmarkStart w:id="17" w:name="_Toc26373"/>
            <w:bookmarkStart w:id="18" w:name="_Toc43"/>
            <w:r>
              <w:rPr>
                <w:rFonts w:hint="eastAsia" w:ascii="宋体" w:hAnsi="宋体" w:eastAsia="宋体" w:cs="宋体"/>
                <w:b w:val="0"/>
                <w:bCs/>
                <w:color w:val="auto"/>
                <w:sz w:val="24"/>
                <w:szCs w:val="24"/>
                <w:highlight w:val="none"/>
                <w:vertAlign w:val="baseline"/>
                <w:lang w:val="en-US" w:eastAsia="zh-CN"/>
              </w:rPr>
              <w:t>5</w:t>
            </w:r>
            <w:bookmarkEnd w:id="17"/>
            <w:bookmarkEnd w:id="18"/>
          </w:p>
        </w:tc>
        <w:tc>
          <w:tcPr>
            <w:tcW w:w="2861" w:type="dxa"/>
            <w:noWrap w:val="0"/>
            <w:vAlign w:val="center"/>
          </w:tcPr>
          <w:p w14:paraId="52242CF6">
            <w:pPr>
              <w:pStyle w:val="11"/>
              <w:widowControl w:val="0"/>
              <w:numPr>
                <w:ilvl w:val="0"/>
                <w:numId w:val="0"/>
              </w:numPr>
              <w:spacing w:before="120" w:after="120" w:line="360" w:lineRule="auto"/>
              <w:ind w:left="0" w:leftChars="0" w:firstLine="0" w:firstLineChars="0"/>
              <w:jc w:val="center"/>
              <w:outlineLvl w:val="9"/>
              <w:rPr>
                <w:rFonts w:hint="eastAsia" w:ascii="宋体" w:hAnsi="宋体"/>
                <w:b w:val="0"/>
                <w:bCs w:val="0"/>
                <w:color w:val="auto"/>
                <w:sz w:val="24"/>
                <w:szCs w:val="24"/>
                <w:highlight w:val="none"/>
              </w:rPr>
            </w:pPr>
            <w:r>
              <w:rPr>
                <w:rFonts w:hint="eastAsia" w:ascii="宋体" w:hAnsi="宋体"/>
                <w:b w:val="0"/>
                <w:bCs w:val="0"/>
                <w:color w:val="auto"/>
                <w:sz w:val="24"/>
                <w:szCs w:val="24"/>
                <w:highlight w:val="none"/>
              </w:rPr>
              <w:t>花菜类（如白花菜、青花菜等）</w:t>
            </w:r>
          </w:p>
        </w:tc>
        <w:tc>
          <w:tcPr>
            <w:tcW w:w="4417" w:type="dxa"/>
            <w:noWrap w:val="0"/>
            <w:vAlign w:val="center"/>
          </w:tcPr>
          <w:p w14:paraId="1F5405DA">
            <w:pPr>
              <w:keepNext w:val="0"/>
              <w:keepLines w:val="0"/>
              <w:widowControl/>
              <w:suppressLineNumbers w:val="0"/>
              <w:jc w:val="left"/>
              <w:rPr>
                <w:rFonts w:hint="eastAsia" w:ascii="宋体" w:hAnsi="宋体" w:eastAsia="宋体" w:cs="宋体"/>
                <w:b w:val="0"/>
                <w:bCs w:val="0"/>
                <w:kern w:val="0"/>
                <w:sz w:val="24"/>
                <w:szCs w:val="24"/>
                <w:vertAlign w:val="baseline"/>
                <w:lang w:val="en-US" w:eastAsia="zh-CN" w:bidi="ar-SA"/>
              </w:rPr>
            </w:pPr>
            <w:r>
              <w:rPr>
                <w:rFonts w:hint="eastAsia" w:ascii="宋体" w:hAnsi="宋体"/>
                <w:b w:val="0"/>
                <w:bCs w:val="0"/>
                <w:color w:val="auto"/>
                <w:sz w:val="24"/>
                <w:szCs w:val="24"/>
                <w:highlight w:val="none"/>
              </w:rPr>
              <w:t>个体周正、花球坚实、无发乌、无褐变、无虫咬、无霉变。</w:t>
            </w:r>
            <w:r>
              <w:rPr>
                <w:rFonts w:hint="eastAsia"/>
                <w:b w:val="0"/>
                <w:bCs w:val="0"/>
                <w:kern w:val="0"/>
                <w:sz w:val="24"/>
                <w:szCs w:val="24"/>
                <w:vertAlign w:val="baseline"/>
                <w:lang w:val="en-US" w:eastAsia="zh-CN" w:bidi="ar-SA"/>
              </w:rPr>
              <w:t>农药残留符合国家标准；</w:t>
            </w:r>
          </w:p>
        </w:tc>
        <w:tc>
          <w:tcPr>
            <w:tcW w:w="1376" w:type="dxa"/>
            <w:noWrap w:val="0"/>
            <w:vAlign w:val="center"/>
          </w:tcPr>
          <w:p w14:paraId="597281C1">
            <w:pPr>
              <w:keepNext w:val="0"/>
              <w:keepLines w:val="0"/>
              <w:widowControl/>
              <w:suppressLineNumbers w:val="0"/>
              <w:jc w:val="center"/>
              <w:rPr>
                <w:rFonts w:hint="eastAsia" w:ascii="宋体" w:hAnsi="宋体" w:eastAsia="宋体" w:cs="宋体"/>
                <w:b w:val="0"/>
                <w:bCs w:val="0"/>
                <w:kern w:val="0"/>
                <w:sz w:val="24"/>
                <w:szCs w:val="24"/>
                <w:vertAlign w:val="baseline"/>
                <w:lang w:val="en-US" w:eastAsia="zh-CN" w:bidi="ar-SA"/>
              </w:rPr>
            </w:pPr>
            <w:r>
              <w:rPr>
                <w:rFonts w:hint="eastAsia" w:ascii="宋体" w:hAnsi="宋体" w:eastAsia="宋体" w:cs="宋体"/>
                <w:b w:val="0"/>
                <w:bCs w:val="0"/>
                <w:kern w:val="0"/>
                <w:sz w:val="24"/>
                <w:szCs w:val="24"/>
                <w:vertAlign w:val="baseline"/>
                <w:lang w:val="en-US" w:eastAsia="zh-CN" w:bidi="ar-SA"/>
              </w:rPr>
              <w:t>以实际供货数量为准</w:t>
            </w:r>
          </w:p>
        </w:tc>
      </w:tr>
      <w:tr w14:paraId="4862C4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3" w:hRule="atLeast"/>
        </w:trPr>
        <w:tc>
          <w:tcPr>
            <w:tcW w:w="744" w:type="dxa"/>
            <w:noWrap w:val="0"/>
            <w:vAlign w:val="top"/>
          </w:tcPr>
          <w:p w14:paraId="4DA436DA">
            <w:pPr>
              <w:pStyle w:val="2"/>
              <w:pageBreakBefore w:val="0"/>
              <w:widowControl w:val="0"/>
              <w:numPr>
                <w:ilvl w:val="0"/>
                <w:numId w:val="0"/>
              </w:numPr>
              <w:kinsoku/>
              <w:wordWrap/>
              <w:overflowPunct/>
              <w:topLinePunct w:val="0"/>
              <w:autoSpaceDE/>
              <w:autoSpaceDN/>
              <w:bidi w:val="0"/>
              <w:spacing w:line="520" w:lineRule="exact"/>
              <w:jc w:val="center"/>
              <w:textAlignment w:val="auto"/>
              <w:rPr>
                <w:rFonts w:hint="default" w:ascii="宋体" w:hAnsi="宋体" w:eastAsia="宋体" w:cs="宋体"/>
                <w:b w:val="0"/>
                <w:bCs/>
                <w:color w:val="auto"/>
                <w:sz w:val="24"/>
                <w:szCs w:val="24"/>
                <w:highlight w:val="none"/>
                <w:vertAlign w:val="baseline"/>
                <w:lang w:val="en-US" w:eastAsia="zh-CN"/>
              </w:rPr>
            </w:pPr>
            <w:bookmarkStart w:id="19" w:name="_Toc8445"/>
            <w:bookmarkStart w:id="20" w:name="_Toc27905"/>
            <w:r>
              <w:rPr>
                <w:rFonts w:hint="eastAsia" w:ascii="宋体" w:hAnsi="宋体" w:eastAsia="宋体" w:cs="宋体"/>
                <w:b w:val="0"/>
                <w:bCs/>
                <w:color w:val="auto"/>
                <w:sz w:val="24"/>
                <w:szCs w:val="24"/>
                <w:highlight w:val="none"/>
                <w:vertAlign w:val="baseline"/>
                <w:lang w:val="en-US" w:eastAsia="zh-CN"/>
              </w:rPr>
              <w:t>6</w:t>
            </w:r>
            <w:bookmarkEnd w:id="19"/>
            <w:bookmarkEnd w:id="20"/>
          </w:p>
        </w:tc>
        <w:tc>
          <w:tcPr>
            <w:tcW w:w="2861" w:type="dxa"/>
            <w:noWrap w:val="0"/>
            <w:vAlign w:val="center"/>
          </w:tcPr>
          <w:p w14:paraId="3B396FAB">
            <w:pPr>
              <w:pStyle w:val="11"/>
              <w:widowControl w:val="0"/>
              <w:numPr>
                <w:ilvl w:val="0"/>
                <w:numId w:val="0"/>
              </w:numPr>
              <w:spacing w:before="120" w:after="120" w:line="360" w:lineRule="auto"/>
              <w:ind w:left="0" w:leftChars="0" w:firstLine="0" w:firstLineChars="0"/>
              <w:jc w:val="center"/>
              <w:outlineLvl w:val="9"/>
              <w:rPr>
                <w:rFonts w:hint="eastAsia" w:ascii="宋体" w:hAnsi="宋体"/>
                <w:b w:val="0"/>
                <w:bCs w:val="0"/>
                <w:color w:val="auto"/>
                <w:sz w:val="24"/>
                <w:szCs w:val="24"/>
                <w:highlight w:val="none"/>
              </w:rPr>
            </w:pPr>
            <w:r>
              <w:rPr>
                <w:rFonts w:hint="eastAsia" w:ascii="宋体" w:hAnsi="宋体"/>
                <w:b w:val="0"/>
                <w:bCs w:val="0"/>
                <w:color w:val="auto"/>
                <w:sz w:val="24"/>
                <w:szCs w:val="24"/>
                <w:highlight w:val="none"/>
              </w:rPr>
              <w:t>地下茎菜类（如土豆、凉薯、芋头、洋葱等）</w:t>
            </w:r>
          </w:p>
        </w:tc>
        <w:tc>
          <w:tcPr>
            <w:tcW w:w="4417" w:type="dxa"/>
            <w:noWrap w:val="0"/>
            <w:vAlign w:val="center"/>
          </w:tcPr>
          <w:p w14:paraId="2D5180C9">
            <w:pPr>
              <w:keepNext w:val="0"/>
              <w:keepLines w:val="0"/>
              <w:widowControl/>
              <w:suppressLineNumbers w:val="0"/>
              <w:jc w:val="left"/>
              <w:rPr>
                <w:rFonts w:hint="eastAsia" w:ascii="宋体" w:hAnsi="宋体" w:eastAsia="宋体" w:cs="宋体"/>
                <w:b w:val="0"/>
                <w:bCs w:val="0"/>
                <w:kern w:val="0"/>
                <w:sz w:val="24"/>
                <w:szCs w:val="24"/>
                <w:vertAlign w:val="baseline"/>
                <w:lang w:val="en-US" w:eastAsia="zh-CN" w:bidi="ar-SA"/>
              </w:rPr>
            </w:pPr>
            <w:r>
              <w:rPr>
                <w:rFonts w:hint="eastAsia" w:ascii="宋体" w:hAnsi="宋体"/>
                <w:b w:val="0"/>
                <w:bCs w:val="0"/>
                <w:color w:val="auto"/>
                <w:sz w:val="24"/>
                <w:szCs w:val="24"/>
                <w:highlight w:val="none"/>
              </w:rPr>
              <w:t>外观良好、个体均匀、无泥沙、无虫蛀、无萎蔫变软、无发芽或变绿，无开裂、无折断。</w:t>
            </w:r>
            <w:r>
              <w:rPr>
                <w:rFonts w:hint="eastAsia"/>
                <w:b w:val="0"/>
                <w:bCs w:val="0"/>
                <w:kern w:val="0"/>
                <w:sz w:val="24"/>
                <w:szCs w:val="24"/>
                <w:vertAlign w:val="baseline"/>
                <w:lang w:val="en-US" w:eastAsia="zh-CN" w:bidi="ar-SA"/>
              </w:rPr>
              <w:t>农药残留符合国家标准；</w:t>
            </w:r>
          </w:p>
        </w:tc>
        <w:tc>
          <w:tcPr>
            <w:tcW w:w="1376" w:type="dxa"/>
            <w:noWrap w:val="0"/>
            <w:vAlign w:val="center"/>
          </w:tcPr>
          <w:p w14:paraId="7BF33194">
            <w:pPr>
              <w:keepNext w:val="0"/>
              <w:keepLines w:val="0"/>
              <w:widowControl/>
              <w:suppressLineNumbers w:val="0"/>
              <w:jc w:val="center"/>
              <w:rPr>
                <w:rFonts w:hint="eastAsia" w:ascii="宋体" w:hAnsi="宋体" w:eastAsia="宋体" w:cs="宋体"/>
                <w:b w:val="0"/>
                <w:bCs w:val="0"/>
                <w:kern w:val="0"/>
                <w:sz w:val="24"/>
                <w:szCs w:val="24"/>
                <w:vertAlign w:val="baseline"/>
                <w:lang w:val="en-US" w:eastAsia="zh-CN" w:bidi="ar-SA"/>
              </w:rPr>
            </w:pPr>
            <w:r>
              <w:rPr>
                <w:rFonts w:hint="eastAsia" w:ascii="宋体" w:hAnsi="宋体" w:eastAsia="宋体" w:cs="宋体"/>
                <w:b w:val="0"/>
                <w:bCs w:val="0"/>
                <w:kern w:val="0"/>
                <w:sz w:val="24"/>
                <w:szCs w:val="24"/>
                <w:vertAlign w:val="baseline"/>
                <w:lang w:val="en-US" w:eastAsia="zh-CN" w:bidi="ar-SA"/>
              </w:rPr>
              <w:t>以实际供货数量为准</w:t>
            </w:r>
          </w:p>
        </w:tc>
      </w:tr>
      <w:tr w14:paraId="45E01D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8" w:hRule="atLeast"/>
        </w:trPr>
        <w:tc>
          <w:tcPr>
            <w:tcW w:w="744" w:type="dxa"/>
            <w:noWrap w:val="0"/>
            <w:vAlign w:val="top"/>
          </w:tcPr>
          <w:p w14:paraId="02374C48">
            <w:pPr>
              <w:pStyle w:val="2"/>
              <w:pageBreakBefore w:val="0"/>
              <w:widowControl w:val="0"/>
              <w:numPr>
                <w:ilvl w:val="0"/>
                <w:numId w:val="0"/>
              </w:numPr>
              <w:kinsoku/>
              <w:wordWrap/>
              <w:overflowPunct/>
              <w:topLinePunct w:val="0"/>
              <w:autoSpaceDE/>
              <w:autoSpaceDN/>
              <w:bidi w:val="0"/>
              <w:spacing w:line="520" w:lineRule="exact"/>
              <w:jc w:val="center"/>
              <w:textAlignment w:val="auto"/>
              <w:rPr>
                <w:rFonts w:hint="default" w:ascii="宋体" w:hAnsi="宋体" w:eastAsia="宋体" w:cs="宋体"/>
                <w:b w:val="0"/>
                <w:bCs/>
                <w:color w:val="auto"/>
                <w:sz w:val="24"/>
                <w:szCs w:val="24"/>
                <w:highlight w:val="none"/>
                <w:vertAlign w:val="baseline"/>
                <w:lang w:val="en-US" w:eastAsia="zh-CN"/>
              </w:rPr>
            </w:pPr>
            <w:bookmarkStart w:id="21" w:name="_Toc8219"/>
            <w:bookmarkStart w:id="22" w:name="_Toc9988"/>
            <w:r>
              <w:rPr>
                <w:rFonts w:hint="eastAsia" w:ascii="宋体" w:hAnsi="宋体" w:eastAsia="宋体" w:cs="宋体"/>
                <w:b w:val="0"/>
                <w:bCs/>
                <w:color w:val="auto"/>
                <w:sz w:val="24"/>
                <w:szCs w:val="24"/>
                <w:highlight w:val="none"/>
                <w:vertAlign w:val="baseline"/>
                <w:lang w:val="en-US" w:eastAsia="zh-CN"/>
              </w:rPr>
              <w:t>7</w:t>
            </w:r>
            <w:bookmarkEnd w:id="21"/>
            <w:bookmarkEnd w:id="22"/>
          </w:p>
        </w:tc>
        <w:tc>
          <w:tcPr>
            <w:tcW w:w="2861" w:type="dxa"/>
            <w:noWrap w:val="0"/>
            <w:vAlign w:val="center"/>
          </w:tcPr>
          <w:p w14:paraId="21F4DD84">
            <w:pPr>
              <w:pStyle w:val="11"/>
              <w:widowControl w:val="0"/>
              <w:numPr>
                <w:ilvl w:val="0"/>
                <w:numId w:val="0"/>
              </w:numPr>
              <w:spacing w:before="120" w:after="120" w:line="360" w:lineRule="auto"/>
              <w:ind w:left="0" w:leftChars="0" w:firstLine="0" w:firstLineChars="0"/>
              <w:jc w:val="center"/>
              <w:outlineLvl w:val="9"/>
              <w:rPr>
                <w:rFonts w:hint="eastAsia" w:ascii="宋体" w:hAnsi="宋体"/>
                <w:b w:val="0"/>
                <w:bCs w:val="0"/>
                <w:color w:val="auto"/>
                <w:sz w:val="24"/>
                <w:szCs w:val="24"/>
                <w:highlight w:val="none"/>
              </w:rPr>
            </w:pPr>
            <w:r>
              <w:rPr>
                <w:rFonts w:hint="eastAsia" w:ascii="宋体" w:hAnsi="宋体"/>
                <w:b w:val="0"/>
                <w:bCs w:val="0"/>
                <w:color w:val="auto"/>
                <w:sz w:val="24"/>
                <w:szCs w:val="24"/>
                <w:highlight w:val="none"/>
              </w:rPr>
              <w:t>地上茎菜类（如莴苣等）</w:t>
            </w:r>
          </w:p>
        </w:tc>
        <w:tc>
          <w:tcPr>
            <w:tcW w:w="4417" w:type="dxa"/>
            <w:noWrap w:val="0"/>
            <w:vAlign w:val="center"/>
          </w:tcPr>
          <w:p w14:paraId="77909C54">
            <w:pPr>
              <w:keepNext w:val="0"/>
              <w:keepLines w:val="0"/>
              <w:widowControl/>
              <w:suppressLineNumbers w:val="0"/>
              <w:jc w:val="left"/>
              <w:rPr>
                <w:rFonts w:hint="eastAsia" w:ascii="宋体" w:hAnsi="宋体"/>
                <w:b w:val="0"/>
                <w:bCs w:val="0"/>
                <w:color w:val="auto"/>
                <w:sz w:val="24"/>
                <w:szCs w:val="24"/>
                <w:highlight w:val="none"/>
              </w:rPr>
            </w:pPr>
            <w:r>
              <w:rPr>
                <w:rFonts w:hint="eastAsia" w:ascii="宋体" w:hAnsi="宋体"/>
                <w:b w:val="0"/>
                <w:bCs w:val="0"/>
                <w:color w:val="auto"/>
                <w:sz w:val="24"/>
                <w:szCs w:val="24"/>
                <w:highlight w:val="none"/>
              </w:rPr>
              <w:t>茎皮光滑不开裂、无老根、无黄叶、无病虫害、不糠心、不烂芽</w:t>
            </w:r>
            <w:r>
              <w:rPr>
                <w:rFonts w:hint="eastAsia"/>
                <w:b w:val="0"/>
                <w:bCs w:val="0"/>
                <w:color w:val="auto"/>
                <w:sz w:val="24"/>
                <w:szCs w:val="24"/>
                <w:highlight w:val="none"/>
                <w:lang w:eastAsia="zh-CN"/>
              </w:rPr>
              <w:t>。</w:t>
            </w:r>
            <w:r>
              <w:rPr>
                <w:rFonts w:hint="eastAsia"/>
                <w:b w:val="0"/>
                <w:bCs w:val="0"/>
                <w:kern w:val="0"/>
                <w:sz w:val="24"/>
                <w:szCs w:val="24"/>
                <w:vertAlign w:val="baseline"/>
                <w:lang w:val="en-US" w:eastAsia="zh-CN" w:bidi="ar-SA"/>
              </w:rPr>
              <w:t>农药残留符合国家标准；</w:t>
            </w:r>
          </w:p>
        </w:tc>
        <w:tc>
          <w:tcPr>
            <w:tcW w:w="1376" w:type="dxa"/>
            <w:noWrap w:val="0"/>
            <w:vAlign w:val="center"/>
          </w:tcPr>
          <w:p w14:paraId="79D118E5">
            <w:pPr>
              <w:keepNext w:val="0"/>
              <w:keepLines w:val="0"/>
              <w:widowControl/>
              <w:suppressLineNumbers w:val="0"/>
              <w:jc w:val="center"/>
              <w:rPr>
                <w:rFonts w:hint="eastAsia" w:ascii="宋体" w:hAnsi="宋体" w:eastAsia="宋体" w:cs="宋体"/>
                <w:b w:val="0"/>
                <w:bCs w:val="0"/>
                <w:kern w:val="0"/>
                <w:sz w:val="24"/>
                <w:szCs w:val="24"/>
                <w:vertAlign w:val="baseline"/>
                <w:lang w:val="en-US" w:eastAsia="zh-CN" w:bidi="ar-SA"/>
              </w:rPr>
            </w:pPr>
            <w:r>
              <w:rPr>
                <w:rFonts w:hint="eastAsia" w:ascii="宋体" w:hAnsi="宋体" w:eastAsia="宋体" w:cs="宋体"/>
                <w:b w:val="0"/>
                <w:bCs w:val="0"/>
                <w:kern w:val="0"/>
                <w:sz w:val="24"/>
                <w:szCs w:val="24"/>
                <w:vertAlign w:val="baseline"/>
                <w:lang w:val="en-US" w:eastAsia="zh-CN" w:bidi="ar-SA"/>
              </w:rPr>
              <w:t>以实际供货数量为准</w:t>
            </w:r>
          </w:p>
        </w:tc>
      </w:tr>
      <w:tr w14:paraId="1BC73C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8" w:hRule="atLeast"/>
        </w:trPr>
        <w:tc>
          <w:tcPr>
            <w:tcW w:w="744" w:type="dxa"/>
            <w:noWrap w:val="0"/>
            <w:vAlign w:val="top"/>
          </w:tcPr>
          <w:p w14:paraId="565862EA">
            <w:pPr>
              <w:pStyle w:val="2"/>
              <w:pageBreakBefore w:val="0"/>
              <w:widowControl w:val="0"/>
              <w:numPr>
                <w:ilvl w:val="0"/>
                <w:numId w:val="0"/>
              </w:numPr>
              <w:kinsoku/>
              <w:wordWrap/>
              <w:overflowPunct/>
              <w:topLinePunct w:val="0"/>
              <w:autoSpaceDE/>
              <w:autoSpaceDN/>
              <w:bidi w:val="0"/>
              <w:spacing w:line="520" w:lineRule="exact"/>
              <w:jc w:val="center"/>
              <w:textAlignment w:val="auto"/>
              <w:rPr>
                <w:rFonts w:hint="default" w:ascii="宋体" w:hAnsi="宋体" w:eastAsia="宋体" w:cs="宋体"/>
                <w:b w:val="0"/>
                <w:bCs/>
                <w:color w:val="auto"/>
                <w:sz w:val="24"/>
                <w:szCs w:val="24"/>
                <w:highlight w:val="none"/>
                <w:vertAlign w:val="baseline"/>
                <w:lang w:val="en-US" w:eastAsia="zh-CN"/>
              </w:rPr>
            </w:pPr>
            <w:bookmarkStart w:id="23" w:name="_Toc27272"/>
            <w:bookmarkStart w:id="24" w:name="_Toc17970"/>
            <w:r>
              <w:rPr>
                <w:rFonts w:hint="eastAsia" w:ascii="宋体" w:hAnsi="宋体" w:eastAsia="宋体" w:cs="宋体"/>
                <w:b w:val="0"/>
                <w:bCs/>
                <w:color w:val="auto"/>
                <w:sz w:val="24"/>
                <w:szCs w:val="24"/>
                <w:highlight w:val="none"/>
                <w:vertAlign w:val="baseline"/>
                <w:lang w:val="en-US" w:eastAsia="zh-CN"/>
              </w:rPr>
              <w:t>8</w:t>
            </w:r>
            <w:bookmarkEnd w:id="23"/>
            <w:bookmarkEnd w:id="24"/>
          </w:p>
        </w:tc>
        <w:tc>
          <w:tcPr>
            <w:tcW w:w="2861" w:type="dxa"/>
            <w:noWrap w:val="0"/>
            <w:vAlign w:val="center"/>
          </w:tcPr>
          <w:p w14:paraId="27FAE2ED">
            <w:pPr>
              <w:pStyle w:val="11"/>
              <w:widowControl w:val="0"/>
              <w:numPr>
                <w:ilvl w:val="0"/>
                <w:numId w:val="0"/>
              </w:numPr>
              <w:spacing w:before="120" w:after="120" w:line="360" w:lineRule="auto"/>
              <w:ind w:left="0" w:leftChars="0" w:firstLine="0" w:firstLineChars="0"/>
              <w:jc w:val="center"/>
              <w:outlineLvl w:val="9"/>
              <w:rPr>
                <w:rFonts w:hint="eastAsia" w:ascii="宋体" w:hAnsi="宋体"/>
                <w:b w:val="0"/>
                <w:bCs w:val="0"/>
                <w:color w:val="auto"/>
                <w:sz w:val="24"/>
                <w:szCs w:val="24"/>
                <w:highlight w:val="none"/>
              </w:rPr>
            </w:pPr>
            <w:r>
              <w:rPr>
                <w:rFonts w:hint="eastAsia" w:ascii="宋体" w:hAnsi="宋体"/>
                <w:b w:val="0"/>
                <w:bCs w:val="0"/>
                <w:color w:val="auto"/>
                <w:sz w:val="24"/>
                <w:szCs w:val="24"/>
                <w:highlight w:val="none"/>
              </w:rPr>
              <w:t>红菜苔、白菜苔、菜心</w:t>
            </w:r>
            <w:r>
              <w:rPr>
                <w:rFonts w:hint="eastAsia"/>
                <w:b w:val="0"/>
                <w:bCs w:val="0"/>
                <w:color w:val="auto"/>
                <w:sz w:val="24"/>
                <w:szCs w:val="24"/>
                <w:highlight w:val="none"/>
                <w:lang w:eastAsia="zh-CN"/>
              </w:rPr>
              <w:t>等</w:t>
            </w:r>
          </w:p>
        </w:tc>
        <w:tc>
          <w:tcPr>
            <w:tcW w:w="4417" w:type="dxa"/>
            <w:noWrap w:val="0"/>
            <w:vAlign w:val="center"/>
          </w:tcPr>
          <w:p w14:paraId="5D7AB713">
            <w:pPr>
              <w:keepNext w:val="0"/>
              <w:keepLines w:val="0"/>
              <w:widowControl/>
              <w:suppressLineNumbers w:val="0"/>
              <w:jc w:val="left"/>
              <w:rPr>
                <w:rFonts w:hint="eastAsia" w:ascii="宋体" w:hAnsi="宋体"/>
                <w:b w:val="0"/>
                <w:bCs w:val="0"/>
                <w:color w:val="auto"/>
                <w:sz w:val="24"/>
                <w:szCs w:val="24"/>
                <w:highlight w:val="none"/>
              </w:rPr>
            </w:pPr>
            <w:r>
              <w:rPr>
                <w:rFonts w:hint="eastAsia" w:ascii="宋体" w:hAnsi="宋体"/>
                <w:b w:val="0"/>
                <w:bCs w:val="0"/>
                <w:color w:val="auto"/>
                <w:sz w:val="24"/>
                <w:szCs w:val="24"/>
                <w:highlight w:val="none"/>
              </w:rPr>
              <w:t>鲜嫩、无老叶、无黄叶、根部切口新鲜、茎叶完整、无花斑黄叶、无腐烂现象。</w:t>
            </w:r>
            <w:r>
              <w:rPr>
                <w:rFonts w:hint="eastAsia"/>
                <w:b w:val="0"/>
                <w:bCs w:val="0"/>
                <w:kern w:val="0"/>
                <w:sz w:val="24"/>
                <w:szCs w:val="24"/>
                <w:vertAlign w:val="baseline"/>
                <w:lang w:val="en-US" w:eastAsia="zh-CN" w:bidi="ar-SA"/>
              </w:rPr>
              <w:t>农药残留符合国家标准；</w:t>
            </w:r>
          </w:p>
        </w:tc>
        <w:tc>
          <w:tcPr>
            <w:tcW w:w="1376" w:type="dxa"/>
            <w:noWrap w:val="0"/>
            <w:vAlign w:val="center"/>
          </w:tcPr>
          <w:p w14:paraId="6782AABF">
            <w:pPr>
              <w:keepNext w:val="0"/>
              <w:keepLines w:val="0"/>
              <w:widowControl/>
              <w:suppressLineNumbers w:val="0"/>
              <w:jc w:val="center"/>
              <w:rPr>
                <w:rFonts w:hint="eastAsia" w:ascii="宋体" w:hAnsi="宋体" w:eastAsia="宋体" w:cs="宋体"/>
                <w:b w:val="0"/>
                <w:bCs w:val="0"/>
                <w:kern w:val="0"/>
                <w:sz w:val="24"/>
                <w:szCs w:val="24"/>
                <w:vertAlign w:val="baseline"/>
                <w:lang w:val="en-US" w:eastAsia="zh-CN" w:bidi="ar-SA"/>
              </w:rPr>
            </w:pPr>
            <w:r>
              <w:rPr>
                <w:rFonts w:hint="eastAsia" w:ascii="宋体" w:hAnsi="宋体" w:eastAsia="宋体" w:cs="宋体"/>
                <w:b w:val="0"/>
                <w:bCs w:val="0"/>
                <w:kern w:val="0"/>
                <w:sz w:val="24"/>
                <w:szCs w:val="24"/>
                <w:vertAlign w:val="baseline"/>
                <w:lang w:val="en-US" w:eastAsia="zh-CN" w:bidi="ar-SA"/>
              </w:rPr>
              <w:t>以实际供货数量为准</w:t>
            </w:r>
          </w:p>
        </w:tc>
      </w:tr>
      <w:tr w14:paraId="555350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6" w:hRule="atLeast"/>
        </w:trPr>
        <w:tc>
          <w:tcPr>
            <w:tcW w:w="744" w:type="dxa"/>
            <w:noWrap w:val="0"/>
            <w:vAlign w:val="top"/>
          </w:tcPr>
          <w:p w14:paraId="3FE8BAB4">
            <w:pPr>
              <w:pStyle w:val="2"/>
              <w:pageBreakBefore w:val="0"/>
              <w:widowControl w:val="0"/>
              <w:numPr>
                <w:ilvl w:val="0"/>
                <w:numId w:val="0"/>
              </w:numPr>
              <w:kinsoku/>
              <w:wordWrap/>
              <w:overflowPunct/>
              <w:topLinePunct w:val="0"/>
              <w:autoSpaceDE/>
              <w:autoSpaceDN/>
              <w:bidi w:val="0"/>
              <w:spacing w:line="520" w:lineRule="exact"/>
              <w:jc w:val="center"/>
              <w:textAlignment w:val="auto"/>
              <w:rPr>
                <w:rFonts w:hint="default" w:ascii="宋体" w:hAnsi="宋体" w:eastAsia="宋体" w:cs="宋体"/>
                <w:b w:val="0"/>
                <w:bCs/>
                <w:color w:val="auto"/>
                <w:sz w:val="24"/>
                <w:szCs w:val="24"/>
                <w:highlight w:val="none"/>
                <w:vertAlign w:val="baseline"/>
                <w:lang w:val="en-US" w:eastAsia="zh-CN"/>
              </w:rPr>
            </w:pPr>
            <w:bookmarkStart w:id="25" w:name="_Toc20740"/>
            <w:bookmarkStart w:id="26" w:name="_Toc2823"/>
            <w:r>
              <w:rPr>
                <w:rFonts w:hint="eastAsia" w:ascii="宋体" w:hAnsi="宋体" w:eastAsia="宋体" w:cs="宋体"/>
                <w:b w:val="0"/>
                <w:bCs/>
                <w:color w:val="auto"/>
                <w:sz w:val="24"/>
                <w:szCs w:val="24"/>
                <w:highlight w:val="none"/>
                <w:vertAlign w:val="baseline"/>
                <w:lang w:val="en-US" w:eastAsia="zh-CN"/>
              </w:rPr>
              <w:t>9</w:t>
            </w:r>
            <w:bookmarkEnd w:id="25"/>
            <w:bookmarkEnd w:id="26"/>
          </w:p>
        </w:tc>
        <w:tc>
          <w:tcPr>
            <w:tcW w:w="2861" w:type="dxa"/>
            <w:noWrap w:val="0"/>
            <w:vAlign w:val="center"/>
          </w:tcPr>
          <w:p w14:paraId="0BD081EE">
            <w:pPr>
              <w:pStyle w:val="11"/>
              <w:widowControl w:val="0"/>
              <w:numPr>
                <w:ilvl w:val="0"/>
                <w:numId w:val="0"/>
              </w:numPr>
              <w:spacing w:before="120" w:after="120" w:line="360" w:lineRule="auto"/>
              <w:ind w:left="0" w:leftChars="0" w:firstLine="0" w:firstLineChars="0"/>
              <w:jc w:val="center"/>
              <w:outlineLvl w:val="9"/>
              <w:rPr>
                <w:rFonts w:hint="eastAsia" w:ascii="宋体" w:hAnsi="宋体"/>
                <w:b w:val="0"/>
                <w:bCs w:val="0"/>
                <w:color w:val="auto"/>
                <w:sz w:val="24"/>
                <w:szCs w:val="24"/>
                <w:highlight w:val="none"/>
              </w:rPr>
            </w:pPr>
            <w:r>
              <w:rPr>
                <w:rFonts w:hint="eastAsia" w:ascii="宋体" w:hAnsi="宋体"/>
                <w:b w:val="0"/>
                <w:bCs w:val="0"/>
                <w:color w:val="auto"/>
                <w:sz w:val="24"/>
                <w:szCs w:val="24"/>
                <w:highlight w:val="none"/>
              </w:rPr>
              <w:t>香辛叶菜类（如芹菜、青蒜、香菜、葱、韭菜、蒜</w:t>
            </w:r>
            <w:r>
              <w:rPr>
                <w:rFonts w:hint="eastAsia"/>
                <w:b w:val="0"/>
                <w:bCs w:val="0"/>
                <w:color w:val="auto"/>
                <w:sz w:val="24"/>
                <w:szCs w:val="24"/>
                <w:highlight w:val="none"/>
                <w:lang w:eastAsia="zh-CN"/>
              </w:rPr>
              <w:t>苔</w:t>
            </w:r>
            <w:r>
              <w:rPr>
                <w:rFonts w:hint="eastAsia" w:ascii="宋体" w:hAnsi="宋体"/>
                <w:b w:val="0"/>
                <w:bCs w:val="0"/>
                <w:color w:val="auto"/>
                <w:sz w:val="24"/>
                <w:szCs w:val="24"/>
                <w:highlight w:val="none"/>
              </w:rPr>
              <w:t>等）</w:t>
            </w:r>
          </w:p>
        </w:tc>
        <w:tc>
          <w:tcPr>
            <w:tcW w:w="4417" w:type="dxa"/>
            <w:noWrap w:val="0"/>
            <w:vAlign w:val="center"/>
          </w:tcPr>
          <w:p w14:paraId="7C7E77EC">
            <w:pPr>
              <w:keepNext w:val="0"/>
              <w:keepLines w:val="0"/>
              <w:widowControl/>
              <w:suppressLineNumbers w:val="0"/>
              <w:jc w:val="left"/>
              <w:rPr>
                <w:rFonts w:hint="eastAsia" w:ascii="宋体" w:hAnsi="宋体"/>
                <w:b w:val="0"/>
                <w:bCs w:val="0"/>
                <w:color w:val="auto"/>
                <w:sz w:val="24"/>
                <w:szCs w:val="24"/>
                <w:highlight w:val="none"/>
              </w:rPr>
            </w:pPr>
            <w:r>
              <w:rPr>
                <w:rFonts w:hint="eastAsia" w:ascii="宋体" w:hAnsi="宋体"/>
                <w:b w:val="0"/>
                <w:bCs w:val="0"/>
                <w:color w:val="auto"/>
                <w:sz w:val="24"/>
                <w:szCs w:val="24"/>
                <w:highlight w:val="none"/>
              </w:rPr>
              <w:t>新鲜、干净无泥、无枯焦烂叶、无折断、不干枯；蒜</w:t>
            </w:r>
            <w:r>
              <w:rPr>
                <w:rFonts w:hint="eastAsia"/>
                <w:b w:val="0"/>
                <w:bCs w:val="0"/>
                <w:color w:val="auto"/>
                <w:sz w:val="24"/>
                <w:szCs w:val="24"/>
                <w:highlight w:val="none"/>
                <w:lang w:eastAsia="zh-CN"/>
              </w:rPr>
              <w:t>苔</w:t>
            </w:r>
            <w:r>
              <w:rPr>
                <w:rFonts w:hint="eastAsia" w:ascii="宋体" w:hAnsi="宋体"/>
                <w:b w:val="0"/>
                <w:bCs w:val="0"/>
                <w:color w:val="auto"/>
                <w:sz w:val="24"/>
                <w:szCs w:val="24"/>
                <w:highlight w:val="none"/>
              </w:rPr>
              <w:t>青绿脆嫩、干爽无水、苔梗粗壮、均匀、柔软、基部不老化、苔包小、不带叶鞘、无划苔、无折断。</w:t>
            </w:r>
            <w:r>
              <w:rPr>
                <w:rFonts w:hint="eastAsia"/>
                <w:b w:val="0"/>
                <w:bCs w:val="0"/>
                <w:kern w:val="0"/>
                <w:sz w:val="24"/>
                <w:szCs w:val="24"/>
                <w:vertAlign w:val="baseline"/>
                <w:lang w:val="en-US" w:eastAsia="zh-CN" w:bidi="ar-SA"/>
              </w:rPr>
              <w:t>农药残留符合国家标准；</w:t>
            </w:r>
          </w:p>
        </w:tc>
        <w:tc>
          <w:tcPr>
            <w:tcW w:w="1376" w:type="dxa"/>
            <w:noWrap w:val="0"/>
            <w:vAlign w:val="center"/>
          </w:tcPr>
          <w:p w14:paraId="7F480F6C">
            <w:pPr>
              <w:keepNext w:val="0"/>
              <w:keepLines w:val="0"/>
              <w:widowControl/>
              <w:suppressLineNumbers w:val="0"/>
              <w:jc w:val="center"/>
              <w:rPr>
                <w:rFonts w:hint="eastAsia" w:ascii="宋体" w:hAnsi="宋体" w:eastAsia="宋体" w:cs="宋体"/>
                <w:b w:val="0"/>
                <w:bCs w:val="0"/>
                <w:kern w:val="0"/>
                <w:sz w:val="24"/>
                <w:szCs w:val="24"/>
                <w:vertAlign w:val="baseline"/>
                <w:lang w:val="en-US" w:eastAsia="zh-CN" w:bidi="ar-SA"/>
              </w:rPr>
            </w:pPr>
            <w:r>
              <w:rPr>
                <w:rFonts w:hint="eastAsia" w:ascii="宋体" w:hAnsi="宋体" w:eastAsia="宋体" w:cs="宋体"/>
                <w:b w:val="0"/>
                <w:bCs w:val="0"/>
                <w:kern w:val="0"/>
                <w:sz w:val="24"/>
                <w:szCs w:val="24"/>
                <w:vertAlign w:val="baseline"/>
                <w:lang w:val="en-US" w:eastAsia="zh-CN" w:bidi="ar-SA"/>
              </w:rPr>
              <w:t>以实际供货数量为准</w:t>
            </w:r>
          </w:p>
        </w:tc>
      </w:tr>
      <w:tr w14:paraId="77F63A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6" w:hRule="atLeast"/>
        </w:trPr>
        <w:tc>
          <w:tcPr>
            <w:tcW w:w="744" w:type="dxa"/>
            <w:noWrap w:val="0"/>
            <w:vAlign w:val="top"/>
          </w:tcPr>
          <w:p w14:paraId="23B035F0">
            <w:pPr>
              <w:pStyle w:val="2"/>
              <w:pageBreakBefore w:val="0"/>
              <w:widowControl w:val="0"/>
              <w:numPr>
                <w:ilvl w:val="0"/>
                <w:numId w:val="0"/>
              </w:numPr>
              <w:kinsoku/>
              <w:wordWrap/>
              <w:overflowPunct/>
              <w:topLinePunct w:val="0"/>
              <w:autoSpaceDE/>
              <w:autoSpaceDN/>
              <w:bidi w:val="0"/>
              <w:spacing w:line="520" w:lineRule="exact"/>
              <w:jc w:val="center"/>
              <w:textAlignment w:val="auto"/>
              <w:rPr>
                <w:rFonts w:hint="default" w:ascii="宋体" w:hAnsi="宋体" w:eastAsia="宋体" w:cs="宋体"/>
                <w:b w:val="0"/>
                <w:bCs/>
                <w:color w:val="auto"/>
                <w:sz w:val="24"/>
                <w:szCs w:val="24"/>
                <w:highlight w:val="none"/>
                <w:vertAlign w:val="baseline"/>
                <w:lang w:val="en-US" w:eastAsia="zh-CN"/>
              </w:rPr>
            </w:pPr>
            <w:bookmarkStart w:id="27" w:name="_Toc26966"/>
            <w:bookmarkStart w:id="28" w:name="_Toc17148"/>
            <w:r>
              <w:rPr>
                <w:rFonts w:hint="eastAsia" w:ascii="宋体" w:hAnsi="宋体" w:eastAsia="宋体" w:cs="宋体"/>
                <w:b w:val="0"/>
                <w:bCs/>
                <w:color w:val="auto"/>
                <w:sz w:val="24"/>
                <w:szCs w:val="24"/>
                <w:highlight w:val="none"/>
                <w:vertAlign w:val="baseline"/>
                <w:lang w:val="en-US" w:eastAsia="zh-CN"/>
              </w:rPr>
              <w:t>10</w:t>
            </w:r>
            <w:bookmarkEnd w:id="27"/>
            <w:bookmarkEnd w:id="28"/>
          </w:p>
        </w:tc>
        <w:tc>
          <w:tcPr>
            <w:tcW w:w="2861" w:type="dxa"/>
            <w:noWrap w:val="0"/>
            <w:vAlign w:val="center"/>
          </w:tcPr>
          <w:p w14:paraId="1D0619F1">
            <w:pPr>
              <w:pStyle w:val="11"/>
              <w:widowControl w:val="0"/>
              <w:numPr>
                <w:ilvl w:val="0"/>
                <w:numId w:val="0"/>
              </w:numPr>
              <w:spacing w:before="120" w:after="120" w:line="360" w:lineRule="auto"/>
              <w:ind w:left="0" w:leftChars="0" w:firstLine="0" w:firstLineChars="0"/>
              <w:jc w:val="left"/>
              <w:outlineLvl w:val="9"/>
              <w:rPr>
                <w:rFonts w:hint="eastAsia" w:ascii="宋体" w:hAnsi="宋体" w:cs="宋体"/>
                <w:b w:val="0"/>
                <w:bCs w:val="0"/>
                <w:color w:val="auto"/>
                <w:kern w:val="2"/>
                <w:sz w:val="24"/>
                <w:szCs w:val="24"/>
                <w:highlight w:val="none"/>
                <w:lang w:val="zh-CN" w:eastAsia="zh-CN" w:bidi="zh-CN"/>
              </w:rPr>
            </w:pPr>
            <w:r>
              <w:rPr>
                <w:rFonts w:hint="eastAsia" w:ascii="宋体" w:hAnsi="宋体"/>
                <w:b w:val="0"/>
                <w:bCs w:val="0"/>
                <w:color w:val="auto"/>
                <w:sz w:val="24"/>
                <w:szCs w:val="24"/>
                <w:highlight w:val="none"/>
              </w:rPr>
              <w:t>豆类（如豆角、豌豆、荷兰豆、四季豆等）；</w:t>
            </w:r>
          </w:p>
        </w:tc>
        <w:tc>
          <w:tcPr>
            <w:tcW w:w="4417" w:type="dxa"/>
            <w:noWrap w:val="0"/>
            <w:vAlign w:val="center"/>
          </w:tcPr>
          <w:p w14:paraId="1403A1D5">
            <w:pPr>
              <w:pStyle w:val="11"/>
              <w:widowControl w:val="0"/>
              <w:numPr>
                <w:ilvl w:val="0"/>
                <w:numId w:val="0"/>
              </w:numPr>
              <w:spacing w:before="120" w:after="120" w:line="360" w:lineRule="auto"/>
              <w:ind w:left="0" w:leftChars="0" w:firstLine="0" w:firstLineChars="0"/>
              <w:jc w:val="left"/>
              <w:outlineLvl w:val="9"/>
              <w:rPr>
                <w:rFonts w:hint="eastAsia" w:ascii="宋体" w:hAnsi="宋体" w:cs="宋体"/>
                <w:b w:val="0"/>
                <w:bCs w:val="0"/>
                <w:color w:val="auto"/>
                <w:kern w:val="2"/>
                <w:sz w:val="24"/>
                <w:szCs w:val="24"/>
                <w:highlight w:val="none"/>
                <w:lang w:val="zh-CN" w:eastAsia="zh-CN" w:bidi="zh-CN"/>
              </w:rPr>
            </w:pPr>
            <w:r>
              <w:rPr>
                <w:rFonts w:hint="eastAsia" w:ascii="宋体" w:hAnsi="宋体"/>
                <w:b w:val="0"/>
                <w:bCs w:val="0"/>
                <w:color w:val="auto"/>
                <w:sz w:val="24"/>
                <w:szCs w:val="24"/>
                <w:highlight w:val="none"/>
              </w:rPr>
              <w:t>无虫蛀、手捏无干枯空洞、鲜嫩、手折易断、色泽鲜明、无损伤、无发软皱缩。</w:t>
            </w:r>
            <w:r>
              <w:rPr>
                <w:rFonts w:hint="eastAsia"/>
                <w:b w:val="0"/>
                <w:bCs w:val="0"/>
                <w:kern w:val="0"/>
                <w:sz w:val="24"/>
                <w:szCs w:val="24"/>
                <w:vertAlign w:val="baseline"/>
                <w:lang w:val="en-US" w:eastAsia="zh-CN" w:bidi="ar-SA"/>
              </w:rPr>
              <w:t>农药残留符合国家标准；</w:t>
            </w:r>
          </w:p>
        </w:tc>
        <w:tc>
          <w:tcPr>
            <w:tcW w:w="1376" w:type="dxa"/>
            <w:noWrap w:val="0"/>
            <w:vAlign w:val="center"/>
          </w:tcPr>
          <w:p w14:paraId="7F17DA8A">
            <w:pPr>
              <w:keepNext w:val="0"/>
              <w:keepLines w:val="0"/>
              <w:widowControl/>
              <w:suppressLineNumbers w:val="0"/>
              <w:jc w:val="center"/>
              <w:rPr>
                <w:rFonts w:hint="eastAsia" w:ascii="宋体" w:hAnsi="宋体" w:eastAsia="宋体" w:cs="宋体"/>
                <w:b w:val="0"/>
                <w:bCs w:val="0"/>
                <w:kern w:val="0"/>
                <w:sz w:val="24"/>
                <w:szCs w:val="24"/>
                <w:vertAlign w:val="baseline"/>
                <w:lang w:val="en-US" w:eastAsia="zh-CN" w:bidi="ar-SA"/>
              </w:rPr>
            </w:pPr>
            <w:r>
              <w:rPr>
                <w:rFonts w:hint="eastAsia" w:ascii="宋体" w:hAnsi="宋体" w:eastAsia="宋体" w:cs="宋体"/>
                <w:b w:val="0"/>
                <w:bCs w:val="0"/>
                <w:kern w:val="0"/>
                <w:sz w:val="24"/>
                <w:szCs w:val="24"/>
                <w:vertAlign w:val="baseline"/>
                <w:lang w:val="en-US" w:eastAsia="zh-CN" w:bidi="ar-SA"/>
              </w:rPr>
              <w:t>以实际供货数量为准</w:t>
            </w:r>
          </w:p>
        </w:tc>
      </w:tr>
      <w:tr w14:paraId="1C0612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8" w:hRule="atLeast"/>
        </w:trPr>
        <w:tc>
          <w:tcPr>
            <w:tcW w:w="744" w:type="dxa"/>
            <w:noWrap w:val="0"/>
            <w:vAlign w:val="top"/>
          </w:tcPr>
          <w:p w14:paraId="495C04B5">
            <w:pPr>
              <w:pStyle w:val="2"/>
              <w:pageBreakBefore w:val="0"/>
              <w:widowControl w:val="0"/>
              <w:numPr>
                <w:ilvl w:val="0"/>
                <w:numId w:val="0"/>
              </w:numPr>
              <w:kinsoku/>
              <w:wordWrap/>
              <w:overflowPunct/>
              <w:topLinePunct w:val="0"/>
              <w:autoSpaceDE/>
              <w:autoSpaceDN/>
              <w:bidi w:val="0"/>
              <w:spacing w:line="520" w:lineRule="exact"/>
              <w:jc w:val="center"/>
              <w:textAlignment w:val="auto"/>
              <w:rPr>
                <w:rFonts w:hint="default" w:ascii="宋体" w:hAnsi="宋体" w:eastAsia="宋体" w:cs="宋体"/>
                <w:b w:val="0"/>
                <w:bCs/>
                <w:color w:val="auto"/>
                <w:sz w:val="24"/>
                <w:szCs w:val="24"/>
                <w:highlight w:val="none"/>
                <w:vertAlign w:val="baseline"/>
                <w:lang w:val="en-US" w:eastAsia="zh-CN"/>
              </w:rPr>
            </w:pPr>
            <w:bookmarkStart w:id="29" w:name="_Toc22720"/>
            <w:bookmarkStart w:id="30" w:name="_Toc19505"/>
            <w:r>
              <w:rPr>
                <w:rFonts w:hint="eastAsia" w:ascii="宋体" w:hAnsi="宋体" w:eastAsia="宋体" w:cs="宋体"/>
                <w:b w:val="0"/>
                <w:bCs/>
                <w:color w:val="auto"/>
                <w:sz w:val="24"/>
                <w:szCs w:val="24"/>
                <w:highlight w:val="none"/>
                <w:vertAlign w:val="baseline"/>
                <w:lang w:val="en-US" w:eastAsia="zh-CN"/>
              </w:rPr>
              <w:t>11</w:t>
            </w:r>
            <w:bookmarkEnd w:id="29"/>
            <w:bookmarkEnd w:id="30"/>
          </w:p>
        </w:tc>
        <w:tc>
          <w:tcPr>
            <w:tcW w:w="2861" w:type="dxa"/>
            <w:noWrap w:val="0"/>
            <w:vAlign w:val="center"/>
          </w:tcPr>
          <w:p w14:paraId="3AF5BFFC">
            <w:pPr>
              <w:pStyle w:val="11"/>
              <w:widowControl w:val="0"/>
              <w:numPr>
                <w:ilvl w:val="0"/>
                <w:numId w:val="0"/>
              </w:numPr>
              <w:spacing w:before="120" w:after="120" w:line="360" w:lineRule="auto"/>
              <w:ind w:left="0" w:leftChars="0" w:firstLine="0" w:firstLineChars="0"/>
              <w:jc w:val="center"/>
              <w:outlineLvl w:val="9"/>
              <w:rPr>
                <w:rFonts w:hint="eastAsia" w:ascii="宋体" w:hAnsi="宋体" w:cs="宋体"/>
                <w:b w:val="0"/>
                <w:bCs w:val="0"/>
                <w:color w:val="auto"/>
                <w:kern w:val="2"/>
                <w:sz w:val="24"/>
                <w:szCs w:val="24"/>
                <w:highlight w:val="none"/>
                <w:lang w:val="zh-CN" w:eastAsia="zh-CN" w:bidi="zh-CN"/>
              </w:rPr>
            </w:pPr>
            <w:r>
              <w:rPr>
                <w:rFonts w:hint="eastAsia" w:ascii="宋体" w:hAnsi="宋体"/>
                <w:b w:val="0"/>
                <w:bCs w:val="0"/>
                <w:color w:val="auto"/>
                <w:sz w:val="24"/>
                <w:szCs w:val="24"/>
                <w:highlight w:val="none"/>
              </w:rPr>
              <w:t>其他蔬菜类别</w:t>
            </w:r>
          </w:p>
        </w:tc>
        <w:tc>
          <w:tcPr>
            <w:tcW w:w="4417" w:type="dxa"/>
            <w:noWrap w:val="0"/>
            <w:vAlign w:val="center"/>
          </w:tcPr>
          <w:p w14:paraId="6815DA5F">
            <w:pPr>
              <w:pStyle w:val="11"/>
              <w:widowControl w:val="0"/>
              <w:numPr>
                <w:ilvl w:val="0"/>
                <w:numId w:val="0"/>
              </w:numPr>
              <w:spacing w:before="120" w:after="120" w:line="360" w:lineRule="auto"/>
              <w:ind w:left="0" w:leftChars="0" w:firstLine="0" w:firstLineChars="0"/>
              <w:jc w:val="left"/>
              <w:outlineLvl w:val="9"/>
              <w:rPr>
                <w:rFonts w:hint="eastAsia" w:ascii="宋体" w:hAnsi="宋体" w:cs="宋体"/>
                <w:b w:val="0"/>
                <w:bCs w:val="0"/>
                <w:color w:val="auto"/>
                <w:kern w:val="2"/>
                <w:sz w:val="24"/>
                <w:szCs w:val="24"/>
                <w:highlight w:val="none"/>
                <w:lang w:val="zh-CN" w:eastAsia="zh-CN" w:bidi="zh-CN"/>
              </w:rPr>
            </w:pPr>
            <w:r>
              <w:rPr>
                <w:rFonts w:hint="eastAsia" w:ascii="宋体" w:hAnsi="宋体"/>
                <w:b w:val="0"/>
                <w:bCs w:val="0"/>
                <w:color w:val="auto"/>
                <w:sz w:val="24"/>
                <w:szCs w:val="24"/>
                <w:highlight w:val="none"/>
              </w:rPr>
              <w:t>无虫蛀、鲜嫩、无泥沙、无萎蔫、无枯焦烂叶。</w:t>
            </w:r>
            <w:r>
              <w:rPr>
                <w:rFonts w:hint="eastAsia"/>
                <w:b w:val="0"/>
                <w:bCs w:val="0"/>
                <w:kern w:val="0"/>
                <w:sz w:val="24"/>
                <w:szCs w:val="24"/>
                <w:vertAlign w:val="baseline"/>
                <w:lang w:val="en-US" w:eastAsia="zh-CN" w:bidi="ar-SA"/>
              </w:rPr>
              <w:t>农药残留符合国家标准；</w:t>
            </w:r>
          </w:p>
        </w:tc>
        <w:tc>
          <w:tcPr>
            <w:tcW w:w="1376" w:type="dxa"/>
            <w:noWrap w:val="0"/>
            <w:vAlign w:val="center"/>
          </w:tcPr>
          <w:p w14:paraId="79AF55E5">
            <w:pPr>
              <w:keepNext w:val="0"/>
              <w:keepLines w:val="0"/>
              <w:widowControl/>
              <w:suppressLineNumbers w:val="0"/>
              <w:jc w:val="center"/>
              <w:rPr>
                <w:rFonts w:hint="eastAsia" w:ascii="宋体" w:hAnsi="宋体" w:eastAsia="宋体" w:cs="宋体"/>
                <w:b w:val="0"/>
                <w:bCs w:val="0"/>
                <w:kern w:val="0"/>
                <w:sz w:val="24"/>
                <w:szCs w:val="24"/>
                <w:vertAlign w:val="baseline"/>
                <w:lang w:val="en-US" w:eastAsia="zh-CN" w:bidi="ar-SA"/>
              </w:rPr>
            </w:pPr>
            <w:r>
              <w:rPr>
                <w:rFonts w:hint="eastAsia" w:ascii="宋体" w:hAnsi="宋体" w:eastAsia="宋体" w:cs="宋体"/>
                <w:b w:val="0"/>
                <w:bCs w:val="0"/>
                <w:kern w:val="0"/>
                <w:sz w:val="24"/>
                <w:szCs w:val="24"/>
                <w:vertAlign w:val="baseline"/>
                <w:lang w:val="en-US" w:eastAsia="zh-CN" w:bidi="ar-SA"/>
              </w:rPr>
              <w:t>以实际供货数量为准</w:t>
            </w:r>
          </w:p>
        </w:tc>
      </w:tr>
      <w:tr w14:paraId="0DD725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8" w:hRule="atLeast"/>
        </w:trPr>
        <w:tc>
          <w:tcPr>
            <w:tcW w:w="744" w:type="dxa"/>
            <w:noWrap w:val="0"/>
            <w:vAlign w:val="top"/>
          </w:tcPr>
          <w:p w14:paraId="1F293F55">
            <w:pPr>
              <w:pStyle w:val="2"/>
              <w:pageBreakBefore w:val="0"/>
              <w:widowControl w:val="0"/>
              <w:numPr>
                <w:ilvl w:val="0"/>
                <w:numId w:val="0"/>
              </w:numPr>
              <w:kinsoku/>
              <w:wordWrap/>
              <w:overflowPunct/>
              <w:topLinePunct w:val="0"/>
              <w:autoSpaceDE/>
              <w:autoSpaceDN/>
              <w:bidi w:val="0"/>
              <w:spacing w:line="520" w:lineRule="exact"/>
              <w:jc w:val="center"/>
              <w:textAlignment w:val="auto"/>
              <w:rPr>
                <w:rFonts w:hint="default" w:ascii="宋体" w:hAnsi="宋体" w:eastAsia="宋体" w:cs="宋体"/>
                <w:b w:val="0"/>
                <w:bCs/>
                <w:color w:val="auto"/>
                <w:sz w:val="24"/>
                <w:szCs w:val="24"/>
                <w:highlight w:val="none"/>
                <w:vertAlign w:val="baseline"/>
                <w:lang w:val="en-US" w:eastAsia="zh-CN"/>
              </w:rPr>
            </w:pPr>
            <w:bookmarkStart w:id="31" w:name="_Toc12985"/>
            <w:bookmarkStart w:id="32" w:name="_Toc11168"/>
            <w:r>
              <w:rPr>
                <w:rFonts w:hint="eastAsia" w:ascii="宋体" w:hAnsi="宋体" w:eastAsia="宋体" w:cs="宋体"/>
                <w:b w:val="0"/>
                <w:bCs/>
                <w:color w:val="auto"/>
                <w:sz w:val="24"/>
                <w:szCs w:val="24"/>
                <w:highlight w:val="none"/>
                <w:vertAlign w:val="baseline"/>
                <w:lang w:val="en-US" w:eastAsia="zh-CN"/>
              </w:rPr>
              <w:t>12</w:t>
            </w:r>
            <w:bookmarkEnd w:id="31"/>
            <w:bookmarkEnd w:id="32"/>
          </w:p>
        </w:tc>
        <w:tc>
          <w:tcPr>
            <w:tcW w:w="2861" w:type="dxa"/>
            <w:noWrap w:val="0"/>
            <w:vAlign w:val="center"/>
          </w:tcPr>
          <w:p w14:paraId="05A891DF">
            <w:pPr>
              <w:pStyle w:val="11"/>
              <w:widowControl w:val="0"/>
              <w:numPr>
                <w:ilvl w:val="0"/>
                <w:numId w:val="0"/>
              </w:numPr>
              <w:spacing w:before="120" w:after="120" w:line="360" w:lineRule="auto"/>
              <w:ind w:left="0" w:leftChars="0" w:firstLine="0" w:firstLineChars="0"/>
              <w:jc w:val="center"/>
              <w:outlineLvl w:val="9"/>
              <w:rPr>
                <w:rFonts w:hint="eastAsia" w:ascii="宋体" w:hAnsi="宋体" w:eastAsia="宋体" w:cs="宋体"/>
                <w:b w:val="0"/>
                <w:bCs w:val="0"/>
                <w:color w:val="auto"/>
                <w:kern w:val="2"/>
                <w:sz w:val="24"/>
                <w:szCs w:val="24"/>
                <w:highlight w:val="none"/>
                <w:lang w:val="zh-CN" w:eastAsia="zh-CN" w:bidi="zh-CN"/>
              </w:rPr>
            </w:pPr>
            <w:r>
              <w:rPr>
                <w:rFonts w:hint="eastAsia"/>
                <w:b w:val="0"/>
                <w:bCs w:val="0"/>
                <w:color w:val="auto"/>
                <w:sz w:val="24"/>
                <w:szCs w:val="24"/>
                <w:highlight w:val="none"/>
                <w:lang w:eastAsia="zh-CN"/>
              </w:rPr>
              <w:t>豆制品类（豆干、豆皮、豆腐、干黄豆）</w:t>
            </w:r>
          </w:p>
        </w:tc>
        <w:tc>
          <w:tcPr>
            <w:tcW w:w="4417" w:type="dxa"/>
            <w:noWrap w:val="0"/>
            <w:vAlign w:val="center"/>
          </w:tcPr>
          <w:p w14:paraId="7099612B">
            <w:pPr>
              <w:pStyle w:val="11"/>
              <w:widowControl w:val="0"/>
              <w:numPr>
                <w:ilvl w:val="0"/>
                <w:numId w:val="0"/>
              </w:numPr>
              <w:spacing w:before="120" w:after="120" w:line="360" w:lineRule="auto"/>
              <w:ind w:left="0" w:leftChars="0" w:firstLine="0" w:firstLineChars="0"/>
              <w:jc w:val="left"/>
              <w:outlineLvl w:val="9"/>
              <w:rPr>
                <w:rFonts w:hint="eastAsia" w:ascii="宋体" w:hAnsi="宋体" w:cs="宋体"/>
                <w:b w:val="0"/>
                <w:bCs w:val="0"/>
                <w:color w:val="auto"/>
                <w:kern w:val="2"/>
                <w:sz w:val="24"/>
                <w:szCs w:val="24"/>
                <w:highlight w:val="none"/>
                <w:lang w:val="zh-CN" w:eastAsia="zh-CN" w:bidi="zh-CN"/>
              </w:rPr>
            </w:pPr>
            <w:r>
              <w:rPr>
                <w:rFonts w:hint="eastAsia" w:ascii="宋体" w:hAnsi="宋体" w:eastAsia="宋体"/>
                <w:b w:val="0"/>
                <w:bCs w:val="0"/>
                <w:color w:val="auto"/>
                <w:sz w:val="24"/>
                <w:szCs w:val="24"/>
                <w:highlight w:val="none"/>
                <w:lang w:val="en-US" w:eastAsia="zh-CN"/>
              </w:rPr>
              <w:t>具有豆制品特有的颜色、香气、味道，无异味</w:t>
            </w:r>
            <w:r>
              <w:rPr>
                <w:rFonts w:hint="eastAsia" w:eastAsia="宋体"/>
                <w:b w:val="0"/>
                <w:bCs w:val="0"/>
                <w:color w:val="auto"/>
                <w:sz w:val="24"/>
                <w:szCs w:val="24"/>
                <w:highlight w:val="none"/>
                <w:lang w:val="en-US" w:eastAsia="zh-CN"/>
              </w:rPr>
              <w:t>、</w:t>
            </w:r>
            <w:r>
              <w:rPr>
                <w:rFonts w:hint="eastAsia" w:ascii="宋体" w:hAnsi="宋体"/>
                <w:b w:val="0"/>
                <w:bCs w:val="0"/>
                <w:color w:val="auto"/>
                <w:sz w:val="24"/>
                <w:szCs w:val="24"/>
                <w:highlight w:val="none"/>
                <w:lang w:val="en-US" w:eastAsia="zh-CN"/>
              </w:rPr>
              <w:t>新</w:t>
            </w:r>
            <w:r>
              <w:rPr>
                <w:rFonts w:hint="eastAsia" w:ascii="宋体" w:hAnsi="宋体" w:eastAsia="宋体"/>
                <w:b w:val="0"/>
                <w:bCs w:val="0"/>
                <w:color w:val="auto"/>
                <w:sz w:val="24"/>
                <w:szCs w:val="24"/>
                <w:highlight w:val="none"/>
                <w:lang w:val="en-US" w:eastAsia="zh-CN"/>
              </w:rPr>
              <w:t>鲜、</w:t>
            </w:r>
          </w:p>
        </w:tc>
        <w:tc>
          <w:tcPr>
            <w:tcW w:w="1376" w:type="dxa"/>
            <w:noWrap w:val="0"/>
            <w:vAlign w:val="center"/>
          </w:tcPr>
          <w:p w14:paraId="2675FF17">
            <w:pPr>
              <w:keepNext w:val="0"/>
              <w:keepLines w:val="0"/>
              <w:widowControl/>
              <w:suppressLineNumbers w:val="0"/>
              <w:jc w:val="center"/>
              <w:rPr>
                <w:rFonts w:hint="eastAsia" w:ascii="宋体" w:hAnsi="宋体" w:eastAsia="宋体" w:cs="宋体"/>
                <w:b w:val="0"/>
                <w:bCs w:val="0"/>
                <w:kern w:val="0"/>
                <w:sz w:val="24"/>
                <w:szCs w:val="24"/>
                <w:vertAlign w:val="baseline"/>
                <w:lang w:val="en-US" w:eastAsia="zh-CN" w:bidi="ar-SA"/>
              </w:rPr>
            </w:pPr>
            <w:r>
              <w:rPr>
                <w:rFonts w:hint="eastAsia" w:ascii="宋体" w:hAnsi="宋体" w:eastAsia="宋体" w:cs="宋体"/>
                <w:b w:val="0"/>
                <w:bCs w:val="0"/>
                <w:kern w:val="0"/>
                <w:sz w:val="24"/>
                <w:szCs w:val="24"/>
                <w:vertAlign w:val="baseline"/>
                <w:lang w:val="en-US" w:eastAsia="zh-CN" w:bidi="ar-SA"/>
              </w:rPr>
              <w:t>以实际供货数量为准</w:t>
            </w:r>
          </w:p>
        </w:tc>
      </w:tr>
      <w:tr w14:paraId="6A6455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03" w:hRule="atLeast"/>
        </w:trPr>
        <w:tc>
          <w:tcPr>
            <w:tcW w:w="744" w:type="dxa"/>
            <w:noWrap w:val="0"/>
            <w:vAlign w:val="center"/>
          </w:tcPr>
          <w:p w14:paraId="63EB056F">
            <w:pPr>
              <w:pStyle w:val="2"/>
              <w:pageBreakBefore w:val="0"/>
              <w:widowControl w:val="0"/>
              <w:numPr>
                <w:ilvl w:val="0"/>
                <w:numId w:val="0"/>
              </w:numPr>
              <w:kinsoku/>
              <w:wordWrap/>
              <w:overflowPunct/>
              <w:topLinePunct w:val="0"/>
              <w:autoSpaceDE/>
              <w:autoSpaceDN/>
              <w:bidi w:val="0"/>
              <w:spacing w:line="520" w:lineRule="exact"/>
              <w:jc w:val="center"/>
              <w:textAlignment w:val="auto"/>
              <w:rPr>
                <w:rFonts w:hint="default" w:ascii="宋体" w:hAnsi="宋体" w:eastAsia="宋体" w:cs="宋体"/>
                <w:b w:val="0"/>
                <w:bCs/>
                <w:color w:val="auto"/>
                <w:sz w:val="24"/>
                <w:szCs w:val="24"/>
                <w:highlight w:val="none"/>
                <w:vertAlign w:val="baseline"/>
                <w:lang w:val="en-US" w:eastAsia="zh-CN"/>
              </w:rPr>
            </w:pPr>
            <w:bookmarkStart w:id="33" w:name="_Toc12524"/>
            <w:bookmarkStart w:id="34" w:name="_Toc30851"/>
            <w:r>
              <w:rPr>
                <w:rFonts w:hint="eastAsia" w:ascii="宋体" w:hAnsi="宋体" w:eastAsia="宋体" w:cs="宋体"/>
                <w:b w:val="0"/>
                <w:bCs/>
                <w:color w:val="auto"/>
                <w:sz w:val="24"/>
                <w:szCs w:val="24"/>
                <w:highlight w:val="none"/>
                <w:vertAlign w:val="baseline"/>
                <w:lang w:val="en-US" w:eastAsia="zh-CN"/>
              </w:rPr>
              <w:t>13</w:t>
            </w:r>
            <w:bookmarkEnd w:id="33"/>
            <w:bookmarkEnd w:id="34"/>
          </w:p>
        </w:tc>
        <w:tc>
          <w:tcPr>
            <w:tcW w:w="2861" w:type="dxa"/>
            <w:noWrap w:val="0"/>
            <w:vAlign w:val="center"/>
          </w:tcPr>
          <w:p w14:paraId="1659DA7F">
            <w:pPr>
              <w:keepNext w:val="0"/>
              <w:keepLines w:val="0"/>
              <w:widowControl/>
              <w:suppressLineNumbers w:val="0"/>
              <w:jc w:val="center"/>
              <w:rPr>
                <w:rFonts w:hint="eastAsia" w:ascii="宋体" w:hAnsi="宋体"/>
                <w:b w:val="0"/>
                <w:bCs w:val="0"/>
                <w:color w:val="auto"/>
                <w:kern w:val="2"/>
                <w:sz w:val="24"/>
                <w:szCs w:val="24"/>
                <w:highlight w:val="none"/>
                <w:lang w:val="en-US" w:eastAsia="zh-CN" w:bidi="ar-SA"/>
              </w:rPr>
            </w:pPr>
            <w:r>
              <w:rPr>
                <w:rFonts w:hint="eastAsia" w:ascii="宋体" w:hAnsi="宋体"/>
                <w:b w:val="0"/>
                <w:bCs w:val="0"/>
                <w:color w:val="auto"/>
                <w:sz w:val="24"/>
                <w:szCs w:val="24"/>
                <w:highlight w:val="none"/>
                <w:lang w:val="en-US" w:eastAsia="zh-CN"/>
              </w:rPr>
              <w:t>肉制品类（新鲜牛肉、牛腩）</w:t>
            </w:r>
            <w:r>
              <w:rPr>
                <w:rFonts w:hint="eastAsia" w:ascii="宋体" w:hAnsi="宋体"/>
                <w:b/>
                <w:bCs/>
                <w:color w:val="FF0000"/>
                <w:sz w:val="24"/>
                <w:szCs w:val="24"/>
                <w:highlight w:val="none"/>
                <w:lang w:val="en-US" w:eastAsia="zh-CN"/>
              </w:rPr>
              <w:t>（猪肉除外）</w:t>
            </w:r>
          </w:p>
        </w:tc>
        <w:tc>
          <w:tcPr>
            <w:tcW w:w="4417" w:type="dxa"/>
            <w:noWrap w:val="0"/>
            <w:vAlign w:val="center"/>
          </w:tcPr>
          <w:p w14:paraId="5BDC4B9E">
            <w:pPr>
              <w:keepNext w:val="0"/>
              <w:keepLines w:val="0"/>
              <w:widowControl/>
              <w:suppressLineNumbers w:val="0"/>
              <w:jc w:val="left"/>
              <w:rPr>
                <w:rFonts w:hint="eastAsia" w:ascii="宋体" w:hAnsi="宋体"/>
                <w:b w:val="0"/>
                <w:bCs w:val="0"/>
                <w:color w:val="auto"/>
                <w:sz w:val="24"/>
                <w:szCs w:val="24"/>
                <w:highlight w:val="none"/>
                <w:lang w:val="en-US" w:eastAsia="zh-CN"/>
              </w:rPr>
            </w:pPr>
            <w:r>
              <w:rPr>
                <w:rFonts w:hint="eastAsia" w:ascii="宋体" w:hAnsi="宋体"/>
                <w:b w:val="0"/>
                <w:bCs w:val="0"/>
                <w:color w:val="auto"/>
                <w:sz w:val="24"/>
                <w:szCs w:val="24"/>
                <w:highlight w:val="none"/>
                <w:lang w:val="en-US" w:eastAsia="zh-CN"/>
              </w:rPr>
              <w:t>肉色深红、肉质有弹性、指压凹陷部分会立刻 恢复、切面有光泽及微湿润、极少渗出物、具有浓郁的牛肉气味、脂肪白色或乳白色、无寄生虫、无注水。</w:t>
            </w:r>
          </w:p>
          <w:p w14:paraId="792F8AFA">
            <w:pPr>
              <w:keepNext w:val="0"/>
              <w:keepLines w:val="0"/>
              <w:widowControl/>
              <w:suppressLineNumbers w:val="0"/>
              <w:jc w:val="left"/>
              <w:rPr>
                <w:rFonts w:hint="eastAsia" w:ascii="宋体" w:hAnsi="宋体"/>
                <w:b w:val="0"/>
                <w:bCs w:val="0"/>
                <w:color w:val="auto"/>
                <w:kern w:val="2"/>
                <w:sz w:val="24"/>
                <w:szCs w:val="24"/>
                <w:highlight w:val="none"/>
                <w:lang w:val="en-US" w:eastAsia="zh-CN" w:bidi="ar-SA"/>
              </w:rPr>
            </w:pPr>
            <w:r>
              <w:rPr>
                <w:rFonts w:hint="eastAsia" w:ascii="宋体" w:hAnsi="宋体"/>
                <w:b w:val="0"/>
                <w:bCs w:val="0"/>
                <w:color w:val="auto"/>
                <w:sz w:val="24"/>
                <w:szCs w:val="24"/>
                <w:highlight w:val="none"/>
                <w:lang w:val="en-US" w:eastAsia="zh-CN"/>
              </w:rPr>
              <w:t>运输要求：应使用符合卫生要求的冷藏车。</w:t>
            </w:r>
          </w:p>
        </w:tc>
        <w:tc>
          <w:tcPr>
            <w:tcW w:w="1376" w:type="dxa"/>
            <w:noWrap w:val="0"/>
            <w:vAlign w:val="center"/>
          </w:tcPr>
          <w:p w14:paraId="172DB1C3">
            <w:pPr>
              <w:keepNext w:val="0"/>
              <w:keepLines w:val="0"/>
              <w:widowControl/>
              <w:suppressLineNumbers w:val="0"/>
              <w:jc w:val="center"/>
              <w:rPr>
                <w:rFonts w:hint="eastAsia" w:ascii="宋体" w:hAnsi="宋体" w:eastAsia="宋体" w:cs="宋体"/>
                <w:b w:val="0"/>
                <w:bCs w:val="0"/>
                <w:kern w:val="0"/>
                <w:sz w:val="24"/>
                <w:szCs w:val="24"/>
                <w:vertAlign w:val="baseline"/>
                <w:lang w:val="en-US" w:eastAsia="zh-CN" w:bidi="ar-SA"/>
              </w:rPr>
            </w:pPr>
            <w:r>
              <w:rPr>
                <w:rFonts w:hint="eastAsia" w:ascii="宋体" w:hAnsi="宋体" w:eastAsia="宋体" w:cs="宋体"/>
                <w:b w:val="0"/>
                <w:bCs w:val="0"/>
                <w:kern w:val="0"/>
                <w:sz w:val="24"/>
                <w:szCs w:val="24"/>
                <w:vertAlign w:val="baseline"/>
                <w:lang w:val="en-US" w:eastAsia="zh-CN" w:bidi="ar-SA"/>
              </w:rPr>
              <w:t>以实际供货数量为准</w:t>
            </w:r>
          </w:p>
        </w:tc>
      </w:tr>
      <w:tr w14:paraId="6219D3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90" w:hRule="atLeast"/>
        </w:trPr>
        <w:tc>
          <w:tcPr>
            <w:tcW w:w="744" w:type="dxa"/>
            <w:noWrap w:val="0"/>
            <w:vAlign w:val="center"/>
          </w:tcPr>
          <w:p w14:paraId="2A3BB1F3">
            <w:pPr>
              <w:pStyle w:val="2"/>
              <w:pageBreakBefore w:val="0"/>
              <w:widowControl w:val="0"/>
              <w:numPr>
                <w:ilvl w:val="0"/>
                <w:numId w:val="0"/>
              </w:numPr>
              <w:kinsoku/>
              <w:wordWrap/>
              <w:overflowPunct/>
              <w:topLinePunct w:val="0"/>
              <w:autoSpaceDE/>
              <w:autoSpaceDN/>
              <w:bidi w:val="0"/>
              <w:spacing w:line="520" w:lineRule="exact"/>
              <w:jc w:val="center"/>
              <w:textAlignment w:val="auto"/>
              <w:rPr>
                <w:rFonts w:hint="default" w:ascii="宋体" w:hAnsi="宋体" w:eastAsia="宋体" w:cs="宋体"/>
                <w:b w:val="0"/>
                <w:bCs/>
                <w:color w:val="auto"/>
                <w:sz w:val="24"/>
                <w:szCs w:val="24"/>
                <w:highlight w:val="none"/>
                <w:vertAlign w:val="baseline"/>
                <w:lang w:val="en-US" w:eastAsia="zh-CN"/>
              </w:rPr>
            </w:pPr>
            <w:bookmarkStart w:id="35" w:name="_Toc14321"/>
            <w:bookmarkStart w:id="36" w:name="_Toc1775"/>
            <w:r>
              <w:rPr>
                <w:rFonts w:hint="eastAsia" w:ascii="宋体" w:hAnsi="宋体" w:eastAsia="宋体" w:cs="宋体"/>
                <w:b w:val="0"/>
                <w:bCs/>
                <w:color w:val="auto"/>
                <w:sz w:val="24"/>
                <w:szCs w:val="24"/>
                <w:highlight w:val="none"/>
                <w:vertAlign w:val="baseline"/>
                <w:lang w:val="en-US" w:eastAsia="zh-CN"/>
              </w:rPr>
              <w:t>14</w:t>
            </w:r>
            <w:bookmarkEnd w:id="35"/>
            <w:bookmarkEnd w:id="36"/>
          </w:p>
        </w:tc>
        <w:tc>
          <w:tcPr>
            <w:tcW w:w="2861" w:type="dxa"/>
            <w:noWrap w:val="0"/>
            <w:vAlign w:val="center"/>
          </w:tcPr>
          <w:p w14:paraId="2ED62BB3">
            <w:pPr>
              <w:keepNext w:val="0"/>
              <w:keepLines w:val="0"/>
              <w:widowControl/>
              <w:suppressLineNumbers w:val="0"/>
              <w:jc w:val="center"/>
              <w:rPr>
                <w:rFonts w:hint="eastAsia" w:ascii="宋体" w:hAnsi="宋体"/>
                <w:b w:val="0"/>
                <w:bCs w:val="0"/>
                <w:color w:val="auto"/>
                <w:sz w:val="24"/>
                <w:szCs w:val="24"/>
                <w:highlight w:val="none"/>
                <w:lang w:val="en-US" w:eastAsia="zh-CN"/>
              </w:rPr>
            </w:pPr>
            <w:r>
              <w:rPr>
                <w:rFonts w:hint="eastAsia" w:ascii="宋体" w:hAnsi="宋体"/>
                <w:b w:val="0"/>
                <w:bCs w:val="0"/>
                <w:color w:val="auto"/>
                <w:sz w:val="24"/>
                <w:szCs w:val="24"/>
                <w:highlight w:val="none"/>
                <w:lang w:val="en-US" w:eastAsia="zh-CN"/>
              </w:rPr>
              <w:t>鱼类（草鱼等）</w:t>
            </w:r>
          </w:p>
          <w:p w14:paraId="357994FF">
            <w:pPr>
              <w:keepNext w:val="0"/>
              <w:keepLines w:val="0"/>
              <w:widowControl/>
              <w:suppressLineNumbers w:val="0"/>
              <w:jc w:val="center"/>
              <w:rPr>
                <w:rFonts w:hint="eastAsia" w:ascii="宋体" w:hAnsi="宋体"/>
                <w:b w:val="0"/>
                <w:bCs w:val="0"/>
                <w:color w:val="auto"/>
                <w:kern w:val="2"/>
                <w:sz w:val="24"/>
                <w:szCs w:val="24"/>
                <w:highlight w:val="none"/>
                <w:lang w:val="en-US" w:eastAsia="zh-CN" w:bidi="ar-SA"/>
              </w:rPr>
            </w:pPr>
          </w:p>
        </w:tc>
        <w:tc>
          <w:tcPr>
            <w:tcW w:w="4417" w:type="dxa"/>
            <w:noWrap w:val="0"/>
            <w:vAlign w:val="center"/>
          </w:tcPr>
          <w:p w14:paraId="60AA34C1">
            <w:pPr>
              <w:keepNext w:val="0"/>
              <w:keepLines w:val="0"/>
              <w:widowControl/>
              <w:suppressLineNumbers w:val="0"/>
              <w:jc w:val="left"/>
              <w:rPr>
                <w:rFonts w:hint="eastAsia" w:ascii="宋体" w:hAnsi="宋体"/>
                <w:b w:val="0"/>
                <w:bCs w:val="0"/>
                <w:color w:val="auto"/>
                <w:kern w:val="2"/>
                <w:sz w:val="24"/>
                <w:szCs w:val="24"/>
                <w:highlight w:val="none"/>
                <w:lang w:val="en-US" w:eastAsia="zh-CN" w:bidi="ar-SA"/>
              </w:rPr>
            </w:pPr>
            <w:r>
              <w:rPr>
                <w:rFonts w:hint="eastAsia" w:ascii="宋体" w:hAnsi="宋体"/>
                <w:b w:val="0"/>
                <w:bCs w:val="0"/>
                <w:color w:val="auto"/>
                <w:sz w:val="24"/>
                <w:szCs w:val="24"/>
                <w:highlight w:val="none"/>
                <w:lang w:val="en-US" w:eastAsia="zh-CN"/>
              </w:rPr>
              <w:t>单条 2 斤以上；鱼体健康，体态匀称，游动活泼或新鲜、无异味，体色鲜明，体表光滑；眼隔膜有光泽、透明，眼球突出；鱼鳞完整有光泽，不易脱落，鳞片鳍条完好；腹部坚实不膨胀；无嘴烂及其它外表损伤，肛门内部洁净无异常。</w:t>
            </w:r>
          </w:p>
        </w:tc>
        <w:tc>
          <w:tcPr>
            <w:tcW w:w="1376" w:type="dxa"/>
            <w:noWrap w:val="0"/>
            <w:vAlign w:val="center"/>
          </w:tcPr>
          <w:p w14:paraId="48C3F0FB">
            <w:pPr>
              <w:keepNext w:val="0"/>
              <w:keepLines w:val="0"/>
              <w:widowControl/>
              <w:suppressLineNumbers w:val="0"/>
              <w:jc w:val="center"/>
              <w:rPr>
                <w:rFonts w:hint="eastAsia" w:ascii="宋体" w:hAnsi="宋体" w:eastAsia="宋体" w:cs="宋体"/>
                <w:b w:val="0"/>
                <w:bCs w:val="0"/>
                <w:kern w:val="0"/>
                <w:sz w:val="24"/>
                <w:szCs w:val="24"/>
                <w:vertAlign w:val="baseline"/>
                <w:lang w:val="en-US" w:eastAsia="zh-CN" w:bidi="ar-SA"/>
              </w:rPr>
            </w:pPr>
            <w:r>
              <w:rPr>
                <w:rFonts w:hint="eastAsia" w:ascii="宋体" w:hAnsi="宋体" w:eastAsia="宋体" w:cs="宋体"/>
                <w:b w:val="0"/>
                <w:bCs w:val="0"/>
                <w:kern w:val="0"/>
                <w:sz w:val="24"/>
                <w:szCs w:val="24"/>
                <w:vertAlign w:val="baseline"/>
                <w:lang w:val="en-US" w:eastAsia="zh-CN" w:bidi="ar-SA"/>
              </w:rPr>
              <w:t>以实际供货数量为准</w:t>
            </w:r>
          </w:p>
        </w:tc>
      </w:tr>
      <w:tr w14:paraId="506B21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3" w:hRule="atLeast"/>
        </w:trPr>
        <w:tc>
          <w:tcPr>
            <w:tcW w:w="744" w:type="dxa"/>
            <w:noWrap w:val="0"/>
            <w:vAlign w:val="top"/>
          </w:tcPr>
          <w:p w14:paraId="5E4A5930">
            <w:pPr>
              <w:pStyle w:val="2"/>
              <w:pageBreakBefore w:val="0"/>
              <w:widowControl w:val="0"/>
              <w:numPr>
                <w:ilvl w:val="0"/>
                <w:numId w:val="0"/>
              </w:numPr>
              <w:kinsoku/>
              <w:wordWrap/>
              <w:overflowPunct/>
              <w:topLinePunct w:val="0"/>
              <w:autoSpaceDE/>
              <w:autoSpaceDN/>
              <w:bidi w:val="0"/>
              <w:spacing w:line="520" w:lineRule="exact"/>
              <w:jc w:val="center"/>
              <w:textAlignment w:val="auto"/>
              <w:rPr>
                <w:rFonts w:hint="default" w:ascii="宋体" w:hAnsi="宋体" w:eastAsia="宋体" w:cs="宋体"/>
                <w:b w:val="0"/>
                <w:bCs/>
                <w:color w:val="auto"/>
                <w:sz w:val="24"/>
                <w:szCs w:val="24"/>
                <w:highlight w:val="none"/>
                <w:vertAlign w:val="baseline"/>
                <w:lang w:val="en-US" w:eastAsia="zh-CN"/>
              </w:rPr>
            </w:pPr>
            <w:bookmarkStart w:id="37" w:name="_Toc6272"/>
            <w:bookmarkStart w:id="38" w:name="_Toc27668"/>
            <w:r>
              <w:rPr>
                <w:rFonts w:hint="eastAsia" w:ascii="宋体" w:hAnsi="宋体" w:eastAsia="宋体" w:cs="宋体"/>
                <w:b w:val="0"/>
                <w:bCs/>
                <w:color w:val="auto"/>
                <w:sz w:val="24"/>
                <w:szCs w:val="24"/>
                <w:highlight w:val="none"/>
                <w:vertAlign w:val="baseline"/>
                <w:lang w:val="en-US" w:eastAsia="zh-CN"/>
              </w:rPr>
              <w:t>15</w:t>
            </w:r>
            <w:bookmarkEnd w:id="37"/>
            <w:bookmarkEnd w:id="38"/>
          </w:p>
        </w:tc>
        <w:tc>
          <w:tcPr>
            <w:tcW w:w="2861" w:type="dxa"/>
            <w:noWrap w:val="0"/>
            <w:vAlign w:val="center"/>
          </w:tcPr>
          <w:p w14:paraId="008C1A10">
            <w:pPr>
              <w:keepNext w:val="0"/>
              <w:keepLines w:val="0"/>
              <w:widowControl/>
              <w:suppressLineNumbers w:val="0"/>
              <w:jc w:val="left"/>
              <w:rPr>
                <w:rFonts w:hint="eastAsia" w:ascii="宋体" w:hAnsi="宋体"/>
                <w:b w:val="0"/>
                <w:bCs w:val="0"/>
                <w:color w:val="auto"/>
                <w:kern w:val="2"/>
                <w:sz w:val="24"/>
                <w:szCs w:val="24"/>
                <w:highlight w:val="red"/>
                <w:lang w:val="en-US" w:eastAsia="zh-CN" w:bidi="ar-SA"/>
              </w:rPr>
            </w:pPr>
            <w:r>
              <w:rPr>
                <w:rFonts w:hint="eastAsia" w:ascii="宋体" w:hAnsi="宋体"/>
                <w:b w:val="0"/>
                <w:bCs w:val="0"/>
                <w:color w:val="auto"/>
                <w:sz w:val="24"/>
                <w:szCs w:val="24"/>
                <w:highlight w:val="none"/>
                <w:lang w:val="en-US" w:eastAsia="zh-CN"/>
              </w:rPr>
              <w:t>肉类（新鲜土麻鸡、新鲜湖鸭）</w:t>
            </w:r>
          </w:p>
        </w:tc>
        <w:tc>
          <w:tcPr>
            <w:tcW w:w="4417" w:type="dxa"/>
            <w:noWrap w:val="0"/>
            <w:vAlign w:val="top"/>
          </w:tcPr>
          <w:p w14:paraId="58414AE7">
            <w:pPr>
              <w:keepNext w:val="0"/>
              <w:keepLines w:val="0"/>
              <w:widowControl/>
              <w:suppressLineNumbers w:val="0"/>
              <w:jc w:val="left"/>
              <w:rPr>
                <w:rFonts w:hint="eastAsia" w:ascii="宋体" w:hAnsi="宋体"/>
                <w:b w:val="0"/>
                <w:bCs w:val="0"/>
                <w:color w:val="auto"/>
                <w:sz w:val="24"/>
                <w:szCs w:val="24"/>
                <w:highlight w:val="none"/>
                <w:lang w:val="en-US" w:eastAsia="zh-CN"/>
              </w:rPr>
            </w:pPr>
            <w:r>
              <w:rPr>
                <w:rFonts w:hint="eastAsia" w:ascii="宋体" w:hAnsi="宋体"/>
                <w:b w:val="0"/>
                <w:bCs w:val="0"/>
                <w:color w:val="auto"/>
                <w:sz w:val="24"/>
                <w:szCs w:val="24"/>
                <w:highlight w:val="none"/>
                <w:lang w:val="en-US" w:eastAsia="zh-CN"/>
              </w:rPr>
              <w:t>本地所产湖鸭，眼球饱满，皮肤有光泽，淡黄或灰白色，骨肉红而发亮。</w:t>
            </w:r>
          </w:p>
          <w:p w14:paraId="05CD717B">
            <w:pPr>
              <w:keepNext w:val="0"/>
              <w:keepLines w:val="0"/>
              <w:widowControl/>
              <w:suppressLineNumbers w:val="0"/>
              <w:jc w:val="left"/>
              <w:rPr>
                <w:rFonts w:hint="eastAsia" w:ascii="宋体" w:hAnsi="宋体"/>
                <w:b w:val="0"/>
                <w:bCs w:val="0"/>
                <w:color w:val="auto"/>
                <w:sz w:val="24"/>
                <w:szCs w:val="24"/>
                <w:highlight w:val="none"/>
              </w:rPr>
            </w:pPr>
            <w:r>
              <w:rPr>
                <w:rFonts w:hint="eastAsia" w:ascii="宋体" w:hAnsi="宋体"/>
                <w:b w:val="0"/>
                <w:bCs w:val="0"/>
                <w:color w:val="auto"/>
                <w:sz w:val="24"/>
                <w:szCs w:val="24"/>
                <w:highlight w:val="none"/>
                <w:lang w:val="en-US" w:eastAsia="zh-CN"/>
              </w:rPr>
              <w:t>土麻鸡大小均匀，无碎杂、无淤血斑、有光泽、肉质淡红，无异味。</w:t>
            </w:r>
          </w:p>
        </w:tc>
        <w:tc>
          <w:tcPr>
            <w:tcW w:w="1376" w:type="dxa"/>
            <w:noWrap w:val="0"/>
            <w:vAlign w:val="center"/>
          </w:tcPr>
          <w:p w14:paraId="179343AC">
            <w:pPr>
              <w:keepNext w:val="0"/>
              <w:keepLines w:val="0"/>
              <w:widowControl/>
              <w:suppressLineNumbers w:val="0"/>
              <w:jc w:val="center"/>
              <w:rPr>
                <w:rFonts w:hint="eastAsia" w:ascii="宋体" w:hAnsi="宋体" w:eastAsia="宋体" w:cs="宋体"/>
                <w:b w:val="0"/>
                <w:bCs w:val="0"/>
                <w:kern w:val="0"/>
                <w:sz w:val="24"/>
                <w:szCs w:val="24"/>
                <w:vertAlign w:val="baseline"/>
                <w:lang w:val="en-US" w:eastAsia="zh-CN" w:bidi="ar-SA"/>
              </w:rPr>
            </w:pPr>
            <w:r>
              <w:rPr>
                <w:rFonts w:hint="eastAsia" w:ascii="宋体" w:hAnsi="宋体" w:eastAsia="宋体" w:cs="宋体"/>
                <w:b w:val="0"/>
                <w:bCs w:val="0"/>
                <w:kern w:val="0"/>
                <w:sz w:val="24"/>
                <w:szCs w:val="24"/>
                <w:vertAlign w:val="baseline"/>
                <w:lang w:val="en-US" w:eastAsia="zh-CN" w:bidi="ar-SA"/>
              </w:rPr>
              <w:t>以实际供货数量为准</w:t>
            </w:r>
          </w:p>
        </w:tc>
      </w:tr>
      <w:tr w14:paraId="5EBE2C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3" w:hRule="atLeast"/>
        </w:trPr>
        <w:tc>
          <w:tcPr>
            <w:tcW w:w="744" w:type="dxa"/>
            <w:noWrap w:val="0"/>
            <w:vAlign w:val="top"/>
          </w:tcPr>
          <w:p w14:paraId="7D1FB8FE">
            <w:pPr>
              <w:pStyle w:val="2"/>
              <w:pageBreakBefore w:val="0"/>
              <w:widowControl w:val="0"/>
              <w:numPr>
                <w:ilvl w:val="0"/>
                <w:numId w:val="0"/>
              </w:numPr>
              <w:kinsoku/>
              <w:wordWrap/>
              <w:overflowPunct/>
              <w:topLinePunct w:val="0"/>
              <w:autoSpaceDE/>
              <w:autoSpaceDN/>
              <w:bidi w:val="0"/>
              <w:spacing w:line="520" w:lineRule="exact"/>
              <w:jc w:val="center"/>
              <w:textAlignment w:val="auto"/>
              <w:rPr>
                <w:rFonts w:hint="default" w:ascii="宋体" w:hAnsi="宋体" w:eastAsia="宋体" w:cs="宋体"/>
                <w:b w:val="0"/>
                <w:bCs/>
                <w:color w:val="auto"/>
                <w:sz w:val="24"/>
                <w:szCs w:val="24"/>
                <w:highlight w:val="none"/>
                <w:vertAlign w:val="baseline"/>
                <w:lang w:val="en-US" w:eastAsia="zh-CN"/>
              </w:rPr>
            </w:pPr>
            <w:bookmarkStart w:id="39" w:name="_Toc2634"/>
            <w:bookmarkStart w:id="40" w:name="_Toc30423"/>
            <w:r>
              <w:rPr>
                <w:rFonts w:hint="eastAsia" w:ascii="宋体" w:hAnsi="宋体" w:eastAsia="宋体" w:cs="宋体"/>
                <w:b w:val="0"/>
                <w:bCs/>
                <w:color w:val="auto"/>
                <w:sz w:val="24"/>
                <w:szCs w:val="24"/>
                <w:highlight w:val="none"/>
                <w:vertAlign w:val="baseline"/>
                <w:lang w:val="en-US" w:eastAsia="zh-CN"/>
              </w:rPr>
              <w:t>16</w:t>
            </w:r>
            <w:bookmarkEnd w:id="39"/>
            <w:bookmarkEnd w:id="40"/>
          </w:p>
        </w:tc>
        <w:tc>
          <w:tcPr>
            <w:tcW w:w="2861" w:type="dxa"/>
            <w:noWrap w:val="0"/>
            <w:vAlign w:val="center"/>
          </w:tcPr>
          <w:p w14:paraId="5846CE53">
            <w:pPr>
              <w:keepNext w:val="0"/>
              <w:keepLines w:val="0"/>
              <w:widowControl/>
              <w:suppressLineNumbers w:val="0"/>
              <w:jc w:val="left"/>
              <w:rPr>
                <w:rFonts w:hint="eastAsia" w:ascii="宋体" w:hAnsi="宋体"/>
                <w:b w:val="0"/>
                <w:bCs w:val="0"/>
                <w:color w:val="auto"/>
                <w:kern w:val="2"/>
                <w:sz w:val="24"/>
                <w:szCs w:val="24"/>
                <w:highlight w:val="none"/>
                <w:lang w:val="en-US" w:eastAsia="zh-CN" w:bidi="ar-SA"/>
              </w:rPr>
            </w:pPr>
            <w:r>
              <w:rPr>
                <w:rFonts w:hint="eastAsia" w:ascii="宋体" w:hAnsi="宋体"/>
                <w:b w:val="0"/>
                <w:bCs w:val="0"/>
                <w:color w:val="auto"/>
                <w:sz w:val="24"/>
                <w:szCs w:val="24"/>
                <w:highlight w:val="none"/>
                <w:lang w:val="en-US" w:eastAsia="zh-CN"/>
              </w:rPr>
              <w:t>蛋类（鸡蛋）</w:t>
            </w:r>
          </w:p>
        </w:tc>
        <w:tc>
          <w:tcPr>
            <w:tcW w:w="4417" w:type="dxa"/>
            <w:noWrap w:val="0"/>
            <w:vAlign w:val="center"/>
          </w:tcPr>
          <w:p w14:paraId="15C3557F">
            <w:pPr>
              <w:keepNext w:val="0"/>
              <w:keepLines w:val="0"/>
              <w:widowControl/>
              <w:suppressLineNumbers w:val="0"/>
              <w:jc w:val="left"/>
              <w:rPr>
                <w:rFonts w:hint="eastAsia" w:ascii="宋体" w:hAnsi="宋体"/>
                <w:b w:val="0"/>
                <w:bCs w:val="0"/>
                <w:color w:val="auto"/>
                <w:sz w:val="24"/>
                <w:szCs w:val="24"/>
                <w:highlight w:val="none"/>
                <w:lang w:val="en-US" w:eastAsia="zh-CN"/>
              </w:rPr>
            </w:pPr>
            <w:r>
              <w:rPr>
                <w:rFonts w:hint="eastAsia" w:ascii="宋体" w:hAnsi="宋体"/>
                <w:b w:val="0"/>
                <w:bCs w:val="0"/>
                <w:color w:val="auto"/>
                <w:sz w:val="24"/>
                <w:szCs w:val="24"/>
                <w:highlight w:val="none"/>
                <w:lang w:val="en-US" w:eastAsia="zh-CN"/>
              </w:rPr>
              <w:t>鸡蛋应新鲜完整，不破损、不变质、保持鲜蛋表面清洁，不沾附泥污等杂物。送货时提供货品质量合格证。</w:t>
            </w:r>
          </w:p>
          <w:p w14:paraId="3FB564D9">
            <w:pPr>
              <w:keepNext w:val="0"/>
              <w:keepLines w:val="0"/>
              <w:widowControl/>
              <w:suppressLineNumbers w:val="0"/>
              <w:jc w:val="left"/>
              <w:rPr>
                <w:rFonts w:hint="eastAsia" w:ascii="宋体" w:hAnsi="宋体"/>
                <w:b w:val="0"/>
                <w:bCs w:val="0"/>
                <w:color w:val="auto"/>
                <w:kern w:val="2"/>
                <w:sz w:val="24"/>
                <w:szCs w:val="24"/>
                <w:highlight w:val="none"/>
                <w:lang w:val="en-US" w:eastAsia="zh-CN" w:bidi="ar-SA"/>
              </w:rPr>
            </w:pPr>
            <w:r>
              <w:rPr>
                <w:rFonts w:hint="eastAsia" w:ascii="宋体" w:hAnsi="宋体"/>
                <w:b w:val="0"/>
                <w:bCs w:val="0"/>
                <w:color w:val="auto"/>
                <w:sz w:val="24"/>
                <w:szCs w:val="24"/>
                <w:highlight w:val="none"/>
                <w:lang w:val="en-US" w:eastAsia="zh-CN"/>
              </w:rPr>
              <w:t>包装要求：用硬塑箱包装；</w:t>
            </w:r>
          </w:p>
        </w:tc>
        <w:tc>
          <w:tcPr>
            <w:tcW w:w="1376" w:type="dxa"/>
            <w:noWrap w:val="0"/>
            <w:vAlign w:val="center"/>
          </w:tcPr>
          <w:p w14:paraId="19E8C9E7">
            <w:pPr>
              <w:keepNext w:val="0"/>
              <w:keepLines w:val="0"/>
              <w:widowControl/>
              <w:suppressLineNumbers w:val="0"/>
              <w:jc w:val="center"/>
              <w:rPr>
                <w:rFonts w:hint="eastAsia" w:ascii="宋体" w:hAnsi="宋体" w:eastAsia="宋体" w:cs="宋体"/>
                <w:b w:val="0"/>
                <w:bCs w:val="0"/>
                <w:kern w:val="0"/>
                <w:sz w:val="24"/>
                <w:szCs w:val="24"/>
                <w:vertAlign w:val="baseline"/>
                <w:lang w:val="en-US" w:eastAsia="zh-CN" w:bidi="ar-SA"/>
              </w:rPr>
            </w:pPr>
            <w:r>
              <w:rPr>
                <w:rFonts w:hint="eastAsia" w:ascii="宋体" w:hAnsi="宋体" w:eastAsia="宋体" w:cs="宋体"/>
                <w:b w:val="0"/>
                <w:bCs w:val="0"/>
                <w:kern w:val="0"/>
                <w:sz w:val="24"/>
                <w:szCs w:val="24"/>
                <w:vertAlign w:val="baseline"/>
                <w:lang w:val="en-US" w:eastAsia="zh-CN" w:bidi="ar-SA"/>
              </w:rPr>
              <w:t>以实际供货数量为准</w:t>
            </w:r>
          </w:p>
        </w:tc>
      </w:tr>
      <w:tr w14:paraId="188692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47" w:hRule="atLeast"/>
        </w:trPr>
        <w:tc>
          <w:tcPr>
            <w:tcW w:w="744" w:type="dxa"/>
            <w:noWrap w:val="0"/>
            <w:vAlign w:val="center"/>
          </w:tcPr>
          <w:p w14:paraId="66D2B72C">
            <w:pPr>
              <w:pStyle w:val="11"/>
              <w:widowControl w:val="0"/>
              <w:numPr>
                <w:ilvl w:val="0"/>
                <w:numId w:val="0"/>
              </w:numPr>
              <w:spacing w:before="120" w:after="120" w:line="360" w:lineRule="auto"/>
              <w:ind w:left="0" w:leftChars="0" w:firstLine="0" w:firstLineChars="0"/>
              <w:jc w:val="center"/>
              <w:outlineLvl w:val="9"/>
              <w:rPr>
                <w:rFonts w:hint="default" w:ascii="宋体" w:hAnsi="宋体" w:cs="宋体"/>
                <w:b w:val="0"/>
                <w:bCs w:val="0"/>
                <w:kern w:val="0"/>
                <w:sz w:val="24"/>
                <w:szCs w:val="24"/>
                <w:vertAlign w:val="baseline"/>
                <w:lang w:val="en-US" w:eastAsia="zh-CN" w:bidi="ar-SA"/>
              </w:rPr>
            </w:pPr>
            <w:r>
              <w:rPr>
                <w:rFonts w:hint="eastAsia"/>
                <w:b w:val="0"/>
                <w:bCs w:val="0"/>
                <w:kern w:val="0"/>
                <w:sz w:val="24"/>
                <w:szCs w:val="24"/>
                <w:vertAlign w:val="baseline"/>
                <w:lang w:val="en-US" w:eastAsia="zh-CN" w:bidi="ar-SA"/>
              </w:rPr>
              <w:t>17</w:t>
            </w:r>
          </w:p>
        </w:tc>
        <w:tc>
          <w:tcPr>
            <w:tcW w:w="2861" w:type="dxa"/>
            <w:noWrap w:val="0"/>
            <w:vAlign w:val="center"/>
          </w:tcPr>
          <w:p w14:paraId="453E599D">
            <w:pPr>
              <w:keepNext w:val="0"/>
              <w:keepLines w:val="0"/>
              <w:widowControl/>
              <w:suppressLineNumbers w:val="0"/>
              <w:jc w:val="left"/>
              <w:rPr>
                <w:rFonts w:hint="eastAsia" w:ascii="宋体" w:hAnsi="宋体"/>
                <w:b w:val="0"/>
                <w:bCs w:val="0"/>
                <w:color w:val="auto"/>
                <w:kern w:val="2"/>
                <w:sz w:val="24"/>
                <w:szCs w:val="24"/>
                <w:highlight w:val="none"/>
                <w:lang w:val="en-US" w:eastAsia="zh-CN" w:bidi="ar-SA"/>
              </w:rPr>
            </w:pPr>
            <w:r>
              <w:rPr>
                <w:rFonts w:hint="eastAsia" w:ascii="宋体" w:hAnsi="宋体"/>
                <w:b w:val="0"/>
                <w:bCs w:val="0"/>
                <w:color w:val="auto"/>
                <w:sz w:val="24"/>
                <w:szCs w:val="24"/>
                <w:highlight w:val="none"/>
                <w:lang w:val="en-US" w:eastAsia="zh-CN"/>
              </w:rPr>
              <w:t>食用油类（大豆油20L大食堂、花生油5L小食堂）</w:t>
            </w:r>
          </w:p>
        </w:tc>
        <w:tc>
          <w:tcPr>
            <w:tcW w:w="4417" w:type="dxa"/>
            <w:noWrap w:val="0"/>
            <w:vAlign w:val="center"/>
          </w:tcPr>
          <w:p w14:paraId="5CA1AB7B">
            <w:pPr>
              <w:keepNext w:val="0"/>
              <w:keepLines w:val="0"/>
              <w:widowControl/>
              <w:suppressLineNumbers w:val="0"/>
              <w:jc w:val="left"/>
              <w:rPr>
                <w:rFonts w:hint="eastAsia" w:ascii="宋体" w:hAnsi="宋体"/>
                <w:b w:val="0"/>
                <w:bCs w:val="0"/>
                <w:color w:val="auto"/>
                <w:sz w:val="24"/>
                <w:szCs w:val="24"/>
                <w:highlight w:val="none"/>
                <w:lang w:val="en-US" w:eastAsia="zh-CN"/>
              </w:rPr>
            </w:pPr>
            <w:r>
              <w:rPr>
                <w:rFonts w:hint="eastAsia" w:ascii="宋体" w:hAnsi="宋体"/>
                <w:b w:val="0"/>
                <w:bCs w:val="0"/>
                <w:color w:val="auto"/>
                <w:sz w:val="24"/>
                <w:szCs w:val="24"/>
                <w:highlight w:val="none"/>
                <w:lang w:val="en-US" w:eastAsia="zh-CN"/>
              </w:rPr>
              <w:t>大豆油质量要求：不低于国家《大豆油》（GB1535-2017）一级成品大豆油准。食品安全应符合GB 2716、GB2761、GB2762和国家有关规定。</w:t>
            </w:r>
          </w:p>
          <w:p w14:paraId="4C4217A8">
            <w:pPr>
              <w:keepNext w:val="0"/>
              <w:keepLines w:val="0"/>
              <w:widowControl/>
              <w:suppressLineNumbers w:val="0"/>
              <w:jc w:val="left"/>
              <w:rPr>
                <w:rFonts w:hint="eastAsia" w:ascii="宋体" w:hAnsi="宋体"/>
                <w:b w:val="0"/>
                <w:bCs w:val="0"/>
                <w:color w:val="auto"/>
                <w:sz w:val="24"/>
                <w:szCs w:val="24"/>
                <w:highlight w:val="none"/>
                <w:lang w:val="en-US" w:eastAsia="zh-CN"/>
              </w:rPr>
            </w:pPr>
            <w:r>
              <w:rPr>
                <w:rFonts w:hint="eastAsia" w:ascii="宋体" w:hAnsi="宋体"/>
                <w:b w:val="0"/>
                <w:bCs w:val="0"/>
                <w:color w:val="auto"/>
                <w:sz w:val="24"/>
                <w:szCs w:val="24"/>
                <w:highlight w:val="none"/>
                <w:lang w:val="en-US" w:eastAsia="zh-CN"/>
              </w:rPr>
              <w:t>主要技术参数：</w:t>
            </w:r>
          </w:p>
          <w:p w14:paraId="7DF14B12">
            <w:pPr>
              <w:keepNext w:val="0"/>
              <w:keepLines w:val="0"/>
              <w:widowControl/>
              <w:suppressLineNumbers w:val="0"/>
              <w:jc w:val="left"/>
              <w:rPr>
                <w:rFonts w:hint="eastAsia" w:ascii="宋体" w:hAnsi="宋体"/>
                <w:b w:val="0"/>
                <w:bCs w:val="0"/>
                <w:color w:val="auto"/>
                <w:sz w:val="24"/>
                <w:szCs w:val="24"/>
                <w:highlight w:val="none"/>
                <w:lang w:val="en-US" w:eastAsia="zh-CN"/>
              </w:rPr>
            </w:pPr>
            <w:r>
              <w:rPr>
                <w:rFonts w:hint="eastAsia" w:ascii="宋体" w:hAnsi="宋体"/>
                <w:b w:val="0"/>
                <w:bCs w:val="0"/>
                <w:color w:val="auto"/>
                <w:sz w:val="24"/>
                <w:szCs w:val="24"/>
                <w:highlight w:val="none"/>
                <w:lang w:val="en-US" w:eastAsia="zh-CN"/>
              </w:rPr>
              <w:t>（1）色泽：淡黄色至浅黄色</w:t>
            </w:r>
          </w:p>
          <w:p w14:paraId="59F0443F">
            <w:pPr>
              <w:keepNext w:val="0"/>
              <w:keepLines w:val="0"/>
              <w:widowControl/>
              <w:suppressLineNumbers w:val="0"/>
              <w:jc w:val="left"/>
              <w:rPr>
                <w:rFonts w:hint="eastAsia" w:ascii="宋体" w:hAnsi="宋体"/>
                <w:b w:val="0"/>
                <w:bCs w:val="0"/>
                <w:color w:val="auto"/>
                <w:sz w:val="24"/>
                <w:szCs w:val="24"/>
                <w:highlight w:val="none"/>
                <w:lang w:val="en-US" w:eastAsia="zh-CN"/>
              </w:rPr>
            </w:pPr>
            <w:r>
              <w:rPr>
                <w:rFonts w:hint="eastAsia" w:ascii="宋体" w:hAnsi="宋体"/>
                <w:b w:val="0"/>
                <w:bCs w:val="0"/>
                <w:color w:val="auto"/>
                <w:sz w:val="24"/>
                <w:szCs w:val="24"/>
                <w:highlight w:val="none"/>
                <w:lang w:val="en-US" w:eastAsia="zh-CN"/>
              </w:rPr>
              <w:t>（2）气味、滋味</w:t>
            </w:r>
            <w:r>
              <w:rPr>
                <w:rFonts w:hint="eastAsia" w:ascii="宋体" w:hAnsi="宋体"/>
                <w:b w:val="0"/>
                <w:bCs w:val="0"/>
                <w:color w:val="auto"/>
                <w:sz w:val="24"/>
                <w:szCs w:val="24"/>
                <w:highlight w:val="none"/>
                <w:lang w:val="en-US" w:eastAsia="zh-CN"/>
              </w:rPr>
              <w:tab/>
            </w:r>
            <w:r>
              <w:rPr>
                <w:rFonts w:hint="eastAsia" w:ascii="宋体" w:hAnsi="宋体"/>
                <w:b w:val="0"/>
                <w:bCs w:val="0"/>
                <w:color w:val="auto"/>
                <w:sz w:val="24"/>
                <w:szCs w:val="24"/>
                <w:highlight w:val="none"/>
                <w:lang w:val="en-US" w:eastAsia="zh-CN"/>
              </w:rPr>
              <w:t>无异味、口感好</w:t>
            </w:r>
          </w:p>
          <w:p w14:paraId="6932BB4B">
            <w:pPr>
              <w:keepNext w:val="0"/>
              <w:keepLines w:val="0"/>
              <w:widowControl/>
              <w:suppressLineNumbers w:val="0"/>
              <w:jc w:val="left"/>
              <w:rPr>
                <w:rFonts w:hint="eastAsia" w:ascii="宋体" w:hAnsi="宋体"/>
                <w:b w:val="0"/>
                <w:bCs w:val="0"/>
                <w:color w:val="auto"/>
                <w:sz w:val="24"/>
                <w:szCs w:val="24"/>
                <w:highlight w:val="none"/>
                <w:lang w:val="en-US" w:eastAsia="zh-CN"/>
              </w:rPr>
            </w:pPr>
            <w:r>
              <w:rPr>
                <w:rFonts w:hint="eastAsia" w:ascii="宋体" w:hAnsi="宋体"/>
                <w:b w:val="0"/>
                <w:bCs w:val="0"/>
                <w:color w:val="auto"/>
                <w:sz w:val="24"/>
                <w:szCs w:val="24"/>
                <w:highlight w:val="none"/>
                <w:lang w:val="en-US" w:eastAsia="zh-CN"/>
              </w:rPr>
              <w:t>（3）透明度（20℃）</w:t>
            </w:r>
            <w:r>
              <w:rPr>
                <w:rFonts w:hint="eastAsia" w:ascii="宋体" w:hAnsi="宋体"/>
                <w:b w:val="0"/>
                <w:bCs w:val="0"/>
                <w:color w:val="auto"/>
                <w:sz w:val="24"/>
                <w:szCs w:val="24"/>
                <w:highlight w:val="none"/>
                <w:lang w:val="en-US" w:eastAsia="zh-CN"/>
              </w:rPr>
              <w:tab/>
            </w:r>
            <w:r>
              <w:rPr>
                <w:rFonts w:hint="eastAsia" w:ascii="宋体" w:hAnsi="宋体"/>
                <w:b w:val="0"/>
                <w:bCs w:val="0"/>
                <w:color w:val="auto"/>
                <w:sz w:val="24"/>
                <w:szCs w:val="24"/>
                <w:highlight w:val="none"/>
                <w:lang w:val="en-US" w:eastAsia="zh-CN"/>
              </w:rPr>
              <w:t>澄清、透明</w:t>
            </w:r>
          </w:p>
          <w:p w14:paraId="03D76F20">
            <w:pPr>
              <w:keepNext w:val="0"/>
              <w:keepLines w:val="0"/>
              <w:widowControl/>
              <w:suppressLineNumbers w:val="0"/>
              <w:jc w:val="left"/>
              <w:rPr>
                <w:rFonts w:hint="eastAsia" w:ascii="宋体" w:hAnsi="宋体"/>
                <w:b w:val="0"/>
                <w:bCs w:val="0"/>
                <w:color w:val="auto"/>
                <w:sz w:val="24"/>
                <w:szCs w:val="24"/>
                <w:highlight w:val="none"/>
                <w:lang w:val="en-US" w:eastAsia="zh-CN"/>
              </w:rPr>
            </w:pPr>
            <w:r>
              <w:rPr>
                <w:rFonts w:hint="eastAsia" w:ascii="宋体" w:hAnsi="宋体"/>
                <w:b w:val="0"/>
                <w:bCs w:val="0"/>
                <w:color w:val="auto"/>
                <w:sz w:val="24"/>
                <w:szCs w:val="24"/>
                <w:highlight w:val="none"/>
                <w:lang w:val="en-US" w:eastAsia="zh-CN"/>
              </w:rPr>
              <w:t>（4）水分及挥发物含量（%）≤0.10</w:t>
            </w:r>
          </w:p>
          <w:p w14:paraId="6CBB0C5E">
            <w:pPr>
              <w:keepNext w:val="0"/>
              <w:keepLines w:val="0"/>
              <w:widowControl/>
              <w:suppressLineNumbers w:val="0"/>
              <w:jc w:val="left"/>
              <w:rPr>
                <w:rFonts w:hint="eastAsia" w:ascii="宋体" w:hAnsi="宋体"/>
                <w:b w:val="0"/>
                <w:bCs w:val="0"/>
                <w:color w:val="auto"/>
                <w:sz w:val="24"/>
                <w:szCs w:val="24"/>
                <w:highlight w:val="none"/>
                <w:lang w:val="en-US" w:eastAsia="zh-CN"/>
              </w:rPr>
            </w:pPr>
            <w:r>
              <w:rPr>
                <w:rFonts w:hint="eastAsia" w:ascii="宋体" w:hAnsi="宋体"/>
                <w:b w:val="0"/>
                <w:bCs w:val="0"/>
                <w:color w:val="auto"/>
                <w:sz w:val="24"/>
                <w:szCs w:val="24"/>
                <w:highlight w:val="none"/>
                <w:lang w:val="en-US" w:eastAsia="zh-CN"/>
              </w:rPr>
              <w:t>（5）不溶性杂质含量（%）≤0.05</w:t>
            </w:r>
          </w:p>
          <w:p w14:paraId="3AF60DDE">
            <w:pPr>
              <w:keepNext w:val="0"/>
              <w:keepLines w:val="0"/>
              <w:widowControl/>
              <w:suppressLineNumbers w:val="0"/>
              <w:jc w:val="left"/>
              <w:rPr>
                <w:rFonts w:hint="eastAsia" w:ascii="宋体" w:hAnsi="宋体"/>
                <w:b w:val="0"/>
                <w:bCs w:val="0"/>
                <w:color w:val="auto"/>
                <w:sz w:val="24"/>
                <w:szCs w:val="24"/>
                <w:highlight w:val="none"/>
                <w:lang w:val="en-US" w:eastAsia="zh-CN"/>
              </w:rPr>
            </w:pPr>
            <w:r>
              <w:rPr>
                <w:rFonts w:hint="eastAsia" w:ascii="宋体" w:hAnsi="宋体"/>
                <w:b w:val="0"/>
                <w:bCs w:val="0"/>
                <w:color w:val="auto"/>
                <w:sz w:val="24"/>
                <w:szCs w:val="24"/>
                <w:highlight w:val="none"/>
                <w:lang w:val="en-US" w:eastAsia="zh-CN"/>
              </w:rPr>
              <w:t>（6）酸价（KOH）/（mg/g）≤0.50</w:t>
            </w:r>
          </w:p>
          <w:p w14:paraId="6DD48541">
            <w:pPr>
              <w:keepNext w:val="0"/>
              <w:keepLines w:val="0"/>
              <w:widowControl/>
              <w:suppressLineNumbers w:val="0"/>
              <w:jc w:val="left"/>
              <w:rPr>
                <w:rFonts w:hint="eastAsia" w:ascii="宋体" w:hAnsi="宋体"/>
                <w:b w:val="0"/>
                <w:bCs w:val="0"/>
                <w:color w:val="auto"/>
                <w:sz w:val="24"/>
                <w:szCs w:val="24"/>
                <w:highlight w:val="none"/>
                <w:lang w:val="en-US" w:eastAsia="zh-CN"/>
              </w:rPr>
            </w:pPr>
            <w:r>
              <w:rPr>
                <w:rFonts w:hint="eastAsia" w:ascii="宋体" w:hAnsi="宋体"/>
                <w:b w:val="0"/>
                <w:bCs w:val="0"/>
                <w:color w:val="auto"/>
                <w:sz w:val="24"/>
                <w:szCs w:val="24"/>
                <w:highlight w:val="none"/>
                <w:lang w:val="en-US" w:eastAsia="zh-CN"/>
              </w:rPr>
              <w:t>（7）烟点/℃</w:t>
            </w:r>
            <w:r>
              <w:rPr>
                <w:rFonts w:hint="eastAsia" w:ascii="宋体" w:hAnsi="宋体"/>
                <w:b w:val="0"/>
                <w:bCs w:val="0"/>
                <w:color w:val="auto"/>
                <w:sz w:val="24"/>
                <w:szCs w:val="24"/>
                <w:highlight w:val="none"/>
                <w:lang w:val="en-US" w:eastAsia="zh-CN"/>
              </w:rPr>
              <w:tab/>
            </w:r>
            <w:r>
              <w:rPr>
                <w:rFonts w:hint="eastAsia" w:ascii="宋体" w:hAnsi="宋体"/>
                <w:b w:val="0"/>
                <w:bCs w:val="0"/>
                <w:color w:val="auto"/>
                <w:sz w:val="24"/>
                <w:szCs w:val="24"/>
                <w:highlight w:val="none"/>
                <w:lang w:val="en-US" w:eastAsia="zh-CN"/>
              </w:rPr>
              <w:t>≥190</w:t>
            </w:r>
          </w:p>
          <w:p w14:paraId="6F4BF77F">
            <w:pPr>
              <w:keepNext w:val="0"/>
              <w:keepLines w:val="0"/>
              <w:widowControl/>
              <w:suppressLineNumbers w:val="0"/>
              <w:jc w:val="left"/>
              <w:rPr>
                <w:rFonts w:hint="eastAsia" w:ascii="宋体" w:hAnsi="宋体"/>
                <w:b w:val="0"/>
                <w:bCs w:val="0"/>
                <w:color w:val="auto"/>
                <w:sz w:val="24"/>
                <w:szCs w:val="24"/>
                <w:highlight w:val="none"/>
                <w:lang w:val="en-US" w:eastAsia="zh-CN"/>
              </w:rPr>
            </w:pPr>
            <w:r>
              <w:rPr>
                <w:rFonts w:hint="eastAsia" w:ascii="宋体" w:hAnsi="宋体"/>
                <w:b w:val="0"/>
                <w:bCs w:val="0"/>
                <w:color w:val="auto"/>
                <w:sz w:val="24"/>
                <w:szCs w:val="24"/>
                <w:highlight w:val="none"/>
                <w:lang w:val="en-US" w:eastAsia="zh-CN"/>
              </w:rPr>
              <w:t>（8）过氧化值/（mmol/kg）≤5.0</w:t>
            </w:r>
          </w:p>
          <w:p w14:paraId="654AF74F">
            <w:pPr>
              <w:keepNext w:val="0"/>
              <w:keepLines w:val="0"/>
              <w:widowControl/>
              <w:suppressLineNumbers w:val="0"/>
              <w:jc w:val="left"/>
              <w:rPr>
                <w:rFonts w:hint="eastAsia" w:ascii="宋体" w:hAnsi="宋体"/>
                <w:b w:val="0"/>
                <w:bCs w:val="0"/>
                <w:color w:val="auto"/>
                <w:sz w:val="24"/>
                <w:szCs w:val="24"/>
                <w:highlight w:val="none"/>
                <w:lang w:val="en-US" w:eastAsia="zh-CN"/>
              </w:rPr>
            </w:pPr>
            <w:r>
              <w:rPr>
                <w:rFonts w:hint="eastAsia" w:ascii="宋体" w:hAnsi="宋体"/>
                <w:b w:val="0"/>
                <w:bCs w:val="0"/>
                <w:color w:val="auto"/>
                <w:sz w:val="24"/>
                <w:szCs w:val="24"/>
                <w:highlight w:val="none"/>
                <w:lang w:val="en-US" w:eastAsia="zh-CN"/>
              </w:rPr>
              <w:t>（9）冷冻实验(0℃储藏5.5小时)</w:t>
            </w:r>
            <w:r>
              <w:rPr>
                <w:rFonts w:hint="eastAsia" w:ascii="宋体" w:hAnsi="宋体"/>
                <w:b w:val="0"/>
                <w:bCs w:val="0"/>
                <w:color w:val="auto"/>
                <w:sz w:val="24"/>
                <w:szCs w:val="24"/>
                <w:highlight w:val="none"/>
                <w:lang w:val="en-US" w:eastAsia="zh-CN"/>
              </w:rPr>
              <w:tab/>
            </w:r>
            <w:r>
              <w:rPr>
                <w:rFonts w:hint="eastAsia" w:ascii="宋体" w:hAnsi="宋体"/>
                <w:b w:val="0"/>
                <w:bCs w:val="0"/>
                <w:color w:val="auto"/>
                <w:sz w:val="24"/>
                <w:szCs w:val="24"/>
                <w:highlight w:val="none"/>
                <w:lang w:val="en-US" w:eastAsia="zh-CN"/>
              </w:rPr>
              <w:t>澄清、透明</w:t>
            </w:r>
          </w:p>
          <w:p w14:paraId="4D20D03E">
            <w:pPr>
              <w:keepNext w:val="0"/>
              <w:keepLines w:val="0"/>
              <w:widowControl/>
              <w:suppressLineNumbers w:val="0"/>
              <w:jc w:val="left"/>
              <w:rPr>
                <w:rFonts w:hint="eastAsia" w:ascii="宋体" w:hAnsi="宋体"/>
                <w:b w:val="0"/>
                <w:bCs w:val="0"/>
                <w:color w:val="auto"/>
                <w:sz w:val="24"/>
                <w:szCs w:val="24"/>
                <w:highlight w:val="none"/>
                <w:lang w:val="en-US" w:eastAsia="zh-CN"/>
              </w:rPr>
            </w:pPr>
            <w:r>
              <w:rPr>
                <w:rFonts w:hint="eastAsia" w:ascii="宋体" w:hAnsi="宋体"/>
                <w:b w:val="0"/>
                <w:bCs w:val="0"/>
                <w:color w:val="auto"/>
                <w:sz w:val="24"/>
                <w:szCs w:val="24"/>
                <w:highlight w:val="none"/>
                <w:lang w:val="en-US" w:eastAsia="zh-CN"/>
              </w:rPr>
              <w:t>（10）溶剂残留量/（mg/Kg）</w:t>
            </w:r>
            <w:r>
              <w:rPr>
                <w:rFonts w:hint="eastAsia" w:ascii="宋体" w:hAnsi="宋体"/>
                <w:b w:val="0"/>
                <w:bCs w:val="0"/>
                <w:color w:val="auto"/>
                <w:sz w:val="24"/>
                <w:szCs w:val="24"/>
                <w:highlight w:val="none"/>
                <w:lang w:val="en-US" w:eastAsia="zh-CN"/>
              </w:rPr>
              <w:tab/>
            </w:r>
            <w:r>
              <w:rPr>
                <w:rFonts w:hint="eastAsia" w:ascii="宋体" w:hAnsi="宋体"/>
                <w:b w:val="0"/>
                <w:bCs w:val="0"/>
                <w:color w:val="auto"/>
                <w:sz w:val="24"/>
                <w:szCs w:val="24"/>
                <w:highlight w:val="none"/>
                <w:lang w:val="en-US" w:eastAsia="zh-CN"/>
              </w:rPr>
              <w:t>不得检出</w:t>
            </w:r>
          </w:p>
          <w:p w14:paraId="5C1DAC77">
            <w:pPr>
              <w:keepNext w:val="0"/>
              <w:keepLines w:val="0"/>
              <w:widowControl/>
              <w:suppressLineNumbers w:val="0"/>
              <w:jc w:val="left"/>
              <w:rPr>
                <w:rFonts w:hint="eastAsia" w:ascii="宋体" w:hAnsi="宋体"/>
                <w:b w:val="0"/>
                <w:bCs w:val="0"/>
                <w:color w:val="auto"/>
                <w:sz w:val="24"/>
                <w:szCs w:val="24"/>
                <w:highlight w:val="none"/>
                <w:lang w:val="en-US" w:eastAsia="zh-CN"/>
              </w:rPr>
            </w:pPr>
            <w:r>
              <w:rPr>
                <w:rFonts w:hint="eastAsia" w:ascii="宋体" w:hAnsi="宋体"/>
                <w:b w:val="0"/>
                <w:bCs w:val="0"/>
                <w:color w:val="auto"/>
                <w:sz w:val="24"/>
                <w:szCs w:val="24"/>
                <w:highlight w:val="none"/>
                <w:lang w:val="en-US" w:eastAsia="zh-CN"/>
              </w:rPr>
              <w:t>（11）铅/mg/kg≤0.1</w:t>
            </w:r>
          </w:p>
          <w:p w14:paraId="4A46510E">
            <w:pPr>
              <w:keepNext w:val="0"/>
              <w:keepLines w:val="0"/>
              <w:widowControl/>
              <w:suppressLineNumbers w:val="0"/>
              <w:jc w:val="left"/>
              <w:rPr>
                <w:rFonts w:hint="eastAsia" w:ascii="宋体" w:hAnsi="宋体"/>
                <w:b w:val="0"/>
                <w:bCs w:val="0"/>
                <w:color w:val="auto"/>
                <w:sz w:val="24"/>
                <w:szCs w:val="24"/>
                <w:highlight w:val="none"/>
                <w:lang w:val="en-US" w:eastAsia="zh-CN"/>
              </w:rPr>
            </w:pPr>
            <w:r>
              <w:rPr>
                <w:rFonts w:hint="eastAsia" w:ascii="宋体" w:hAnsi="宋体"/>
                <w:b w:val="0"/>
                <w:bCs w:val="0"/>
                <w:color w:val="auto"/>
                <w:sz w:val="24"/>
                <w:szCs w:val="24"/>
                <w:highlight w:val="none"/>
                <w:lang w:val="en-US" w:eastAsia="zh-CN"/>
              </w:rPr>
              <w:t>（12）苯并（a）芘μg/kg≤10.0</w:t>
            </w:r>
          </w:p>
          <w:p w14:paraId="778D949E">
            <w:pPr>
              <w:keepNext w:val="0"/>
              <w:keepLines w:val="0"/>
              <w:widowControl/>
              <w:suppressLineNumbers w:val="0"/>
              <w:jc w:val="left"/>
              <w:rPr>
                <w:rFonts w:hint="eastAsia" w:ascii="宋体" w:hAnsi="宋体"/>
                <w:b w:val="0"/>
                <w:bCs w:val="0"/>
                <w:color w:val="auto"/>
                <w:sz w:val="24"/>
                <w:szCs w:val="24"/>
                <w:highlight w:val="none"/>
                <w:lang w:val="en-US" w:eastAsia="zh-CN"/>
              </w:rPr>
            </w:pPr>
            <w:r>
              <w:rPr>
                <w:rFonts w:hint="eastAsia" w:ascii="宋体" w:hAnsi="宋体"/>
                <w:b w:val="0"/>
                <w:bCs w:val="0"/>
                <w:color w:val="auto"/>
                <w:sz w:val="24"/>
                <w:szCs w:val="24"/>
                <w:highlight w:val="none"/>
                <w:lang w:val="en-US" w:eastAsia="zh-CN"/>
              </w:rPr>
              <w:t>（13）黄曲霉毒素B1 μg/kg≤10.0</w:t>
            </w:r>
          </w:p>
          <w:p w14:paraId="455DD4E5">
            <w:pPr>
              <w:keepNext w:val="0"/>
              <w:keepLines w:val="0"/>
              <w:widowControl/>
              <w:suppressLineNumbers w:val="0"/>
              <w:jc w:val="left"/>
              <w:rPr>
                <w:rFonts w:hint="eastAsia" w:ascii="宋体" w:hAnsi="宋体"/>
                <w:b w:val="0"/>
                <w:bCs w:val="0"/>
                <w:color w:val="auto"/>
                <w:sz w:val="24"/>
                <w:szCs w:val="24"/>
                <w:highlight w:val="none"/>
                <w:lang w:val="en-US" w:eastAsia="zh-CN"/>
              </w:rPr>
            </w:pPr>
            <w:r>
              <w:rPr>
                <w:rFonts w:hint="eastAsia" w:ascii="宋体" w:hAnsi="宋体"/>
                <w:b w:val="0"/>
                <w:bCs w:val="0"/>
                <w:color w:val="auto"/>
                <w:sz w:val="24"/>
                <w:szCs w:val="24"/>
                <w:highlight w:val="none"/>
                <w:lang w:val="en-US" w:eastAsia="zh-CN"/>
              </w:rPr>
              <w:t>产品主要要求：</w:t>
            </w:r>
          </w:p>
          <w:p w14:paraId="651D97AC">
            <w:pPr>
              <w:keepNext w:val="0"/>
              <w:keepLines w:val="0"/>
              <w:widowControl/>
              <w:suppressLineNumbers w:val="0"/>
              <w:jc w:val="left"/>
              <w:rPr>
                <w:rFonts w:hint="eastAsia" w:ascii="宋体" w:hAnsi="宋体"/>
                <w:b w:val="0"/>
                <w:bCs w:val="0"/>
                <w:color w:val="auto"/>
                <w:sz w:val="24"/>
                <w:szCs w:val="24"/>
                <w:highlight w:val="none"/>
                <w:lang w:val="en-US" w:eastAsia="zh-CN"/>
              </w:rPr>
            </w:pPr>
            <w:r>
              <w:rPr>
                <w:rFonts w:hint="eastAsia" w:ascii="宋体" w:hAnsi="宋体"/>
                <w:b w:val="0"/>
                <w:bCs w:val="0"/>
                <w:color w:val="auto"/>
                <w:sz w:val="24"/>
                <w:szCs w:val="24"/>
                <w:highlight w:val="none"/>
                <w:lang w:val="en-US" w:eastAsia="zh-CN"/>
              </w:rPr>
              <w:t>（1）保质期要求：自供货之日起计算，剩余保存期不少于原有保质期的二分之一。</w:t>
            </w:r>
          </w:p>
          <w:p w14:paraId="41DB023C">
            <w:pPr>
              <w:keepNext w:val="0"/>
              <w:keepLines w:val="0"/>
              <w:widowControl/>
              <w:suppressLineNumbers w:val="0"/>
              <w:jc w:val="left"/>
              <w:rPr>
                <w:rFonts w:hint="eastAsia" w:ascii="宋体" w:hAnsi="宋体"/>
                <w:b w:val="0"/>
                <w:bCs w:val="0"/>
                <w:color w:val="auto"/>
                <w:sz w:val="24"/>
                <w:szCs w:val="24"/>
                <w:highlight w:val="none"/>
                <w:lang w:val="en-US" w:eastAsia="zh-CN"/>
              </w:rPr>
            </w:pPr>
            <w:r>
              <w:rPr>
                <w:rFonts w:hint="eastAsia" w:ascii="宋体" w:hAnsi="宋体"/>
                <w:b w:val="0"/>
                <w:bCs w:val="0"/>
                <w:color w:val="auto"/>
                <w:sz w:val="24"/>
                <w:szCs w:val="24"/>
                <w:highlight w:val="none"/>
                <w:lang w:val="en-US" w:eastAsia="zh-CN"/>
              </w:rPr>
              <w:t>（2）出厂检验合格报告单要求：供应商每次供应时应向监狱提供该批次产品的《出厂（库）检验合格报告单》给予监狱存档。</w:t>
            </w:r>
          </w:p>
          <w:p w14:paraId="1C9EA4E8">
            <w:pPr>
              <w:keepNext w:val="0"/>
              <w:keepLines w:val="0"/>
              <w:widowControl/>
              <w:suppressLineNumbers w:val="0"/>
              <w:jc w:val="left"/>
              <w:rPr>
                <w:rFonts w:hint="eastAsia" w:ascii="宋体" w:hAnsi="宋体"/>
                <w:b w:val="0"/>
                <w:bCs w:val="0"/>
                <w:color w:val="auto"/>
                <w:sz w:val="24"/>
                <w:szCs w:val="24"/>
                <w:highlight w:val="none"/>
                <w:lang w:val="en-US" w:eastAsia="zh-CN"/>
              </w:rPr>
            </w:pPr>
            <w:r>
              <w:rPr>
                <w:rFonts w:hint="eastAsia" w:ascii="宋体" w:hAnsi="宋体"/>
                <w:b w:val="0"/>
                <w:bCs w:val="0"/>
                <w:color w:val="auto"/>
                <w:sz w:val="24"/>
                <w:szCs w:val="24"/>
                <w:highlight w:val="none"/>
                <w:lang w:val="en-US" w:eastAsia="zh-CN"/>
              </w:rPr>
              <w:t>（3）包装要求：包装材料应清洁、卫生，不与大豆油发生化学作用而产生变化，符合国家食品安全标准和管理规定，符合《食用植物油销售包装》（GB/T 17374-2008）要求。</w:t>
            </w:r>
          </w:p>
          <w:p w14:paraId="13541C40">
            <w:pPr>
              <w:keepNext w:val="0"/>
              <w:keepLines w:val="0"/>
              <w:widowControl/>
              <w:suppressLineNumbers w:val="0"/>
              <w:jc w:val="left"/>
              <w:rPr>
                <w:rFonts w:hint="eastAsia" w:ascii="宋体" w:hAnsi="宋体"/>
                <w:b w:val="0"/>
                <w:bCs w:val="0"/>
                <w:color w:val="auto"/>
                <w:kern w:val="2"/>
                <w:sz w:val="24"/>
                <w:szCs w:val="24"/>
                <w:highlight w:val="none"/>
                <w:lang w:val="en-US" w:eastAsia="zh-CN" w:bidi="ar-SA"/>
              </w:rPr>
            </w:pPr>
            <w:r>
              <w:rPr>
                <w:rFonts w:hint="eastAsia" w:ascii="宋体" w:hAnsi="宋体"/>
                <w:b w:val="0"/>
                <w:bCs w:val="0"/>
                <w:color w:val="auto"/>
                <w:sz w:val="24"/>
                <w:szCs w:val="24"/>
                <w:highlight w:val="none"/>
                <w:lang w:val="en-US" w:eastAsia="zh-CN"/>
              </w:rPr>
              <w:t>（4）标签标识要求：标明产品名称、净含量、生产者名称和地址、生产日期、保质期、产品标准号、质量等级、生产许可证号、产品批号、原料原产国、加工工艺等内容。</w:t>
            </w:r>
          </w:p>
        </w:tc>
        <w:tc>
          <w:tcPr>
            <w:tcW w:w="1376" w:type="dxa"/>
            <w:noWrap w:val="0"/>
            <w:vAlign w:val="center"/>
          </w:tcPr>
          <w:p w14:paraId="72AB35F1">
            <w:pPr>
              <w:keepNext w:val="0"/>
              <w:keepLines w:val="0"/>
              <w:widowControl/>
              <w:suppressLineNumbers w:val="0"/>
              <w:jc w:val="center"/>
              <w:rPr>
                <w:rFonts w:hint="eastAsia" w:ascii="宋体" w:hAnsi="宋体" w:eastAsia="宋体" w:cs="宋体"/>
                <w:b w:val="0"/>
                <w:bCs w:val="0"/>
                <w:kern w:val="0"/>
                <w:sz w:val="24"/>
                <w:szCs w:val="24"/>
                <w:vertAlign w:val="baseline"/>
                <w:lang w:val="en-US" w:eastAsia="zh-CN" w:bidi="ar-SA"/>
              </w:rPr>
            </w:pPr>
            <w:r>
              <w:rPr>
                <w:rFonts w:hint="eastAsia" w:ascii="宋体" w:hAnsi="宋体" w:eastAsia="宋体" w:cs="宋体"/>
                <w:b w:val="0"/>
                <w:bCs w:val="0"/>
                <w:kern w:val="0"/>
                <w:sz w:val="24"/>
                <w:szCs w:val="24"/>
                <w:vertAlign w:val="baseline"/>
                <w:lang w:val="en-US" w:eastAsia="zh-CN" w:bidi="ar-SA"/>
              </w:rPr>
              <w:t>以实际供货数量为准</w:t>
            </w:r>
          </w:p>
        </w:tc>
      </w:tr>
      <w:tr w14:paraId="2B4A37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75" w:hRule="atLeast"/>
        </w:trPr>
        <w:tc>
          <w:tcPr>
            <w:tcW w:w="744" w:type="dxa"/>
            <w:noWrap w:val="0"/>
            <w:vAlign w:val="center"/>
          </w:tcPr>
          <w:p w14:paraId="694167F5">
            <w:pPr>
              <w:pStyle w:val="11"/>
              <w:widowControl w:val="0"/>
              <w:numPr>
                <w:ilvl w:val="0"/>
                <w:numId w:val="0"/>
              </w:numPr>
              <w:spacing w:before="120" w:after="120" w:line="360" w:lineRule="auto"/>
              <w:ind w:left="0" w:leftChars="0" w:firstLine="0" w:firstLineChars="0"/>
              <w:jc w:val="center"/>
              <w:outlineLvl w:val="9"/>
              <w:rPr>
                <w:rFonts w:hint="default"/>
                <w:b w:val="0"/>
                <w:bCs w:val="0"/>
                <w:kern w:val="0"/>
                <w:sz w:val="24"/>
                <w:szCs w:val="24"/>
                <w:vertAlign w:val="baseline"/>
                <w:lang w:val="en-US" w:eastAsia="zh-CN" w:bidi="ar-SA"/>
              </w:rPr>
            </w:pPr>
            <w:r>
              <w:rPr>
                <w:rFonts w:hint="eastAsia"/>
                <w:b w:val="0"/>
                <w:bCs w:val="0"/>
                <w:kern w:val="0"/>
                <w:sz w:val="24"/>
                <w:szCs w:val="24"/>
                <w:vertAlign w:val="baseline"/>
                <w:lang w:val="en-US" w:eastAsia="zh-CN" w:bidi="ar-SA"/>
              </w:rPr>
              <w:t>18</w:t>
            </w:r>
          </w:p>
        </w:tc>
        <w:tc>
          <w:tcPr>
            <w:tcW w:w="2861" w:type="dxa"/>
            <w:noWrap w:val="0"/>
            <w:vAlign w:val="center"/>
          </w:tcPr>
          <w:p w14:paraId="2FCF8E61">
            <w:pPr>
              <w:keepNext w:val="0"/>
              <w:keepLines w:val="0"/>
              <w:widowControl/>
              <w:suppressLineNumbers w:val="0"/>
              <w:jc w:val="center"/>
              <w:rPr>
                <w:rFonts w:hint="eastAsia" w:ascii="宋体" w:hAnsi="宋体"/>
                <w:b w:val="0"/>
                <w:bCs w:val="0"/>
                <w:color w:val="auto"/>
                <w:sz w:val="24"/>
                <w:szCs w:val="24"/>
                <w:highlight w:val="none"/>
                <w:lang w:val="en-US" w:eastAsia="zh-CN"/>
              </w:rPr>
            </w:pPr>
            <w:r>
              <w:rPr>
                <w:rFonts w:hint="eastAsia" w:ascii="宋体" w:hAnsi="宋体"/>
                <w:b w:val="0"/>
                <w:bCs w:val="0"/>
                <w:color w:val="auto"/>
                <w:sz w:val="24"/>
                <w:szCs w:val="24"/>
                <w:highlight w:val="none"/>
                <w:lang w:val="en-US" w:eastAsia="zh-CN"/>
              </w:rPr>
              <w:t>调味品（干辣椒段、辣椒粉、十三香、鸡精、耗油）</w:t>
            </w:r>
          </w:p>
        </w:tc>
        <w:tc>
          <w:tcPr>
            <w:tcW w:w="4417" w:type="dxa"/>
            <w:noWrap w:val="0"/>
            <w:vAlign w:val="center"/>
          </w:tcPr>
          <w:p w14:paraId="2D26237F">
            <w:pPr>
              <w:widowControl/>
              <w:jc w:val="left"/>
              <w:rPr>
                <w:rFonts w:ascii="宋体" w:hAnsi="宋体" w:cs="宋体"/>
                <w:color w:val="000000"/>
                <w:kern w:val="0"/>
                <w:sz w:val="24"/>
              </w:rPr>
            </w:pPr>
            <w:r>
              <w:rPr>
                <w:rFonts w:hint="eastAsia" w:ascii="宋体" w:hAnsi="宋体" w:cs="宋体"/>
                <w:color w:val="000000"/>
                <w:kern w:val="0"/>
                <w:sz w:val="24"/>
              </w:rPr>
              <w:t>1、产品包装应该有产品名称、厂名、厂址或出产地等，应有产品质量合格证明。</w:t>
            </w:r>
          </w:p>
          <w:p w14:paraId="7E10A39B">
            <w:pPr>
              <w:widowControl/>
              <w:jc w:val="left"/>
              <w:rPr>
                <w:rFonts w:hint="eastAsia" w:ascii="宋体" w:hAnsi="宋体" w:eastAsia="宋体" w:cs="宋体"/>
                <w:color w:val="000000"/>
                <w:kern w:val="0"/>
                <w:sz w:val="24"/>
                <w:lang w:eastAsia="zh-CN"/>
              </w:rPr>
            </w:pPr>
            <w:r>
              <w:rPr>
                <w:rFonts w:hint="eastAsia" w:ascii="宋体" w:hAnsi="宋体" w:cs="宋体"/>
                <w:color w:val="000000"/>
                <w:kern w:val="0"/>
                <w:sz w:val="24"/>
              </w:rPr>
              <w:t>2、产品应符合国家食品卫生法规规定的标准</w:t>
            </w:r>
            <w:r>
              <w:rPr>
                <w:rFonts w:hint="eastAsia" w:ascii="宋体" w:hAnsi="宋体" w:cs="宋体"/>
                <w:color w:val="000000"/>
                <w:kern w:val="0"/>
                <w:sz w:val="24"/>
                <w:lang w:eastAsia="zh-CN"/>
              </w:rPr>
              <w:t>；</w:t>
            </w:r>
          </w:p>
          <w:p w14:paraId="4FB078E2">
            <w:pPr>
              <w:keepNext w:val="0"/>
              <w:keepLines w:val="0"/>
              <w:widowControl/>
              <w:suppressLineNumbers w:val="0"/>
              <w:jc w:val="left"/>
              <w:rPr>
                <w:rFonts w:hint="eastAsia" w:ascii="宋体" w:hAnsi="宋体"/>
                <w:b w:val="0"/>
                <w:bCs w:val="0"/>
                <w:color w:val="auto"/>
                <w:sz w:val="24"/>
                <w:szCs w:val="24"/>
                <w:highlight w:val="none"/>
                <w:lang w:val="en-US" w:eastAsia="zh-CN"/>
              </w:rPr>
            </w:pPr>
            <w:r>
              <w:rPr>
                <w:rFonts w:hint="eastAsia" w:ascii="宋体" w:hAnsi="宋体" w:cs="宋体"/>
                <w:color w:val="000000"/>
                <w:kern w:val="0"/>
                <w:sz w:val="24"/>
              </w:rPr>
              <w:t>3、符合国家食品质量安全要求。</w:t>
            </w:r>
          </w:p>
        </w:tc>
        <w:tc>
          <w:tcPr>
            <w:tcW w:w="1376" w:type="dxa"/>
            <w:noWrap w:val="0"/>
            <w:vAlign w:val="center"/>
          </w:tcPr>
          <w:p w14:paraId="69102B6E">
            <w:pPr>
              <w:keepNext w:val="0"/>
              <w:keepLines w:val="0"/>
              <w:widowControl/>
              <w:suppressLineNumbers w:val="0"/>
              <w:jc w:val="center"/>
              <w:rPr>
                <w:rFonts w:hint="eastAsia" w:ascii="宋体" w:hAnsi="宋体" w:eastAsia="宋体" w:cs="宋体"/>
                <w:b w:val="0"/>
                <w:bCs w:val="0"/>
                <w:kern w:val="0"/>
                <w:sz w:val="24"/>
                <w:szCs w:val="24"/>
                <w:vertAlign w:val="baseline"/>
                <w:lang w:val="en-US" w:eastAsia="zh-CN" w:bidi="ar-SA"/>
              </w:rPr>
            </w:pPr>
            <w:r>
              <w:rPr>
                <w:rFonts w:hint="eastAsia" w:ascii="宋体" w:hAnsi="宋体" w:eastAsia="宋体" w:cs="宋体"/>
                <w:b w:val="0"/>
                <w:bCs w:val="0"/>
                <w:kern w:val="0"/>
                <w:sz w:val="24"/>
                <w:szCs w:val="24"/>
                <w:vertAlign w:val="baseline"/>
                <w:lang w:val="en-US" w:eastAsia="zh-CN" w:bidi="ar-SA"/>
              </w:rPr>
              <w:t>以实际供货数量为准</w:t>
            </w:r>
          </w:p>
        </w:tc>
      </w:tr>
    </w:tbl>
    <w:p w14:paraId="44F92A18">
      <w:pPr>
        <w:pageBreakBefore w:val="0"/>
        <w:widowControl w:val="0"/>
        <w:numPr>
          <w:ilvl w:val="0"/>
          <w:numId w:val="0"/>
        </w:numPr>
        <w:kinsoku w:val="0"/>
        <w:wordWrap/>
        <w:overflowPunct/>
        <w:topLinePunct w:val="0"/>
        <w:autoSpaceDE w:val="0"/>
        <w:autoSpaceDN w:val="0"/>
        <w:bidi w:val="0"/>
        <w:adjustRightInd w:val="0"/>
        <w:snapToGrid w:val="0"/>
        <w:spacing w:before="47" w:line="360" w:lineRule="auto"/>
        <w:jc w:val="both"/>
        <w:textAlignment w:val="baseline"/>
        <w:outlineLvl w:val="1"/>
        <w:rPr>
          <w:rFonts w:hint="eastAsia" w:ascii="仿宋" w:hAnsi="仿宋" w:eastAsia="仿宋" w:cs="仿宋"/>
          <w:b/>
          <w:bCs/>
          <w:color w:val="auto"/>
          <w:spacing w:val="-2"/>
          <w:sz w:val="32"/>
          <w:szCs w:val="32"/>
          <w:highlight w:val="none"/>
          <w:lang w:val="en-US" w:eastAsia="zh-CN"/>
        </w:rPr>
      </w:pPr>
    </w:p>
    <w:p w14:paraId="6FEB67B6">
      <w:pPr>
        <w:pageBreakBefore w:val="0"/>
        <w:widowControl w:val="0"/>
        <w:numPr>
          <w:ilvl w:val="0"/>
          <w:numId w:val="2"/>
        </w:numPr>
        <w:wordWrap/>
        <w:overflowPunct/>
        <w:topLinePunct w:val="0"/>
        <w:bidi w:val="0"/>
        <w:spacing w:before="47" w:line="360" w:lineRule="auto"/>
        <w:jc w:val="both"/>
        <w:outlineLvl w:val="1"/>
        <w:rPr>
          <w:rFonts w:hint="eastAsia" w:ascii="仿宋" w:hAnsi="仿宋" w:eastAsia="仿宋" w:cs="仿宋"/>
          <w:b w:val="0"/>
          <w:bCs w:val="0"/>
          <w:color w:val="auto"/>
          <w:spacing w:val="-2"/>
          <w:sz w:val="32"/>
          <w:szCs w:val="32"/>
          <w:highlight w:val="none"/>
          <w:lang w:val="en-US" w:eastAsia="zh-CN"/>
        </w:rPr>
      </w:pPr>
      <w:bookmarkStart w:id="41" w:name="_Toc1795"/>
      <w:r>
        <w:rPr>
          <w:rFonts w:hint="eastAsia" w:ascii="仿宋" w:hAnsi="仿宋" w:eastAsia="仿宋" w:cs="仿宋"/>
          <w:b w:val="0"/>
          <w:bCs w:val="0"/>
          <w:color w:val="auto"/>
          <w:spacing w:val="-2"/>
          <w:sz w:val="32"/>
          <w:szCs w:val="32"/>
          <w:highlight w:val="none"/>
          <w:lang w:val="en-US" w:eastAsia="zh-CN"/>
        </w:rPr>
        <w:t>质量要求</w:t>
      </w:r>
      <w:bookmarkEnd w:id="41"/>
    </w:p>
    <w:p w14:paraId="4F45405A">
      <w:pPr>
        <w:numPr>
          <w:ilvl w:val="0"/>
          <w:numId w:val="0"/>
        </w:numPr>
        <w:spacing w:line="360" w:lineRule="auto"/>
        <w:ind w:leftChars="0"/>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lang w:val="en-US" w:eastAsia="zh-CN"/>
        </w:rPr>
        <w:t>（1）</w:t>
      </w:r>
      <w:r>
        <w:rPr>
          <w:rFonts w:hint="eastAsia" w:ascii="宋体" w:hAnsi="宋体" w:eastAsia="宋体" w:cs="宋体"/>
          <w:color w:val="000000"/>
          <w:kern w:val="0"/>
          <w:sz w:val="24"/>
        </w:rPr>
        <w:t>蔬菜符合国家的蔬菜食品卫生标准、符合食品安全国家标准食品农药最大残留限量、污染物限量。如中标人提供的蔬菜出现质量问题，造成就餐人员患病或中毒的，由中标人承担经济赔偿责任及其他法律责任。其余见采购目录“主要技术参数”。</w:t>
      </w:r>
    </w:p>
    <w:p w14:paraId="7743B923">
      <w:pPr>
        <w:numPr>
          <w:ilvl w:val="0"/>
          <w:numId w:val="0"/>
        </w:numPr>
        <w:spacing w:line="480" w:lineRule="auto"/>
        <w:ind w:leftChars="0"/>
        <w:jc w:val="left"/>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（2）蔬菜色泽要求：各种蔬菜都应具有本品种固有的颜色，大多数有发亮的光泽，以此显示蔬菜的成熟度及鲜嫩程度。</w:t>
      </w:r>
    </w:p>
    <w:p w14:paraId="34395881">
      <w:pPr>
        <w:numPr>
          <w:ilvl w:val="0"/>
          <w:numId w:val="0"/>
        </w:numPr>
        <w:spacing w:line="480" w:lineRule="auto"/>
        <w:ind w:leftChars="0"/>
        <w:jc w:val="left"/>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（3）蔬菜气味要求：多数蔬菜具有清馨、甘辛香、甜酸香等气味，可凭嗅觉识别不同品种的质量，不允许有腐烂变质的亚硝酸盐味和其他异常气味。</w:t>
      </w:r>
    </w:p>
    <w:p w14:paraId="309D4BA8">
      <w:pPr>
        <w:numPr>
          <w:ilvl w:val="0"/>
          <w:numId w:val="0"/>
        </w:numPr>
        <w:spacing w:line="480" w:lineRule="auto"/>
        <w:ind w:leftChars="0"/>
        <w:jc w:val="left"/>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（4）蔬菜滋味要求：因品种不同而各异，多数蔬菜滋味甘淡、甜酸、清爽鲜美，少数具有辛酸、苦涩等特殊风味以刺激食欲，如失去本品种原有的滋味即为异常。</w:t>
      </w:r>
    </w:p>
    <w:p w14:paraId="3DCF7EE0">
      <w:pPr>
        <w:numPr>
          <w:ilvl w:val="0"/>
          <w:numId w:val="0"/>
        </w:numPr>
        <w:spacing w:line="480" w:lineRule="auto"/>
        <w:ind w:leftChars="0"/>
        <w:jc w:val="left"/>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（5）蔬菜形态要求：应尽量避免由于客观因素而造成的各种非正常、不新鲜的蔬菜，例如萎蔫、枯塌、损伤、病变、虫害侵蚀等引起的形态异常等。</w:t>
      </w:r>
    </w:p>
    <w:p w14:paraId="077FE24A">
      <w:pPr>
        <w:pStyle w:val="10"/>
        <w:rPr>
          <w:rFonts w:hint="eastAsia"/>
          <w:lang w:val="en-US" w:eastAsia="zh-CN"/>
        </w:rPr>
      </w:pPr>
    </w:p>
    <w:p w14:paraId="2D7654B6">
      <w:pPr>
        <w:pageBreakBefore w:val="0"/>
        <w:widowControl w:val="0"/>
        <w:numPr>
          <w:ilvl w:val="0"/>
          <w:numId w:val="2"/>
        </w:numPr>
        <w:wordWrap/>
        <w:overflowPunct/>
        <w:topLinePunct w:val="0"/>
        <w:bidi w:val="0"/>
        <w:spacing w:before="47" w:line="360" w:lineRule="auto"/>
        <w:jc w:val="both"/>
        <w:outlineLvl w:val="1"/>
        <w:rPr>
          <w:rFonts w:hint="eastAsia" w:ascii="仿宋" w:hAnsi="仿宋" w:eastAsia="仿宋" w:cs="仿宋"/>
          <w:b w:val="0"/>
          <w:bCs w:val="0"/>
          <w:color w:val="auto"/>
          <w:spacing w:val="-2"/>
          <w:sz w:val="32"/>
          <w:szCs w:val="32"/>
          <w:highlight w:val="none"/>
          <w:lang w:val="en-US" w:eastAsia="zh-CN"/>
        </w:rPr>
      </w:pPr>
      <w:bookmarkStart w:id="42" w:name="_Toc2860"/>
      <w:r>
        <w:rPr>
          <w:rFonts w:hint="eastAsia" w:ascii="仿宋" w:hAnsi="仿宋" w:eastAsia="仿宋" w:cs="仿宋"/>
          <w:b w:val="0"/>
          <w:bCs w:val="0"/>
          <w:color w:val="auto"/>
          <w:spacing w:val="-2"/>
          <w:sz w:val="32"/>
          <w:szCs w:val="32"/>
          <w:highlight w:val="none"/>
          <w:lang w:val="en-US" w:eastAsia="zh-CN"/>
        </w:rPr>
        <w:t>配送要求</w:t>
      </w:r>
      <w:bookmarkEnd w:id="42"/>
    </w:p>
    <w:p w14:paraId="709E82A5">
      <w:pPr>
        <w:numPr>
          <w:ilvl w:val="0"/>
          <w:numId w:val="0"/>
        </w:numPr>
        <w:spacing w:line="480" w:lineRule="auto"/>
        <w:ind w:leftChars="0"/>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lang w:val="en-US" w:eastAsia="zh-CN"/>
        </w:rPr>
        <w:t xml:space="preserve">（1）响应供应商必须于采购人通知时间按照采购人的进货清单将货物配送到指定地点【货物清单（送货单）要求：每次供应时向监狱提供加盖公章的货物清单（送货单）】，并负责装卸，装卸运输费由响应供应商承担。供货时随带供货清单，清单应标明货物名称、规格、数量、单价及总价，经采购人指定人员验货合格后，采购人出具收货凭证。（2）响应供应商供应过程中必须遵守采购人生活卫生管理部门制定的相关规定。同时，所供应货物必须符合《中华人民共和国食品卫生法》等规定，严禁劣质、变质及过期物品流入狱内，如出现违法、违规问题由响应供应商承担责任。 </w:t>
      </w:r>
    </w:p>
    <w:p w14:paraId="27718105">
      <w:pPr>
        <w:numPr>
          <w:ilvl w:val="0"/>
          <w:numId w:val="0"/>
        </w:numPr>
        <w:spacing w:line="480" w:lineRule="auto"/>
        <w:ind w:leftChars="0"/>
        <w:jc w:val="left"/>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（3）响应供应商提供的所有蔬菜必须符合蔬菜类质量标准 GB18406.1-2001。响应供应商提供的肉类必须为定点屠宰企业供应，牛肉符合GB/T 17238-2008 国家标准。供应的每批次鲜片牛肉类产品均须提供肉品品质检验合格证、动物检疫合格证明、动物检验合格章、肉品品质检验章等相关证明。并能确保按具体采购合同承诺的数量、质量、价格、供货日期等及时供货。</w:t>
      </w:r>
    </w:p>
    <w:p w14:paraId="5F57983C">
      <w:pPr>
        <w:numPr>
          <w:ilvl w:val="0"/>
          <w:numId w:val="0"/>
        </w:numPr>
        <w:spacing w:line="480" w:lineRule="auto"/>
        <w:ind w:leftChars="0"/>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lang w:val="en-US" w:eastAsia="zh-CN"/>
        </w:rPr>
        <w:t xml:space="preserve">（4）食品溯源要求。供应商食品供应链必须明确，所有食品的来源必须清晰，来源应当是受到地方政府部门监管的流通市场或具有相关资质的厂家生产，食品生产企业必须获得工业产品生产许可证（QS），生产食品的源头与供应商要有固定的合法的供应关系。供应商应保存以下资料：①、供应商与生产企业的销售合同（或和各类供应商签订的长期定点供货协议）；②、生产企业的送货单和销售发票；③、供应商与采购人的采购合同及送货单据、销售发票。以备供货时查验。 </w:t>
      </w:r>
    </w:p>
    <w:p w14:paraId="424EB80D">
      <w:pPr>
        <w:numPr>
          <w:ilvl w:val="0"/>
          <w:numId w:val="0"/>
        </w:numPr>
        <w:spacing w:line="480" w:lineRule="auto"/>
        <w:ind w:leftChars="0"/>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lang w:val="en-US" w:eastAsia="zh-CN"/>
        </w:rPr>
        <w:t>（5）响应供应商必须按采购人下达的日采购货物清单计划，按时按质按量送货，以确保正常运行，供应商不得以市场上没有或缺货的借口不供货或以其他货物替代。更不得出现市场有货等任何因素不供货，否则没收履约保证金，情节严重的终止合同，同时赔偿造成的一切损失，最高不超过合同价的 10%。</w:t>
      </w:r>
    </w:p>
    <w:p w14:paraId="34C92886">
      <w:pPr>
        <w:numPr>
          <w:ilvl w:val="0"/>
          <w:numId w:val="0"/>
        </w:numPr>
        <w:spacing w:line="480" w:lineRule="auto"/>
        <w:ind w:leftChars="0"/>
        <w:jc w:val="left"/>
        <w:rPr>
          <w:rFonts w:hint="eastAsia"/>
          <w:highlight w:val="none"/>
          <w:lang w:val="en-US" w:eastAsia="zh-CN"/>
        </w:rPr>
      </w:pPr>
      <w:r>
        <w:rPr>
          <w:rFonts w:hint="eastAsia" w:ascii="宋体" w:hAnsi="宋体" w:eastAsia="宋体" w:cs="宋体"/>
          <w:color w:val="auto"/>
          <w:sz w:val="24"/>
          <w:highlight w:val="none"/>
          <w:lang w:val="en-US" w:eastAsia="zh-CN"/>
        </w:rPr>
        <w:t>（6）日常配送时间及要求：采购人下达采购日清单后，中标方在每日的上午北京时间  8：00 至 8:30 之间将采购日清单内的货物送达采购人指定地点；中标方必须按规定的时间准时将货物配送到采购人指定处验收。中标方如因特殊原因（除不可抗拒的地震、洪水、冰灾等自然灾害因素除外）。不能在规定时间内配送的，中标方应在接到订单后 2 小时内及时通知采购人，并及时与采购人协商提出可行的供货方案。如因中标方原因不与采购人协商供货方案，导致不能正常供货，影响采购人正常用餐，给采购人造成的损失和社会影响，中标方承担相应经济赔偿和法律责任。采购人有权采取应急处理方案，委托市场其他供货商应急配送，发生的费用由中标方承担。</w:t>
      </w:r>
      <w:r>
        <w:rPr>
          <w:rFonts w:hint="eastAsia" w:ascii="宋体" w:hAnsi="宋体" w:eastAsia="宋体" w:cs="宋体"/>
          <w:color w:val="auto"/>
          <w:sz w:val="24"/>
          <w:highlight w:val="none"/>
        </w:rPr>
        <w:t>采购人临时增加所需原材料品种，将提前3小时通知</w:t>
      </w:r>
      <w:r>
        <w:rPr>
          <w:rFonts w:hint="eastAsia" w:ascii="宋体" w:hAnsi="宋体" w:eastAsia="宋体" w:cs="宋体"/>
          <w:color w:val="auto"/>
          <w:sz w:val="24"/>
          <w:highlight w:val="none"/>
          <w:lang w:eastAsia="zh-CN"/>
        </w:rPr>
        <w:t>响应供应商</w:t>
      </w:r>
      <w:r>
        <w:rPr>
          <w:rFonts w:hint="eastAsia" w:ascii="宋体" w:hAnsi="宋体" w:eastAsia="宋体" w:cs="宋体"/>
          <w:color w:val="auto"/>
          <w:sz w:val="24"/>
          <w:highlight w:val="none"/>
        </w:rPr>
        <w:t>，中标人有义务在</w:t>
      </w:r>
      <w:r>
        <w:rPr>
          <w:rFonts w:hint="eastAsia" w:ascii="宋体" w:hAnsi="宋体" w:eastAsia="宋体" w:cs="宋体"/>
          <w:color w:val="auto"/>
          <w:sz w:val="24"/>
          <w:highlight w:val="none"/>
          <w:lang w:val="en-US" w:eastAsia="zh-CN"/>
        </w:rPr>
        <w:t>2小时</w:t>
      </w:r>
      <w:r>
        <w:rPr>
          <w:rFonts w:hint="eastAsia" w:ascii="宋体" w:hAnsi="宋体" w:eastAsia="宋体" w:cs="宋体"/>
          <w:color w:val="auto"/>
          <w:sz w:val="24"/>
          <w:highlight w:val="none"/>
        </w:rPr>
        <w:t xml:space="preserve">内配送到位。 </w:t>
      </w:r>
    </w:p>
    <w:p w14:paraId="06C2218E">
      <w:pPr>
        <w:numPr>
          <w:ilvl w:val="0"/>
          <w:numId w:val="0"/>
        </w:numPr>
        <w:spacing w:line="480" w:lineRule="auto"/>
        <w:ind w:leftChars="0"/>
        <w:jc w:val="left"/>
        <w:rPr>
          <w:rFonts w:hint="eastAsia" w:ascii="宋体" w:hAnsi="宋体" w:eastAsia="宋体" w:cs="宋体"/>
          <w:color w:val="auto"/>
          <w:sz w:val="24"/>
          <w:highlight w:val="none"/>
        </w:rPr>
      </w:pPr>
    </w:p>
    <w:p w14:paraId="71D3D761">
      <w:pPr>
        <w:numPr>
          <w:ilvl w:val="0"/>
          <w:numId w:val="0"/>
        </w:numPr>
        <w:spacing w:line="480" w:lineRule="auto"/>
        <w:ind w:leftChars="0"/>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lang w:val="en-US" w:eastAsia="zh-CN"/>
        </w:rPr>
        <w:t xml:space="preserve">（7）货品质量及数量要求：响应供应商应保证按采购人下达的日采购货物清单计划发货。 货品质量按国家标准及磋商文件要求执行，货物价格表随货同行，如货品发现质量问题,采购人有权要求退、换货。并扣除本批次货款的5%用于弥补因退、换货给采购人正常用餐造成的影响。采购人现场验收货物，当面点清货物数量，由双方签字确认，月底按实际接收货物的名称、数量及单价结算。 </w:t>
      </w:r>
    </w:p>
    <w:p w14:paraId="74B6BF47">
      <w:pPr>
        <w:numPr>
          <w:ilvl w:val="0"/>
          <w:numId w:val="0"/>
        </w:numPr>
        <w:spacing w:line="480" w:lineRule="auto"/>
        <w:ind w:leftChars="0"/>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lang w:val="en-US" w:eastAsia="zh-CN"/>
        </w:rPr>
        <w:t xml:space="preserve">（8）如果由于战争、严重火灾、水灾、冰灾、台风和地震以及其它经双方同意属于不可抗力的事故，可能致使合同履行受阻，卖方应根据买方的要求，对以上不可抗力的预期进行提前供货，备足不可抗拒因素期间采购人所需的货物。 </w:t>
      </w:r>
    </w:p>
    <w:p w14:paraId="2BECD919">
      <w:pPr>
        <w:numPr>
          <w:ilvl w:val="0"/>
          <w:numId w:val="0"/>
        </w:numPr>
        <w:spacing w:line="480" w:lineRule="auto"/>
        <w:ind w:leftChars="0"/>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lang w:val="en-US" w:eastAsia="zh-CN"/>
        </w:rPr>
        <w:t xml:space="preserve">（9）为遵守合同的法律性，中标方与招标人签订合同时必须为该公司的法人或委托代理人。 </w:t>
      </w:r>
    </w:p>
    <w:p w14:paraId="5A3AF3C4">
      <w:pPr>
        <w:numPr>
          <w:ilvl w:val="0"/>
          <w:numId w:val="0"/>
        </w:numPr>
        <w:spacing w:line="360" w:lineRule="auto"/>
        <w:ind w:leftChars="0"/>
        <w:jc w:val="left"/>
        <w:outlineLvl w:val="9"/>
        <w:rPr>
          <w:rFonts w:hint="eastAsia" w:ascii="宋体" w:hAnsi="宋体"/>
          <w:color w:val="auto"/>
          <w:sz w:val="24"/>
          <w:highlight w:val="none"/>
          <w:lang w:val="en-US" w:eastAsia="zh-CN"/>
        </w:rPr>
      </w:pPr>
      <w:r>
        <w:rPr>
          <w:rFonts w:hint="eastAsia" w:ascii="宋体" w:hAnsi="宋体"/>
          <w:color w:val="auto"/>
          <w:sz w:val="24"/>
          <w:highlight w:val="none"/>
          <w:lang w:val="en-US" w:eastAsia="zh-CN"/>
        </w:rPr>
        <w:t>（10）为本项目配备至少 2 名配送人员并具有有效的健康合格证。</w:t>
      </w:r>
    </w:p>
    <w:p w14:paraId="6227CC89">
      <w:pPr>
        <w:numPr>
          <w:ilvl w:val="0"/>
          <w:numId w:val="3"/>
        </w:numPr>
        <w:spacing w:line="360" w:lineRule="auto"/>
        <w:ind w:leftChars="0"/>
        <w:jc w:val="left"/>
        <w:outlineLvl w:val="9"/>
        <w:rPr>
          <w:rFonts w:hint="eastAsia" w:ascii="宋体" w:hAnsi="宋体"/>
          <w:color w:val="auto"/>
          <w:sz w:val="24"/>
          <w:highlight w:val="none"/>
          <w:lang w:val="en-US" w:eastAsia="zh-CN"/>
        </w:rPr>
      </w:pPr>
      <w:r>
        <w:rPr>
          <w:rFonts w:hint="eastAsia" w:ascii="宋体" w:hAnsi="宋体"/>
          <w:color w:val="auto"/>
          <w:sz w:val="24"/>
          <w:highlight w:val="none"/>
          <w:lang w:val="en-US" w:eastAsia="zh-CN"/>
        </w:rPr>
        <w:t>配送能力 ：为保证货品供应的准确及时高效，投标人配备符合标准的面包车或箱式货车不少于 1 辆（每年3-11月份需配备冷冻保鲜车运输）。</w:t>
      </w:r>
    </w:p>
    <w:p w14:paraId="2452E835">
      <w:pPr>
        <w:numPr>
          <w:ilvl w:val="0"/>
          <w:numId w:val="3"/>
        </w:numPr>
        <w:spacing w:line="360" w:lineRule="auto"/>
        <w:ind w:leftChars="0"/>
        <w:jc w:val="left"/>
        <w:outlineLvl w:val="9"/>
        <w:rPr>
          <w:rFonts w:hint="default" w:ascii="宋体" w:hAnsi="宋体"/>
          <w:color w:val="FF0000"/>
          <w:sz w:val="24"/>
          <w:highlight w:val="none"/>
          <w:lang w:val="en-US" w:eastAsia="zh-CN"/>
        </w:rPr>
      </w:pPr>
      <w:r>
        <w:rPr>
          <w:rFonts w:hint="eastAsia" w:ascii="宋体" w:hAnsi="宋体"/>
          <w:color w:val="auto"/>
          <w:sz w:val="24"/>
          <w:highlight w:val="none"/>
          <w:lang w:val="en-US" w:eastAsia="zh-CN"/>
        </w:rPr>
        <w:t>为本项目配备仓库总面积不少于80㎡，含冷库面积且冷库面积不少于30㎡。</w:t>
      </w:r>
    </w:p>
    <w:p w14:paraId="6E661563">
      <w:pPr>
        <w:pageBreakBefore w:val="0"/>
        <w:widowControl w:val="0"/>
        <w:wordWrap/>
        <w:overflowPunct/>
        <w:topLinePunct w:val="0"/>
        <w:bidi w:val="0"/>
        <w:spacing w:line="245" w:lineRule="auto"/>
        <w:rPr>
          <w:color w:val="auto"/>
          <w:highlight w:val="none"/>
          <w:lang w:eastAsia="zh-CN"/>
        </w:rPr>
      </w:pPr>
    </w:p>
    <w:p w14:paraId="69310E55">
      <w:pPr>
        <w:pageBreakBefore w:val="0"/>
        <w:widowControl w:val="0"/>
        <w:wordWrap/>
        <w:overflowPunct/>
        <w:topLinePunct w:val="0"/>
        <w:bidi w:val="0"/>
        <w:spacing w:line="245" w:lineRule="auto"/>
        <w:rPr>
          <w:color w:val="auto"/>
          <w:highlight w:val="none"/>
          <w:lang w:eastAsia="zh-CN"/>
        </w:rPr>
      </w:pPr>
    </w:p>
    <w:p w14:paraId="16E654AD">
      <w:pPr>
        <w:pageBreakBefore w:val="0"/>
        <w:widowControl w:val="0"/>
        <w:numPr>
          <w:ilvl w:val="0"/>
          <w:numId w:val="0"/>
        </w:numPr>
        <w:wordWrap/>
        <w:overflowPunct/>
        <w:topLinePunct w:val="0"/>
        <w:bidi w:val="0"/>
        <w:spacing w:before="47" w:line="219" w:lineRule="auto"/>
        <w:ind w:leftChars="0"/>
        <w:outlineLvl w:val="1"/>
        <w:rPr>
          <w:rFonts w:hint="eastAsia" w:ascii="宋体" w:hAnsi="宋体" w:eastAsia="宋体" w:cs="宋体"/>
          <w:color w:val="auto"/>
          <w:spacing w:val="-2"/>
          <w:sz w:val="28"/>
          <w:szCs w:val="28"/>
          <w:highlight w:val="none"/>
          <w:lang w:val="en-US" w:eastAsia="zh-CN"/>
          <w14:textOutline w14:w="4356" w14:cap="sq" w14:cmpd="sng" w14:algn="ctr">
            <w14:solidFill>
              <w14:srgbClr w14:val="000000"/>
            </w14:solidFill>
            <w14:prstDash w14:val="solid"/>
            <w14:bevel/>
          </w14:textOutline>
        </w:rPr>
      </w:pPr>
    </w:p>
    <w:p w14:paraId="3C7DF18B">
      <w:pPr>
        <w:pageBreakBefore w:val="0"/>
        <w:widowControl w:val="0"/>
        <w:numPr>
          <w:ilvl w:val="0"/>
          <w:numId w:val="0"/>
        </w:numPr>
        <w:wordWrap/>
        <w:overflowPunct/>
        <w:topLinePunct w:val="0"/>
        <w:bidi w:val="0"/>
        <w:spacing w:before="47" w:line="219" w:lineRule="auto"/>
        <w:ind w:leftChars="0"/>
        <w:outlineLvl w:val="1"/>
        <w:rPr>
          <w:rFonts w:ascii="宋体" w:hAnsi="宋体" w:eastAsia="宋体" w:cs="宋体"/>
          <w:color w:val="auto"/>
          <w:spacing w:val="-2"/>
          <w:sz w:val="28"/>
          <w:szCs w:val="28"/>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2"/>
          <w:sz w:val="28"/>
          <w:szCs w:val="28"/>
          <w:highlight w:val="none"/>
          <w:lang w:val="en-US" w:eastAsia="zh-CN"/>
          <w14:textOutline w14:w="4356" w14:cap="sq" w14:cmpd="sng" w14:algn="ctr">
            <w14:solidFill>
              <w14:srgbClr w14:val="000000"/>
            </w14:solidFill>
            <w14:prstDash w14:val="solid"/>
            <w14:bevel/>
          </w14:textOutline>
        </w:rPr>
        <w:t>三、</w:t>
      </w:r>
      <w:r>
        <w:rPr>
          <w:rFonts w:ascii="宋体" w:hAnsi="宋体" w:eastAsia="宋体" w:cs="宋体"/>
          <w:color w:val="auto"/>
          <w:spacing w:val="-2"/>
          <w:sz w:val="28"/>
          <w:szCs w:val="28"/>
          <w:highlight w:val="none"/>
          <w:lang w:eastAsia="zh-CN"/>
          <w14:textOutline w14:w="4356" w14:cap="sq" w14:cmpd="sng" w14:algn="ctr">
            <w14:solidFill>
              <w14:srgbClr w14:val="000000"/>
            </w14:solidFill>
            <w14:prstDash w14:val="solid"/>
            <w14:bevel/>
          </w14:textOutline>
        </w:rPr>
        <w:t>商务条件</w:t>
      </w:r>
    </w:p>
    <w:p w14:paraId="61AB2D88">
      <w:pPr>
        <w:spacing w:before="278" w:line="360" w:lineRule="auto"/>
        <w:ind w:left="8" w:firstLine="12"/>
        <w:rPr>
          <w:rFonts w:hint="eastAsia" w:ascii="宋体" w:hAnsi="宋体" w:eastAsia="宋体" w:cs="宋体"/>
          <w:spacing w:val="-1"/>
          <w:sz w:val="24"/>
          <w:szCs w:val="24"/>
        </w:rPr>
      </w:pPr>
      <w:r>
        <w:rPr>
          <w:rFonts w:hint="eastAsia" w:ascii="宋体" w:hAnsi="宋体" w:eastAsia="宋体" w:cs="宋体"/>
          <w:spacing w:val="-5"/>
          <w:sz w:val="24"/>
          <w:szCs w:val="24"/>
        </w:rPr>
        <w:t>1、付款方式：采购人采用按月据实审核结算清单后报付，成交人提交相关凭据（包括：送货</w:t>
      </w:r>
      <w:r>
        <w:rPr>
          <w:rFonts w:hint="eastAsia" w:ascii="宋体" w:hAnsi="宋体" w:eastAsia="宋体" w:cs="宋体"/>
          <w:spacing w:val="-6"/>
          <w:sz w:val="24"/>
          <w:szCs w:val="24"/>
        </w:rPr>
        <w:t>单、</w:t>
      </w:r>
      <w:r>
        <w:rPr>
          <w:rFonts w:hint="eastAsia" w:ascii="宋体" w:hAnsi="宋体" w:eastAsia="宋体" w:cs="宋体"/>
          <w:spacing w:val="-1"/>
          <w:sz w:val="24"/>
          <w:szCs w:val="24"/>
        </w:rPr>
        <w:t>采购人的验收入库收据、正式发票等）进行月结，核实无误后</w:t>
      </w:r>
      <w:r>
        <w:rPr>
          <w:rFonts w:hint="eastAsia" w:ascii="宋体" w:hAnsi="宋体" w:eastAsia="宋体" w:cs="宋体"/>
          <w:spacing w:val="-2"/>
          <w:sz w:val="24"/>
          <w:szCs w:val="24"/>
        </w:rPr>
        <w:t>支付货款。</w:t>
      </w:r>
      <w:r>
        <w:rPr>
          <w:rFonts w:hint="eastAsia" w:ascii="宋体" w:hAnsi="宋体" w:eastAsia="宋体" w:cs="宋体"/>
          <w:b w:val="0"/>
          <w:bCs w:val="0"/>
          <w:spacing w:val="-2"/>
          <w:sz w:val="24"/>
          <w:szCs w:val="24"/>
        </w:rPr>
        <w:t>结算价格由甲方食堂</w:t>
      </w:r>
      <w:r>
        <w:rPr>
          <w:rFonts w:hint="eastAsia" w:ascii="宋体" w:hAnsi="宋体" w:eastAsia="宋体" w:cs="宋体"/>
          <w:b w:val="0"/>
          <w:bCs w:val="0"/>
          <w:spacing w:val="-1"/>
          <w:sz w:val="24"/>
          <w:szCs w:val="24"/>
        </w:rPr>
        <w:t>管理员、乙方代表、甲方监督员，每月初随机抽</w:t>
      </w:r>
      <w:r>
        <w:rPr>
          <w:rFonts w:hint="eastAsia" w:ascii="宋体" w:hAnsi="宋体" w:eastAsia="宋体" w:cs="宋体"/>
          <w:b w:val="0"/>
          <w:bCs w:val="0"/>
          <w:spacing w:val="-1"/>
          <w:sz w:val="24"/>
          <w:szCs w:val="24"/>
          <w:highlight w:val="none"/>
        </w:rPr>
        <w:t>取三家超市或</w:t>
      </w:r>
      <w:r>
        <w:rPr>
          <w:rFonts w:hint="eastAsia" w:ascii="宋体" w:hAnsi="宋体" w:eastAsia="宋体" w:cs="宋体"/>
          <w:b w:val="0"/>
          <w:bCs w:val="0"/>
          <w:spacing w:val="-1"/>
          <w:sz w:val="24"/>
          <w:szCs w:val="24"/>
        </w:rPr>
        <w:t>菜场进行询价取平均值作为当月菜品配送价格；价格应按当月菜品配送价格配送,不得高</w:t>
      </w:r>
      <w:r>
        <w:rPr>
          <w:rFonts w:hint="eastAsia" w:ascii="宋体" w:hAnsi="宋体" w:eastAsia="宋体" w:cs="宋体"/>
          <w:b w:val="0"/>
          <w:bCs w:val="0"/>
          <w:color w:val="auto"/>
          <w:spacing w:val="-1"/>
          <w:sz w:val="24"/>
          <w:szCs w:val="24"/>
          <w:highlight w:val="none"/>
        </w:rPr>
        <w:t>于询价</w:t>
      </w:r>
      <w:r>
        <w:rPr>
          <w:rFonts w:hint="eastAsia" w:ascii="宋体" w:hAnsi="宋体" w:eastAsia="宋体" w:cs="宋体"/>
          <w:b w:val="0"/>
          <w:bCs w:val="0"/>
          <w:color w:val="auto"/>
          <w:spacing w:val="-1"/>
          <w:sz w:val="24"/>
          <w:szCs w:val="24"/>
          <w:highlight w:val="none"/>
          <w:lang w:val="en-US" w:eastAsia="zh-CN"/>
        </w:rPr>
        <w:t>的</w:t>
      </w:r>
      <w:r>
        <w:rPr>
          <w:rFonts w:hint="eastAsia" w:ascii="宋体" w:hAnsi="宋体" w:eastAsia="宋体" w:cs="宋体"/>
          <w:spacing w:val="-1"/>
          <w:sz w:val="24"/>
          <w:szCs w:val="24"/>
        </w:rPr>
        <w:t>市场价,违反将扣除当日货款的 7%作为处罚。</w:t>
      </w:r>
    </w:p>
    <w:p w14:paraId="303765BA">
      <w:pPr>
        <w:spacing w:before="278" w:line="360" w:lineRule="auto"/>
        <w:ind w:left="8" w:firstLine="12"/>
        <w:rPr>
          <w:rFonts w:hint="eastAsia" w:ascii="宋体" w:hAnsi="宋体" w:eastAsia="宋体" w:cs="宋体"/>
          <w:b/>
          <w:bCs/>
          <w:spacing w:val="-1"/>
          <w:sz w:val="24"/>
          <w:szCs w:val="24"/>
        </w:rPr>
      </w:pPr>
      <w:r>
        <w:rPr>
          <w:rFonts w:hint="eastAsia" w:ascii="宋体" w:hAnsi="宋体" w:eastAsia="宋体" w:cs="宋体"/>
          <w:b/>
          <w:bCs/>
          <w:spacing w:val="-1"/>
          <w:sz w:val="24"/>
          <w:szCs w:val="24"/>
        </w:rPr>
        <w:t>最终结算价=当月实际供货量×（当月菜品配送价格×中标折扣率）</w:t>
      </w:r>
    </w:p>
    <w:p w14:paraId="6AF993E4">
      <w:pPr>
        <w:spacing w:line="360" w:lineRule="auto"/>
        <w:ind w:left="5"/>
        <w:rPr>
          <w:rFonts w:hint="eastAsia" w:ascii="宋体" w:hAnsi="宋体" w:eastAsia="宋体" w:cs="宋体"/>
          <w:sz w:val="24"/>
          <w:szCs w:val="24"/>
        </w:rPr>
      </w:pPr>
      <w:r>
        <w:rPr>
          <w:rFonts w:hint="eastAsia" w:ascii="宋体" w:hAnsi="宋体" w:eastAsia="宋体" w:cs="宋体"/>
          <w:spacing w:val="-5"/>
          <w:sz w:val="24"/>
          <w:szCs w:val="24"/>
        </w:rPr>
        <w:t>2</w:t>
      </w:r>
      <w:r>
        <w:rPr>
          <w:rFonts w:hint="eastAsia" w:ascii="宋体" w:hAnsi="宋体" w:eastAsia="宋体" w:cs="宋体"/>
          <w:spacing w:val="-33"/>
          <w:sz w:val="24"/>
          <w:szCs w:val="24"/>
        </w:rPr>
        <w:t xml:space="preserve"> </w:t>
      </w:r>
      <w:r>
        <w:rPr>
          <w:rFonts w:hint="eastAsia" w:ascii="宋体" w:hAnsi="宋体" w:eastAsia="宋体" w:cs="宋体"/>
          <w:spacing w:val="-5"/>
          <w:sz w:val="24"/>
          <w:szCs w:val="24"/>
        </w:rPr>
        <w:t>、服务期限：</w:t>
      </w:r>
      <w:r>
        <w:rPr>
          <w:rFonts w:hint="eastAsia" w:ascii="宋体" w:hAnsi="宋体" w:eastAsia="宋体" w:cs="宋体"/>
          <w:spacing w:val="-72"/>
          <w:sz w:val="24"/>
          <w:szCs w:val="24"/>
        </w:rPr>
        <w:t xml:space="preserve"> </w:t>
      </w:r>
      <w:r>
        <w:rPr>
          <w:rFonts w:hint="eastAsia" w:ascii="宋体" w:hAnsi="宋体" w:eastAsia="宋体" w:cs="宋体"/>
          <w:spacing w:val="-5"/>
          <w:sz w:val="24"/>
          <w:szCs w:val="24"/>
        </w:rPr>
        <w:t>自合同签订生效之日起</w:t>
      </w:r>
      <w:r>
        <w:rPr>
          <w:rFonts w:hint="eastAsia" w:ascii="宋体" w:hAnsi="宋体" w:eastAsia="宋体" w:cs="宋体"/>
          <w:spacing w:val="-32"/>
          <w:sz w:val="24"/>
          <w:szCs w:val="24"/>
        </w:rPr>
        <w:t xml:space="preserve"> </w:t>
      </w:r>
      <w:r>
        <w:rPr>
          <w:rFonts w:hint="eastAsia" w:ascii="宋体" w:hAnsi="宋体" w:eastAsia="宋体" w:cs="宋体"/>
          <w:spacing w:val="-5"/>
          <w:sz w:val="24"/>
          <w:szCs w:val="24"/>
        </w:rPr>
        <w:t>12 个月</w:t>
      </w:r>
    </w:p>
    <w:p w14:paraId="7CC623D9">
      <w:pPr>
        <w:spacing w:before="180" w:line="360" w:lineRule="auto"/>
        <w:ind w:left="10"/>
        <w:rPr>
          <w:rFonts w:hint="eastAsia" w:ascii="宋体" w:hAnsi="宋体" w:eastAsia="宋体" w:cs="宋体"/>
          <w:sz w:val="24"/>
          <w:szCs w:val="24"/>
        </w:rPr>
      </w:pPr>
      <w:r>
        <w:rPr>
          <w:rFonts w:hint="eastAsia" w:ascii="宋体" w:hAnsi="宋体" w:eastAsia="宋体" w:cs="宋体"/>
          <w:spacing w:val="-3"/>
          <w:sz w:val="24"/>
          <w:szCs w:val="24"/>
        </w:rPr>
        <w:t>3</w:t>
      </w:r>
      <w:r>
        <w:rPr>
          <w:rFonts w:hint="eastAsia" w:ascii="宋体" w:hAnsi="宋体" w:eastAsia="宋体" w:cs="宋体"/>
          <w:spacing w:val="-29"/>
          <w:sz w:val="24"/>
          <w:szCs w:val="24"/>
        </w:rPr>
        <w:t xml:space="preserve"> </w:t>
      </w:r>
      <w:r>
        <w:rPr>
          <w:rFonts w:hint="eastAsia" w:ascii="宋体" w:hAnsi="宋体" w:eastAsia="宋体" w:cs="宋体"/>
          <w:spacing w:val="-3"/>
          <w:sz w:val="24"/>
          <w:szCs w:val="24"/>
        </w:rPr>
        <w:t>、交货地点：采购人指定地点</w:t>
      </w:r>
    </w:p>
    <w:p w14:paraId="7C4C9578">
      <w:pPr>
        <w:spacing w:before="184" w:line="360" w:lineRule="auto"/>
        <w:ind w:left="12" w:right="166" w:hanging="8"/>
        <w:rPr>
          <w:rFonts w:hint="eastAsia" w:ascii="宋体" w:hAnsi="宋体" w:eastAsia="宋体" w:cs="宋体"/>
          <w:spacing w:val="-16"/>
          <w:sz w:val="24"/>
          <w:szCs w:val="24"/>
        </w:rPr>
      </w:pPr>
      <w:r>
        <w:rPr>
          <w:rFonts w:hint="eastAsia" w:ascii="宋体" w:hAnsi="宋体" w:eastAsia="宋体" w:cs="宋体"/>
          <w:sz w:val="24"/>
          <w:szCs w:val="24"/>
        </w:rPr>
        <w:t>4</w:t>
      </w:r>
      <w:r>
        <w:rPr>
          <w:rFonts w:hint="eastAsia" w:ascii="宋体" w:hAnsi="宋体" w:eastAsia="宋体" w:cs="宋体"/>
          <w:spacing w:val="-33"/>
          <w:sz w:val="24"/>
          <w:szCs w:val="24"/>
        </w:rPr>
        <w:t xml:space="preserve"> </w:t>
      </w:r>
      <w:r>
        <w:rPr>
          <w:rFonts w:hint="eastAsia" w:ascii="宋体" w:hAnsi="宋体" w:eastAsia="宋体" w:cs="宋体"/>
          <w:sz w:val="24"/>
          <w:szCs w:val="24"/>
        </w:rPr>
        <w:t>、货物验收</w:t>
      </w:r>
      <w:r>
        <w:rPr>
          <w:rFonts w:hint="eastAsia" w:ascii="宋体" w:hAnsi="宋体" w:eastAsia="宋体" w:cs="宋体"/>
          <w:spacing w:val="-16"/>
          <w:sz w:val="24"/>
          <w:szCs w:val="24"/>
        </w:rPr>
        <w:t>：</w:t>
      </w:r>
    </w:p>
    <w:p w14:paraId="00B85A86">
      <w:pPr>
        <w:spacing w:before="184" w:line="360" w:lineRule="auto"/>
        <w:ind w:left="12" w:right="166" w:hanging="8"/>
        <w:rPr>
          <w:rFonts w:hint="eastAsia" w:ascii="宋体" w:hAnsi="宋体" w:eastAsia="宋体" w:cs="宋体"/>
          <w:sz w:val="24"/>
          <w:szCs w:val="24"/>
        </w:rPr>
      </w:pPr>
      <w:r>
        <w:rPr>
          <w:rFonts w:hint="eastAsia" w:ascii="宋体" w:hAnsi="宋体" w:eastAsia="宋体" w:cs="宋体"/>
          <w:spacing w:val="-16"/>
          <w:sz w:val="24"/>
          <w:szCs w:val="24"/>
        </w:rPr>
        <w:t>（</w:t>
      </w:r>
      <w:r>
        <w:rPr>
          <w:rFonts w:hint="eastAsia" w:ascii="宋体" w:hAnsi="宋体" w:eastAsia="宋体" w:cs="宋体"/>
          <w:sz w:val="24"/>
          <w:szCs w:val="24"/>
        </w:rPr>
        <w:t>1）中标人所供应货物必须送到采购指定地点验收，经双方经办人员清点验收</w:t>
      </w:r>
      <w:r>
        <w:rPr>
          <w:rFonts w:hint="eastAsia" w:ascii="宋体" w:hAnsi="宋体" w:eastAsia="宋体" w:cs="宋体"/>
          <w:spacing w:val="-1"/>
          <w:sz w:val="24"/>
          <w:szCs w:val="24"/>
        </w:rPr>
        <w:t>核对无误后，由采购人负责签收。无验收商品，采购人一律不予以付款。</w:t>
      </w:r>
    </w:p>
    <w:p w14:paraId="1FFB7631">
      <w:pPr>
        <w:spacing w:before="181" w:line="360" w:lineRule="auto"/>
        <w:ind w:left="9" w:right="80" w:firstLine="11"/>
        <w:rPr>
          <w:rFonts w:hint="eastAsia" w:ascii="宋体" w:hAnsi="宋体" w:eastAsia="宋体" w:cs="宋体"/>
          <w:b w:val="0"/>
          <w:snapToGrid w:val="0"/>
          <w:color w:val="000000"/>
          <w:kern w:val="0"/>
          <w:sz w:val="24"/>
          <w:szCs w:val="24"/>
          <w:lang w:val="en-US" w:eastAsia="en-US" w:bidi="ar-SA"/>
        </w:rPr>
      </w:pPr>
      <w:r>
        <w:rPr>
          <w:rFonts w:hint="eastAsia" w:ascii="宋体" w:hAnsi="宋体" w:eastAsia="宋体" w:cs="宋体"/>
          <w:b w:val="0"/>
          <w:snapToGrid w:val="0"/>
          <w:color w:val="000000"/>
          <w:kern w:val="0"/>
          <w:sz w:val="24"/>
          <w:szCs w:val="24"/>
          <w:lang w:val="en-US" w:eastAsia="en-US" w:bidi="ar-SA"/>
        </w:rPr>
        <w:t>（2）验收内容包括：数量、质量等，对不符合要求的采购人有权提出拒收、退货、更换或补足。</w:t>
      </w:r>
    </w:p>
    <w:p w14:paraId="1DB2671D">
      <w:pPr>
        <w:spacing w:before="181" w:line="360" w:lineRule="auto"/>
        <w:ind w:left="9" w:right="80" w:firstLine="11"/>
        <w:rPr>
          <w:rFonts w:hint="eastAsia" w:ascii="宋体" w:hAnsi="宋体" w:eastAsia="宋体" w:cs="宋体"/>
          <w:b w:val="0"/>
          <w:snapToGrid w:val="0"/>
          <w:color w:val="auto"/>
          <w:kern w:val="0"/>
          <w:sz w:val="24"/>
          <w:szCs w:val="24"/>
          <w:lang w:val="en-US" w:eastAsia="en-US" w:bidi="ar-SA"/>
        </w:rPr>
      </w:pPr>
      <w:r>
        <w:rPr>
          <w:rFonts w:hint="eastAsia" w:ascii="宋体" w:hAnsi="宋体" w:eastAsia="宋体" w:cs="宋体"/>
          <w:color w:val="auto"/>
          <w:spacing w:val="-1"/>
          <w:sz w:val="24"/>
          <w:szCs w:val="24"/>
        </w:rPr>
        <w:t>（3）</w:t>
      </w:r>
      <w:r>
        <w:rPr>
          <w:rFonts w:hint="eastAsia" w:ascii="宋体" w:hAnsi="宋体" w:eastAsia="宋体" w:cs="宋体"/>
          <w:b w:val="0"/>
          <w:snapToGrid w:val="0"/>
          <w:color w:val="auto"/>
          <w:kern w:val="0"/>
          <w:sz w:val="24"/>
          <w:szCs w:val="24"/>
          <w:lang w:val="en-US" w:eastAsia="en-US" w:bidi="ar-SA"/>
        </w:rPr>
        <w:t>供应商首次供应时应提供</w:t>
      </w:r>
      <w:r>
        <w:rPr>
          <w:rFonts w:hint="eastAsia" w:ascii="宋体" w:hAnsi="宋体" w:eastAsia="宋体" w:cs="宋体"/>
          <w:b w:val="0"/>
          <w:snapToGrid w:val="0"/>
          <w:color w:val="auto"/>
          <w:kern w:val="0"/>
          <w:sz w:val="24"/>
          <w:szCs w:val="24"/>
          <w:lang w:val="en-US" w:eastAsia="zh-CN" w:bidi="ar-SA"/>
        </w:rPr>
        <w:t>与</w:t>
      </w:r>
      <w:r>
        <w:rPr>
          <w:rFonts w:hint="eastAsia" w:ascii="宋体" w:hAnsi="宋体" w:eastAsia="宋体" w:cs="宋体"/>
          <w:b w:val="0"/>
          <w:snapToGrid w:val="0"/>
          <w:color w:val="auto"/>
          <w:kern w:val="0"/>
          <w:sz w:val="24"/>
          <w:szCs w:val="24"/>
          <w:lang w:val="en-US" w:eastAsia="en-US" w:bidi="ar-SA"/>
        </w:rPr>
        <w:t>本项目采购货物相应的；《动物防疫条件合格证》、《定点屠宰证》等证照加盖公章的复印件给予监狱存档备案。</w:t>
      </w:r>
    </w:p>
    <w:p w14:paraId="1186F451">
      <w:pPr>
        <w:spacing w:before="181" w:line="360" w:lineRule="auto"/>
        <w:ind w:left="9" w:right="80" w:firstLine="11"/>
        <w:rPr>
          <w:rFonts w:hint="eastAsia" w:ascii="宋体" w:hAnsi="宋体" w:eastAsia="宋体" w:cs="宋体"/>
          <w:sz w:val="24"/>
          <w:szCs w:val="24"/>
        </w:rPr>
      </w:pPr>
      <w:r>
        <w:rPr>
          <w:rFonts w:hint="eastAsia" w:ascii="宋体" w:hAnsi="宋体" w:eastAsia="宋体" w:cs="宋体"/>
          <w:spacing w:val="-1"/>
          <w:sz w:val="24"/>
          <w:szCs w:val="24"/>
        </w:rPr>
        <w:t>（4）验收过程中，如发现中标人实际不具备供货条件，或所供</w:t>
      </w:r>
      <w:r>
        <w:rPr>
          <w:rFonts w:hint="eastAsia" w:ascii="宋体" w:hAnsi="宋体" w:eastAsia="宋体" w:cs="宋体"/>
          <w:spacing w:val="-2"/>
          <w:sz w:val="24"/>
          <w:szCs w:val="24"/>
        </w:rPr>
        <w:t>应产品不符合条款规定的相关质</w:t>
      </w:r>
      <w:r>
        <w:rPr>
          <w:rFonts w:hint="eastAsia" w:ascii="宋体" w:hAnsi="宋体" w:eastAsia="宋体" w:cs="宋体"/>
          <w:spacing w:val="-1"/>
          <w:sz w:val="24"/>
          <w:szCs w:val="24"/>
        </w:rPr>
        <w:t>量要求，采购人可终止与中标人合作，采购人承担任何责任。</w:t>
      </w:r>
    </w:p>
    <w:p w14:paraId="49572795">
      <w:pPr>
        <w:spacing w:before="2" w:line="360" w:lineRule="auto"/>
        <w:ind w:left="10" w:right="80" w:firstLine="10"/>
        <w:rPr>
          <w:rFonts w:hint="eastAsia" w:ascii="宋体" w:hAnsi="宋体" w:eastAsia="宋体" w:cs="宋体"/>
          <w:sz w:val="24"/>
          <w:szCs w:val="24"/>
        </w:rPr>
      </w:pPr>
      <w:r>
        <w:rPr>
          <w:rFonts w:hint="eastAsia" w:ascii="宋体" w:hAnsi="宋体" w:eastAsia="宋体" w:cs="宋体"/>
          <w:spacing w:val="-1"/>
          <w:sz w:val="24"/>
          <w:szCs w:val="24"/>
        </w:rPr>
        <w:t>（5）在供货期间，根据采购人或相关国家质量监督检验部门的</w:t>
      </w:r>
      <w:r>
        <w:rPr>
          <w:rFonts w:hint="eastAsia" w:ascii="宋体" w:hAnsi="宋体" w:eastAsia="宋体" w:cs="宋体"/>
          <w:spacing w:val="-2"/>
          <w:sz w:val="24"/>
          <w:szCs w:val="24"/>
        </w:rPr>
        <w:t>检验结果，如发现货物的质量或</w:t>
      </w:r>
      <w:r>
        <w:rPr>
          <w:rFonts w:hint="eastAsia" w:ascii="宋体" w:hAnsi="宋体" w:eastAsia="宋体" w:cs="宋体"/>
          <w:sz w:val="24"/>
          <w:szCs w:val="24"/>
        </w:rPr>
        <w:t>规格与合同要求不符，或货物被证实使用不合适的材料，采购人或</w:t>
      </w:r>
      <w:r>
        <w:rPr>
          <w:rFonts w:hint="eastAsia" w:ascii="宋体" w:hAnsi="宋体" w:eastAsia="宋体" w:cs="宋体"/>
          <w:spacing w:val="-1"/>
          <w:sz w:val="24"/>
          <w:szCs w:val="24"/>
        </w:rPr>
        <w:t>使用单位有权向中标人提出索赔并要求退货或换货，中标人承担由此产生的一切费用及后果。</w:t>
      </w:r>
    </w:p>
    <w:p w14:paraId="05E82241">
      <w:pPr>
        <w:spacing w:line="360" w:lineRule="auto"/>
        <w:ind w:left="9" w:right="80" w:firstLine="11"/>
        <w:rPr>
          <w:rFonts w:hint="eastAsia" w:ascii="宋体" w:hAnsi="宋体" w:eastAsia="宋体" w:cs="宋体"/>
          <w:sz w:val="24"/>
          <w:szCs w:val="24"/>
        </w:rPr>
      </w:pPr>
      <w:r>
        <w:rPr>
          <w:rFonts w:hint="eastAsia" w:ascii="宋体" w:hAnsi="宋体" w:eastAsia="宋体" w:cs="宋体"/>
          <w:spacing w:val="-1"/>
          <w:sz w:val="24"/>
          <w:szCs w:val="24"/>
        </w:rPr>
        <w:t>（</w:t>
      </w:r>
      <w:r>
        <w:rPr>
          <w:rFonts w:hint="eastAsia" w:ascii="宋体" w:hAnsi="宋体" w:eastAsia="宋体" w:cs="宋体"/>
          <w:spacing w:val="-1"/>
          <w:sz w:val="24"/>
          <w:szCs w:val="24"/>
          <w:lang w:val="en-US" w:eastAsia="zh-CN"/>
        </w:rPr>
        <w:t>6</w:t>
      </w:r>
      <w:r>
        <w:rPr>
          <w:rFonts w:hint="eastAsia" w:ascii="宋体" w:hAnsi="宋体" w:eastAsia="宋体" w:cs="宋体"/>
          <w:spacing w:val="-1"/>
          <w:sz w:val="24"/>
          <w:szCs w:val="24"/>
        </w:rPr>
        <w:t>）采购人对中标人提供的货物，每年至少送两批次到具有国</w:t>
      </w:r>
      <w:r>
        <w:rPr>
          <w:rFonts w:hint="eastAsia" w:ascii="宋体" w:hAnsi="宋体" w:eastAsia="宋体" w:cs="宋体"/>
          <w:spacing w:val="-2"/>
          <w:sz w:val="24"/>
          <w:szCs w:val="24"/>
        </w:rPr>
        <w:t>家认可资质的质量监测部门进行</w:t>
      </w:r>
      <w:r>
        <w:rPr>
          <w:rFonts w:hint="eastAsia" w:ascii="宋体" w:hAnsi="宋体" w:eastAsia="宋体" w:cs="宋体"/>
          <w:spacing w:val="-1"/>
          <w:sz w:val="24"/>
          <w:szCs w:val="24"/>
        </w:rPr>
        <w:t>检测，相关检测费用由中标人支付。</w:t>
      </w:r>
    </w:p>
    <w:p w14:paraId="517BC812">
      <w:pPr>
        <w:spacing w:before="78" w:line="359" w:lineRule="auto"/>
        <w:ind w:left="31" w:right="88" w:hanging="20"/>
        <w:rPr>
          <w:rFonts w:hint="eastAsia" w:ascii="宋体" w:hAnsi="宋体" w:eastAsia="宋体" w:cs="宋体"/>
          <w:sz w:val="24"/>
          <w:szCs w:val="24"/>
        </w:rPr>
      </w:pPr>
      <w:r>
        <w:rPr>
          <w:rFonts w:hint="eastAsia" w:ascii="宋体" w:hAnsi="宋体" w:eastAsia="宋体" w:cs="宋体"/>
          <w:sz w:val="24"/>
          <w:szCs w:val="24"/>
        </w:rPr>
        <w:t>5、（1）货物服务承诺中标人根据采购人实际需求计划组</w:t>
      </w:r>
      <w:r>
        <w:rPr>
          <w:rFonts w:hint="eastAsia" w:ascii="宋体" w:hAnsi="宋体" w:eastAsia="宋体" w:cs="宋体"/>
          <w:spacing w:val="-1"/>
          <w:sz w:val="24"/>
          <w:szCs w:val="24"/>
        </w:rPr>
        <w:t>织货源，按时供货，不得无故拖延送</w:t>
      </w:r>
      <w:r>
        <w:rPr>
          <w:rFonts w:hint="eastAsia" w:ascii="宋体" w:hAnsi="宋体" w:eastAsia="宋体" w:cs="宋体"/>
          <w:sz w:val="24"/>
          <w:szCs w:val="24"/>
        </w:rPr>
        <w:t>货时间，在规定时间内因未及时供货而给采购人造成的损失全部由中标</w:t>
      </w:r>
      <w:r>
        <w:rPr>
          <w:rFonts w:hint="eastAsia" w:ascii="宋体" w:hAnsi="宋体" w:eastAsia="宋体" w:cs="宋体"/>
          <w:spacing w:val="-1"/>
          <w:sz w:val="24"/>
          <w:szCs w:val="24"/>
        </w:rPr>
        <w:t>人承担。并无条件接受</w:t>
      </w:r>
      <w:r>
        <w:rPr>
          <w:rFonts w:hint="eastAsia" w:ascii="宋体" w:hAnsi="宋体" w:eastAsia="宋体" w:cs="宋体"/>
          <w:sz w:val="24"/>
          <w:szCs w:val="24"/>
        </w:rPr>
        <w:t>采购人计量和检验。所有供应的生活物资必须满足招标文件货物采购需</w:t>
      </w:r>
      <w:r>
        <w:rPr>
          <w:rFonts w:hint="eastAsia" w:ascii="宋体" w:hAnsi="宋体" w:eastAsia="宋体" w:cs="宋体"/>
          <w:spacing w:val="-1"/>
          <w:sz w:val="24"/>
          <w:szCs w:val="24"/>
        </w:rPr>
        <w:t>求质量标准，如现场验</w:t>
      </w:r>
      <w:r>
        <w:rPr>
          <w:rFonts w:hint="eastAsia" w:ascii="宋体" w:hAnsi="宋体" w:eastAsia="宋体" w:cs="宋体"/>
          <w:sz w:val="24"/>
          <w:szCs w:val="24"/>
        </w:rPr>
        <w:t>收货物时发现</w:t>
      </w:r>
      <w:r>
        <w:rPr>
          <w:rFonts w:hint="eastAsia" w:ascii="宋体" w:hAnsi="宋体" w:eastAsia="宋体" w:cs="宋体"/>
          <w:sz w:val="24"/>
          <w:szCs w:val="24"/>
          <w:highlight w:val="none"/>
        </w:rPr>
        <w:t>不符合质量标准的货物采购人不予验收；如已验收后发现</w:t>
      </w:r>
      <w:r>
        <w:rPr>
          <w:rFonts w:hint="eastAsia" w:ascii="宋体" w:hAnsi="宋体" w:eastAsia="宋体" w:cs="宋体"/>
          <w:spacing w:val="-1"/>
          <w:sz w:val="24"/>
          <w:szCs w:val="24"/>
          <w:highlight w:val="none"/>
        </w:rPr>
        <w:t>不符合质量标准的货物</w:t>
      </w:r>
      <w:r>
        <w:rPr>
          <w:rFonts w:hint="eastAsia" w:ascii="宋体" w:hAnsi="宋体" w:eastAsia="宋体" w:cs="宋体"/>
          <w:sz w:val="24"/>
          <w:szCs w:val="24"/>
          <w:highlight w:val="none"/>
        </w:rPr>
        <w:t>采购人有权予以退货，中标人必须在 2 小时内无条件更换，直至达到</w:t>
      </w:r>
      <w:r>
        <w:rPr>
          <w:rFonts w:hint="eastAsia" w:ascii="宋体" w:hAnsi="宋体" w:eastAsia="宋体" w:cs="宋体"/>
          <w:spacing w:val="-1"/>
          <w:sz w:val="24"/>
          <w:szCs w:val="24"/>
          <w:highlight w:val="none"/>
        </w:rPr>
        <w:t>标准为止；产生退货</w:t>
      </w:r>
      <w:r>
        <w:rPr>
          <w:rFonts w:hint="eastAsia" w:ascii="宋体" w:hAnsi="宋体" w:eastAsia="宋体" w:cs="宋体"/>
          <w:sz w:val="24"/>
          <w:szCs w:val="24"/>
          <w:highlight w:val="none"/>
        </w:rPr>
        <w:t>、调换所产生的一切费用由中标人承担。如合同供货</w:t>
      </w:r>
      <w:r>
        <w:rPr>
          <w:rFonts w:hint="eastAsia" w:ascii="宋体" w:hAnsi="宋体" w:eastAsia="宋体" w:cs="宋体"/>
          <w:sz w:val="24"/>
          <w:szCs w:val="24"/>
        </w:rPr>
        <w:t>期内累计出现三次退货或调换的情况，给予中标人扣除履约保证金金额 1%的处罚，采购人有权取消其供货资格。</w:t>
      </w:r>
    </w:p>
    <w:p w14:paraId="5380432A">
      <w:pPr>
        <w:pStyle w:val="9"/>
        <w:numPr>
          <w:ilvl w:val="4"/>
          <w:numId w:val="0"/>
        </w:numPr>
        <w:ind w:leftChars="0"/>
        <w:rPr>
          <w:rFonts w:hint="eastAsia" w:ascii="宋体" w:hAnsi="宋体" w:eastAsia="宋体" w:cs="宋体"/>
          <w:b w:val="0"/>
          <w:snapToGrid w:val="0"/>
          <w:color w:val="000000"/>
          <w:kern w:val="0"/>
          <w:sz w:val="24"/>
          <w:szCs w:val="24"/>
          <w:lang w:val="en-US" w:eastAsia="zh-CN" w:bidi="ar-SA"/>
        </w:rPr>
      </w:pPr>
      <w:r>
        <w:rPr>
          <w:rFonts w:hint="eastAsia" w:ascii="宋体" w:hAnsi="宋体" w:eastAsia="宋体" w:cs="宋体"/>
          <w:b w:val="0"/>
          <w:snapToGrid w:val="0"/>
          <w:color w:val="000000"/>
          <w:kern w:val="0"/>
          <w:sz w:val="24"/>
          <w:szCs w:val="24"/>
          <w:lang w:val="en-US" w:eastAsia="en-US" w:bidi="ar-SA"/>
        </w:rPr>
        <w:t>（2）中标人所出示的各类单据必须真实有效，不得仿造，否则立即取消中标人资格。</w:t>
      </w:r>
    </w:p>
    <w:p w14:paraId="13EDB81D">
      <w:pPr>
        <w:spacing w:before="78" w:line="359" w:lineRule="auto"/>
        <w:ind w:left="31" w:right="88" w:hanging="20"/>
        <w:rPr>
          <w:rFonts w:hint="eastAsia" w:ascii="宋体" w:hAnsi="宋体" w:eastAsia="宋体" w:cs="宋体"/>
          <w:sz w:val="24"/>
          <w:szCs w:val="24"/>
        </w:rPr>
      </w:pPr>
      <w:r>
        <w:rPr>
          <w:rFonts w:hint="eastAsia" w:ascii="宋体" w:hAnsi="宋体" w:eastAsia="宋体" w:cs="宋体"/>
          <w:sz w:val="24"/>
          <w:szCs w:val="24"/>
        </w:rPr>
        <w:t>6、本项目报价以折扣率报价，响应报价应包括：货物、仓储、加工费、人工费、交通费、运输费、检测费、招标代理费以及各种税费、不可预见费及完成采购内容所需的一切费用。</w:t>
      </w:r>
    </w:p>
    <w:p w14:paraId="24D90648">
      <w:pPr>
        <w:spacing w:before="78" w:line="359" w:lineRule="auto"/>
        <w:ind w:left="31" w:right="88" w:hanging="20"/>
        <w:rPr>
          <w:rFonts w:hint="eastAsia" w:ascii="宋体" w:hAnsi="宋体" w:eastAsia="宋体" w:cs="宋体"/>
          <w:sz w:val="24"/>
          <w:szCs w:val="24"/>
        </w:rPr>
      </w:pPr>
      <w:r>
        <w:rPr>
          <w:rFonts w:hint="eastAsia" w:ascii="宋体" w:hAnsi="宋体" w:eastAsia="宋体" w:cs="宋体"/>
          <w:sz w:val="24"/>
          <w:szCs w:val="24"/>
        </w:rPr>
        <w:t>7、中标人与市看守所签订蔬菜采购及配送服务合同，一年服务期限届满之前，市看守所有权视服务满意度情况与中标人商议续签一年事宜。服务期限总共不得超过三年。</w:t>
      </w:r>
    </w:p>
    <w:p w14:paraId="1415BBDD">
      <w:pPr>
        <w:spacing w:before="78" w:line="359" w:lineRule="auto"/>
        <w:ind w:left="31" w:right="88" w:hanging="20"/>
        <w:rPr>
          <w:rFonts w:hint="default" w:ascii="宋体" w:hAnsi="宋体" w:eastAsia="宋体" w:cs="宋体"/>
          <w:b w:val="0"/>
          <w:snapToGrid w:val="0"/>
          <w:color w:val="auto"/>
          <w:kern w:val="0"/>
          <w:sz w:val="24"/>
          <w:szCs w:val="24"/>
          <w:highlight w:val="none"/>
          <w:lang w:val="en-US" w:eastAsia="en-US" w:bidi="ar-SA"/>
        </w:rPr>
      </w:pPr>
      <w:r>
        <w:rPr>
          <w:rFonts w:hint="eastAsia" w:ascii="宋体" w:hAnsi="宋体" w:eastAsia="宋体" w:cs="宋体"/>
          <w:b w:val="0"/>
          <w:snapToGrid w:val="0"/>
          <w:color w:val="auto"/>
          <w:kern w:val="0"/>
          <w:sz w:val="24"/>
          <w:szCs w:val="24"/>
          <w:highlight w:val="none"/>
          <w:lang w:val="en-US" w:eastAsia="zh-CN" w:bidi="ar-SA"/>
        </w:rPr>
        <w:t>8、食品安全责任保险：食品安全责任风险由中标供应商负责，中标供应商须购买最高赔付金额≥300万元保额，单次赔付限额50万元的《食品安全责任保险》。</w:t>
      </w:r>
    </w:p>
    <w:p w14:paraId="26961572">
      <w:pPr>
        <w:pageBreakBefore w:val="0"/>
        <w:widowControl w:val="0"/>
        <w:numPr>
          <w:ilvl w:val="0"/>
          <w:numId w:val="0"/>
        </w:numPr>
        <w:wordWrap/>
        <w:overflowPunct/>
        <w:topLinePunct w:val="0"/>
        <w:bidi w:val="0"/>
        <w:spacing w:before="47" w:line="219" w:lineRule="auto"/>
        <w:ind w:leftChars="0"/>
        <w:outlineLvl w:val="1"/>
        <w:rPr>
          <w:rFonts w:hint="default" w:ascii="宋体" w:hAnsi="宋体" w:eastAsia="宋体" w:cs="宋体"/>
          <w:color w:val="auto"/>
          <w:spacing w:val="-2"/>
          <w:sz w:val="28"/>
          <w:szCs w:val="28"/>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2"/>
          <w:sz w:val="28"/>
          <w:szCs w:val="28"/>
          <w:highlight w:val="none"/>
          <w:lang w:val="en-US" w:eastAsia="zh-CN"/>
          <w14:textOutline w14:w="4356" w14:cap="sq" w14:cmpd="sng" w14:algn="ctr">
            <w14:solidFill>
              <w14:srgbClr w14:val="000000"/>
            </w14:solidFill>
            <w14:prstDash w14:val="solid"/>
            <w14:bevel/>
          </w14:textOutline>
        </w:rPr>
        <w:t>四、保密责任</w:t>
      </w:r>
    </w:p>
    <w:p w14:paraId="0BD2A82D">
      <w:pPr>
        <w:spacing w:before="78" w:line="359" w:lineRule="auto"/>
        <w:ind w:left="246" w:leftChars="117" w:right="88" w:firstLine="453" w:firstLineChars="189"/>
        <w:rPr>
          <w:rFonts w:hint="eastAsia" w:ascii="宋体" w:hAnsi="宋体" w:eastAsia="宋体" w:cs="宋体"/>
          <w:sz w:val="24"/>
          <w:szCs w:val="24"/>
        </w:rPr>
      </w:pPr>
      <w:r>
        <w:rPr>
          <w:rFonts w:hint="eastAsia" w:ascii="宋体" w:hAnsi="宋体" w:eastAsia="宋体" w:cs="宋体"/>
          <w:sz w:val="24"/>
          <w:szCs w:val="24"/>
        </w:rPr>
        <w:t>乙方有义务承担保密责任，保密内容包括但不限于在本合同洽谈和履行过程中了解和掌握甲方的基本信息、技术信息和甲方要求保密的信息和资料。涉密人员范围包括乙方参与配合本合同履行的全体人员。保密期限为自本合同签订之日起，至甲方书面声明乙方可以不履行保密义务之日止。乙方泄密给甲方造成损失的，应当承担赔偿责任。</w:t>
      </w:r>
    </w:p>
    <w:p w14:paraId="7625D5A4">
      <w:pPr>
        <w:spacing w:before="78" w:line="359" w:lineRule="auto"/>
        <w:ind w:left="31" w:right="88" w:hanging="20"/>
        <w:rPr>
          <w:rFonts w:hint="eastAsia" w:ascii="宋体" w:hAnsi="宋体" w:eastAsia="宋体" w:cs="宋体"/>
          <w:sz w:val="24"/>
          <w:szCs w:val="24"/>
        </w:rPr>
      </w:pPr>
      <w:r>
        <w:rPr>
          <w:rFonts w:hint="eastAsia" w:ascii="宋体" w:hAnsi="宋体" w:eastAsia="宋体" w:cs="宋体"/>
          <w:sz w:val="24"/>
          <w:szCs w:val="24"/>
        </w:rPr>
        <w:t>1、违约责任</w:t>
      </w:r>
    </w:p>
    <w:p w14:paraId="215BCFC6">
      <w:pPr>
        <w:spacing w:before="78" w:line="359" w:lineRule="auto"/>
        <w:ind w:left="31" w:right="88" w:hanging="20"/>
        <w:rPr>
          <w:rFonts w:hint="eastAsia" w:ascii="宋体" w:hAnsi="宋体" w:eastAsia="宋体" w:cs="宋体"/>
          <w:sz w:val="24"/>
          <w:szCs w:val="24"/>
        </w:rPr>
      </w:pPr>
      <w:r>
        <w:rPr>
          <w:rFonts w:hint="eastAsia" w:ascii="宋体" w:hAnsi="宋体" w:eastAsia="宋体" w:cs="宋体"/>
          <w:sz w:val="24"/>
          <w:szCs w:val="24"/>
        </w:rPr>
        <w:t>1.1 如在合同执行期间因乙方违约导致履约保证金部分扣除，乙方需在五个工作日内将扣除的履约保证金补齐。</w:t>
      </w:r>
    </w:p>
    <w:p w14:paraId="6C603D45">
      <w:pPr>
        <w:spacing w:before="78" w:line="359" w:lineRule="auto"/>
        <w:ind w:left="31" w:right="88" w:hanging="20"/>
        <w:rPr>
          <w:rFonts w:hint="eastAsia" w:ascii="宋体" w:hAnsi="宋体" w:eastAsia="宋体" w:cs="宋体"/>
          <w:sz w:val="24"/>
          <w:szCs w:val="24"/>
        </w:rPr>
      </w:pPr>
      <w:r>
        <w:rPr>
          <w:rFonts w:hint="eastAsia" w:ascii="宋体" w:hAnsi="宋体" w:eastAsia="宋体" w:cs="宋体"/>
          <w:sz w:val="24"/>
          <w:szCs w:val="24"/>
        </w:rPr>
        <w:t>1.2 乙方发生以下情形，经调查属实的，甲方有权扣除本批货款的 5%：</w:t>
      </w:r>
    </w:p>
    <w:p w14:paraId="66BBC260">
      <w:pPr>
        <w:spacing w:before="78" w:line="359" w:lineRule="auto"/>
        <w:ind w:left="31" w:right="88" w:hanging="20"/>
        <w:rPr>
          <w:rFonts w:hint="eastAsia" w:ascii="宋体" w:hAnsi="宋体" w:eastAsia="宋体" w:cs="宋体"/>
          <w:sz w:val="24"/>
          <w:szCs w:val="24"/>
        </w:rPr>
      </w:pPr>
      <w:r>
        <w:rPr>
          <w:rFonts w:hint="eastAsia" w:ascii="宋体" w:hAnsi="宋体" w:eastAsia="宋体" w:cs="宋体"/>
          <w:sz w:val="24"/>
          <w:szCs w:val="24"/>
        </w:rPr>
        <w:t>（1）未按要求随货提供相关票证；</w:t>
      </w:r>
    </w:p>
    <w:p w14:paraId="04870775">
      <w:pPr>
        <w:spacing w:before="78" w:line="359" w:lineRule="auto"/>
        <w:ind w:left="31" w:right="88" w:hanging="20"/>
        <w:rPr>
          <w:rFonts w:hint="eastAsia" w:ascii="宋体" w:hAnsi="宋体" w:eastAsia="宋体" w:cs="宋体"/>
          <w:sz w:val="24"/>
          <w:szCs w:val="24"/>
        </w:rPr>
      </w:pPr>
      <w:r>
        <w:rPr>
          <w:rFonts w:hint="eastAsia" w:ascii="宋体" w:hAnsi="宋体" w:eastAsia="宋体" w:cs="宋体"/>
          <w:sz w:val="24"/>
          <w:szCs w:val="24"/>
        </w:rPr>
        <w:t>（2）未按甲方采购计划的时间供货（提前一天与甲方协商，且未影响罪犯商品供应的除外）；</w:t>
      </w:r>
    </w:p>
    <w:p w14:paraId="126B3D40">
      <w:pPr>
        <w:spacing w:before="78" w:line="359" w:lineRule="auto"/>
        <w:ind w:left="31" w:right="88" w:hanging="20"/>
        <w:rPr>
          <w:rFonts w:hint="eastAsia" w:ascii="宋体" w:hAnsi="宋体" w:eastAsia="宋体" w:cs="宋体"/>
          <w:sz w:val="24"/>
          <w:szCs w:val="24"/>
        </w:rPr>
      </w:pPr>
      <w:r>
        <w:rPr>
          <w:rFonts w:hint="eastAsia" w:ascii="宋体" w:hAnsi="宋体" w:eastAsia="宋体" w:cs="宋体"/>
          <w:sz w:val="24"/>
          <w:szCs w:val="24"/>
        </w:rPr>
        <w:t>（3）未按甲方指定地点或秩序卸货；</w:t>
      </w:r>
    </w:p>
    <w:p w14:paraId="51E2695A">
      <w:pPr>
        <w:spacing w:before="78" w:line="359" w:lineRule="auto"/>
        <w:ind w:left="31" w:right="88" w:hanging="20"/>
        <w:rPr>
          <w:rFonts w:hint="eastAsia" w:ascii="宋体" w:hAnsi="宋体" w:eastAsia="宋体" w:cs="宋体"/>
          <w:sz w:val="24"/>
          <w:szCs w:val="24"/>
        </w:rPr>
      </w:pPr>
      <w:r>
        <w:rPr>
          <w:rFonts w:hint="eastAsia" w:ascii="宋体" w:hAnsi="宋体" w:eastAsia="宋体" w:cs="宋体"/>
          <w:sz w:val="24"/>
          <w:szCs w:val="24"/>
        </w:rPr>
        <w:t>（4）货物出现质量问题，乙方不积极配合查找原因，不及时反馈处理结果；</w:t>
      </w:r>
    </w:p>
    <w:p w14:paraId="3D2017DD">
      <w:pPr>
        <w:spacing w:before="78" w:line="359" w:lineRule="auto"/>
        <w:ind w:left="31" w:right="88" w:hanging="20"/>
        <w:rPr>
          <w:rFonts w:hint="eastAsia" w:ascii="宋体" w:hAnsi="宋体" w:eastAsia="宋体" w:cs="宋体"/>
          <w:sz w:val="24"/>
          <w:szCs w:val="24"/>
        </w:rPr>
      </w:pPr>
      <w:r>
        <w:rPr>
          <w:rFonts w:hint="eastAsia" w:ascii="宋体" w:hAnsi="宋体" w:eastAsia="宋体" w:cs="宋体"/>
          <w:sz w:val="24"/>
          <w:szCs w:val="24"/>
        </w:rPr>
        <w:t>（5）工作人员不遵守甲方各项管理规定；</w:t>
      </w:r>
    </w:p>
    <w:p w14:paraId="1C58981B">
      <w:pPr>
        <w:spacing w:before="78" w:line="359" w:lineRule="auto"/>
        <w:ind w:left="31" w:right="88" w:hanging="20"/>
        <w:rPr>
          <w:rFonts w:hint="eastAsia" w:ascii="宋体" w:hAnsi="宋体" w:eastAsia="宋体" w:cs="宋体"/>
          <w:sz w:val="24"/>
          <w:szCs w:val="24"/>
        </w:rPr>
      </w:pPr>
      <w:r>
        <w:rPr>
          <w:rFonts w:hint="eastAsia" w:ascii="宋体" w:hAnsi="宋体" w:eastAsia="宋体" w:cs="宋体"/>
          <w:sz w:val="24"/>
          <w:szCs w:val="24"/>
        </w:rPr>
        <w:t>（6）乙方对货物检查把关不严，造成现金、绳索、利器等危险品流入甲方监狱内， 影响监管安全的。</w:t>
      </w:r>
    </w:p>
    <w:p w14:paraId="46E7FCB1">
      <w:pPr>
        <w:spacing w:before="78" w:line="359" w:lineRule="auto"/>
        <w:ind w:left="31" w:right="88" w:hanging="20"/>
        <w:rPr>
          <w:rFonts w:hint="eastAsia" w:ascii="宋体" w:hAnsi="宋体" w:eastAsia="宋体" w:cs="宋体"/>
          <w:sz w:val="24"/>
          <w:szCs w:val="24"/>
        </w:rPr>
      </w:pPr>
      <w:r>
        <w:rPr>
          <w:rFonts w:hint="eastAsia" w:ascii="宋体" w:hAnsi="宋体" w:eastAsia="宋体" w:cs="宋体"/>
          <w:sz w:val="24"/>
          <w:szCs w:val="24"/>
        </w:rPr>
        <w:t>（7）合同供货期内累计出现三次退货或调换的情况，给予中标人扣除履约保证金金额 1%的处罚，采购人有权取消其供货资格。</w:t>
      </w:r>
    </w:p>
    <w:p w14:paraId="4BA5CAA0">
      <w:pPr>
        <w:spacing w:before="78" w:line="359" w:lineRule="auto"/>
        <w:ind w:left="31" w:right="88" w:hanging="20"/>
        <w:rPr>
          <w:rFonts w:hint="eastAsia" w:ascii="宋体" w:hAnsi="宋体" w:eastAsia="宋体" w:cs="宋体"/>
          <w:sz w:val="24"/>
          <w:szCs w:val="24"/>
        </w:rPr>
      </w:pPr>
      <w:r>
        <w:rPr>
          <w:rFonts w:hint="eastAsia" w:ascii="宋体" w:hAnsi="宋体" w:eastAsia="宋体" w:cs="宋体"/>
          <w:sz w:val="24"/>
          <w:szCs w:val="24"/>
        </w:rPr>
        <w:t>1.3 乙方发生以下情形，经调查属实的，甲方有权扣除 10%本批货款：</w:t>
      </w:r>
    </w:p>
    <w:p w14:paraId="7C67D725">
      <w:pPr>
        <w:spacing w:before="78" w:line="359" w:lineRule="auto"/>
        <w:ind w:left="31" w:right="88" w:hanging="20"/>
        <w:rPr>
          <w:rFonts w:hint="eastAsia" w:ascii="宋体" w:hAnsi="宋体" w:eastAsia="宋体" w:cs="宋体"/>
          <w:sz w:val="24"/>
          <w:szCs w:val="24"/>
        </w:rPr>
      </w:pPr>
      <w:r>
        <w:rPr>
          <w:rFonts w:hint="eastAsia" w:ascii="宋体" w:hAnsi="宋体" w:eastAsia="宋体" w:cs="宋体"/>
          <w:sz w:val="24"/>
          <w:szCs w:val="24"/>
        </w:rPr>
        <w:t>（1）供应货物品种、品牌、规格或质量等级与合同约定不符；</w:t>
      </w:r>
    </w:p>
    <w:p w14:paraId="7B1975B9">
      <w:pPr>
        <w:spacing w:before="78" w:line="359" w:lineRule="auto"/>
        <w:ind w:left="31" w:right="88" w:hanging="20"/>
        <w:rPr>
          <w:rFonts w:hint="eastAsia" w:ascii="宋体" w:hAnsi="宋体" w:eastAsia="宋体" w:cs="宋体"/>
          <w:sz w:val="24"/>
          <w:szCs w:val="24"/>
        </w:rPr>
      </w:pPr>
      <w:r>
        <w:rPr>
          <w:rFonts w:hint="eastAsia" w:ascii="宋体" w:hAnsi="宋体" w:eastAsia="宋体" w:cs="宋体"/>
          <w:sz w:val="24"/>
          <w:szCs w:val="24"/>
        </w:rPr>
        <w:t>（2）提供虚假检验报告等相关票证；</w:t>
      </w:r>
    </w:p>
    <w:p w14:paraId="7778B787">
      <w:pPr>
        <w:spacing w:before="78" w:line="359" w:lineRule="auto"/>
        <w:ind w:left="31" w:right="88" w:hanging="20"/>
        <w:rPr>
          <w:rFonts w:hint="eastAsia" w:ascii="宋体" w:hAnsi="宋体" w:eastAsia="宋体" w:cs="宋体"/>
          <w:sz w:val="24"/>
          <w:szCs w:val="24"/>
        </w:rPr>
      </w:pPr>
      <w:r>
        <w:rPr>
          <w:rFonts w:hint="eastAsia" w:ascii="宋体" w:hAnsi="宋体" w:eastAsia="宋体" w:cs="宋体"/>
          <w:sz w:val="24"/>
          <w:szCs w:val="24"/>
        </w:rPr>
        <w:t>（3）因退货或换货等导致未按甲方采购计划数量、时间供应，造成甲方商品无法按时供应；</w:t>
      </w:r>
    </w:p>
    <w:p w14:paraId="588CD865">
      <w:pPr>
        <w:spacing w:before="78" w:line="359" w:lineRule="auto"/>
        <w:ind w:left="31" w:right="88" w:hanging="20"/>
        <w:rPr>
          <w:rFonts w:hint="eastAsia" w:ascii="宋体" w:hAnsi="宋体" w:eastAsia="宋体" w:cs="宋体"/>
          <w:sz w:val="24"/>
          <w:szCs w:val="24"/>
        </w:rPr>
      </w:pPr>
      <w:r>
        <w:rPr>
          <w:rFonts w:hint="eastAsia" w:ascii="宋体" w:hAnsi="宋体" w:eastAsia="宋体" w:cs="宋体"/>
          <w:sz w:val="24"/>
          <w:szCs w:val="24"/>
        </w:rPr>
        <w:t>（4）把甲方验收不合格退货的货物重新配送给甲方；</w:t>
      </w:r>
    </w:p>
    <w:p w14:paraId="06859DF5">
      <w:pPr>
        <w:spacing w:before="78" w:line="359" w:lineRule="auto"/>
        <w:ind w:left="31" w:right="88" w:hanging="20"/>
        <w:rPr>
          <w:rFonts w:hint="eastAsia" w:ascii="宋体" w:hAnsi="宋体" w:eastAsia="宋体" w:cs="宋体"/>
          <w:sz w:val="24"/>
          <w:szCs w:val="24"/>
        </w:rPr>
      </w:pPr>
      <w:r>
        <w:rPr>
          <w:rFonts w:hint="eastAsia" w:ascii="宋体" w:hAnsi="宋体" w:eastAsia="宋体" w:cs="宋体"/>
          <w:sz w:val="24"/>
          <w:szCs w:val="24"/>
        </w:rPr>
        <w:t>（5）在包装、运输、装卸等环节不符合食品安全要求；</w:t>
      </w:r>
    </w:p>
    <w:p w14:paraId="6885C598">
      <w:pPr>
        <w:spacing w:before="78" w:line="359" w:lineRule="auto"/>
        <w:ind w:left="31" w:right="88" w:hanging="20"/>
        <w:rPr>
          <w:rFonts w:hint="eastAsia" w:ascii="宋体" w:hAnsi="宋体" w:eastAsia="宋体" w:cs="宋体"/>
          <w:sz w:val="24"/>
          <w:szCs w:val="24"/>
        </w:rPr>
      </w:pPr>
      <w:r>
        <w:rPr>
          <w:rFonts w:hint="eastAsia" w:ascii="宋体" w:hAnsi="宋体" w:eastAsia="宋体" w:cs="宋体"/>
          <w:sz w:val="24"/>
          <w:szCs w:val="24"/>
        </w:rPr>
        <w:t>（6）组织机构发生调整，或经营场所、联系人、联系方式变更，未及时通知甲方业务部门，造成无法及时联系；</w:t>
      </w:r>
    </w:p>
    <w:p w14:paraId="0BC778A7">
      <w:pPr>
        <w:spacing w:before="78" w:line="359" w:lineRule="auto"/>
        <w:ind w:left="31" w:right="88" w:hanging="20"/>
        <w:rPr>
          <w:rFonts w:hint="eastAsia" w:ascii="宋体" w:hAnsi="宋体" w:eastAsia="宋体" w:cs="宋体"/>
          <w:sz w:val="24"/>
          <w:szCs w:val="24"/>
        </w:rPr>
      </w:pPr>
      <w:r>
        <w:rPr>
          <w:rFonts w:hint="eastAsia" w:ascii="宋体" w:hAnsi="宋体" w:eastAsia="宋体" w:cs="宋体"/>
          <w:sz w:val="24"/>
          <w:szCs w:val="24"/>
        </w:rPr>
        <w:t>（7）食品溯源管理制度不落实，进货查验记录不全。</w:t>
      </w:r>
    </w:p>
    <w:p w14:paraId="5EC866DF">
      <w:pPr>
        <w:spacing w:before="78" w:line="359" w:lineRule="auto"/>
        <w:ind w:left="31" w:right="88" w:hanging="20"/>
        <w:rPr>
          <w:rFonts w:hint="eastAsia" w:ascii="宋体" w:hAnsi="宋体" w:eastAsia="宋体" w:cs="宋体"/>
          <w:sz w:val="24"/>
          <w:szCs w:val="24"/>
        </w:rPr>
      </w:pPr>
      <w:r>
        <w:rPr>
          <w:rFonts w:hint="eastAsia" w:ascii="宋体" w:hAnsi="宋体" w:eastAsia="宋体" w:cs="宋体"/>
          <w:sz w:val="24"/>
          <w:szCs w:val="24"/>
        </w:rPr>
        <w:t>1.4 乙方有以下行为，经调查属实的，扣除 5%合同总额；情节严重的，甲方将立即解除相关供应合同，并扣除 10%合同总额：</w:t>
      </w:r>
    </w:p>
    <w:p w14:paraId="064C4AD6">
      <w:pPr>
        <w:spacing w:before="78" w:line="359" w:lineRule="auto"/>
        <w:ind w:left="31" w:right="88" w:hanging="20"/>
        <w:rPr>
          <w:rFonts w:hint="eastAsia" w:ascii="宋体" w:hAnsi="宋体" w:eastAsia="宋体" w:cs="宋体"/>
          <w:sz w:val="24"/>
          <w:szCs w:val="24"/>
        </w:rPr>
      </w:pPr>
      <w:r>
        <w:rPr>
          <w:rFonts w:hint="eastAsia" w:ascii="宋体" w:hAnsi="宋体" w:eastAsia="宋体" w:cs="宋体"/>
          <w:sz w:val="24"/>
          <w:szCs w:val="24"/>
        </w:rPr>
        <w:t>（1）弄虚作假，提供虚假材料取得中标人资格的；</w:t>
      </w:r>
    </w:p>
    <w:p w14:paraId="1B8935BD">
      <w:pPr>
        <w:spacing w:before="78" w:line="359" w:lineRule="auto"/>
        <w:ind w:left="31" w:right="88" w:hanging="20"/>
        <w:rPr>
          <w:rFonts w:hint="eastAsia" w:ascii="宋体" w:hAnsi="宋体" w:eastAsia="宋体" w:cs="宋体"/>
          <w:sz w:val="24"/>
          <w:szCs w:val="24"/>
        </w:rPr>
      </w:pPr>
      <w:r>
        <w:rPr>
          <w:rFonts w:hint="eastAsia" w:ascii="宋体" w:hAnsi="宋体" w:eastAsia="宋体" w:cs="宋体"/>
          <w:sz w:val="24"/>
          <w:szCs w:val="24"/>
        </w:rPr>
        <w:t>（2）中标供应项目有转包、分包行为的；</w:t>
      </w:r>
    </w:p>
    <w:p w14:paraId="4F027ED6">
      <w:pPr>
        <w:spacing w:before="78" w:line="359" w:lineRule="auto"/>
        <w:ind w:left="31" w:right="88" w:hanging="20"/>
        <w:rPr>
          <w:rFonts w:hint="eastAsia" w:ascii="宋体" w:hAnsi="宋体" w:eastAsia="宋体" w:cs="宋体"/>
          <w:sz w:val="24"/>
          <w:szCs w:val="24"/>
        </w:rPr>
      </w:pPr>
      <w:r>
        <w:rPr>
          <w:rFonts w:hint="eastAsia" w:ascii="宋体" w:hAnsi="宋体" w:eastAsia="宋体" w:cs="宋体"/>
          <w:sz w:val="24"/>
          <w:szCs w:val="24"/>
        </w:rPr>
        <w:t>（3）经营情况发生重大变更，已经不具备承接中标供应项目能力的；</w:t>
      </w:r>
    </w:p>
    <w:p w14:paraId="3DDC79A0">
      <w:pPr>
        <w:spacing w:before="78" w:line="359" w:lineRule="auto"/>
        <w:ind w:left="31" w:right="88" w:hanging="20"/>
        <w:rPr>
          <w:rFonts w:hint="eastAsia" w:ascii="宋体" w:hAnsi="宋体" w:eastAsia="宋体" w:cs="宋体"/>
          <w:sz w:val="24"/>
          <w:szCs w:val="24"/>
        </w:rPr>
      </w:pPr>
      <w:r>
        <w:rPr>
          <w:rFonts w:hint="eastAsia" w:ascii="宋体" w:hAnsi="宋体" w:eastAsia="宋体" w:cs="宋体"/>
          <w:sz w:val="24"/>
          <w:szCs w:val="24"/>
        </w:rPr>
        <w:t>（4）无正当理由拒绝履行合同向甲方供货的；</w:t>
      </w:r>
    </w:p>
    <w:p w14:paraId="3A628142">
      <w:pPr>
        <w:spacing w:before="78" w:line="359" w:lineRule="auto"/>
        <w:ind w:left="31" w:right="88" w:hanging="20"/>
        <w:rPr>
          <w:rFonts w:hint="eastAsia" w:ascii="宋体" w:hAnsi="宋体" w:eastAsia="宋体" w:cs="宋体"/>
          <w:sz w:val="24"/>
          <w:szCs w:val="24"/>
        </w:rPr>
      </w:pPr>
      <w:r>
        <w:rPr>
          <w:rFonts w:hint="eastAsia" w:ascii="宋体" w:hAnsi="宋体" w:eastAsia="宋体" w:cs="宋体"/>
          <w:sz w:val="24"/>
          <w:szCs w:val="24"/>
        </w:rPr>
        <w:t>（5）有行贿、给回扣等不正当竞争行为的；</w:t>
      </w:r>
    </w:p>
    <w:p w14:paraId="1CD9B530">
      <w:pPr>
        <w:spacing w:before="78" w:line="359" w:lineRule="auto"/>
        <w:ind w:left="31" w:right="88" w:hanging="20"/>
        <w:rPr>
          <w:rFonts w:hint="eastAsia" w:ascii="宋体" w:hAnsi="宋体" w:eastAsia="宋体" w:cs="宋体"/>
          <w:sz w:val="24"/>
          <w:szCs w:val="24"/>
        </w:rPr>
      </w:pPr>
      <w:r>
        <w:rPr>
          <w:rFonts w:hint="eastAsia" w:ascii="宋体" w:hAnsi="宋体" w:eastAsia="宋体" w:cs="宋体"/>
          <w:sz w:val="24"/>
          <w:szCs w:val="24"/>
        </w:rPr>
        <w:t>(6)因所供货物质量原因导致甲方监狱内发生食品安全事故的；</w:t>
      </w:r>
    </w:p>
    <w:p w14:paraId="4E460726">
      <w:pPr>
        <w:spacing w:before="78" w:line="359" w:lineRule="auto"/>
        <w:ind w:left="31" w:right="88" w:hanging="20"/>
        <w:rPr>
          <w:rFonts w:hint="eastAsia" w:ascii="宋体" w:hAnsi="宋体" w:eastAsia="宋体" w:cs="宋体"/>
          <w:sz w:val="24"/>
          <w:szCs w:val="24"/>
        </w:rPr>
      </w:pPr>
      <w:r>
        <w:rPr>
          <w:rFonts w:hint="eastAsia" w:ascii="宋体" w:hAnsi="宋体" w:eastAsia="宋体" w:cs="宋体"/>
          <w:sz w:val="24"/>
          <w:szCs w:val="24"/>
        </w:rPr>
        <w:t>(7)所供应货物存在故意假冒伪劣行为的；</w:t>
      </w:r>
    </w:p>
    <w:p w14:paraId="1D80BA4C">
      <w:pPr>
        <w:spacing w:before="78" w:line="359" w:lineRule="auto"/>
        <w:ind w:left="31" w:right="88" w:hanging="20"/>
        <w:rPr>
          <w:rFonts w:hint="eastAsia" w:ascii="宋体" w:hAnsi="宋体" w:eastAsia="宋体" w:cs="宋体"/>
          <w:sz w:val="24"/>
          <w:szCs w:val="24"/>
        </w:rPr>
      </w:pPr>
      <w:r>
        <w:rPr>
          <w:rFonts w:hint="eastAsia" w:ascii="宋体" w:hAnsi="宋体" w:eastAsia="宋体" w:cs="宋体"/>
          <w:sz w:val="24"/>
          <w:szCs w:val="24"/>
        </w:rPr>
        <w:t>(8)因乙方原因导致甲方监狱内发生监管安全事故的；</w:t>
      </w:r>
    </w:p>
    <w:p w14:paraId="7FD4E89B">
      <w:pPr>
        <w:spacing w:before="78" w:line="359" w:lineRule="auto"/>
        <w:ind w:left="31" w:right="88" w:hanging="20"/>
        <w:rPr>
          <w:rFonts w:ascii="宋体" w:hAnsi="宋体" w:eastAsia="宋体" w:cs="宋体"/>
          <w:sz w:val="24"/>
          <w:szCs w:val="24"/>
        </w:rPr>
      </w:pPr>
      <w:r>
        <w:rPr>
          <w:rFonts w:hint="eastAsia" w:ascii="宋体" w:hAnsi="宋体" w:eastAsia="宋体" w:cs="宋体"/>
          <w:sz w:val="24"/>
          <w:szCs w:val="24"/>
        </w:rPr>
        <w:t>(9)所供货物侵犯他人知识产权导致引起诉讼、纠纷等的；</w:t>
      </w:r>
    </w:p>
    <w:p w14:paraId="2235687E">
      <w:pPr>
        <w:spacing w:before="78" w:line="359" w:lineRule="auto"/>
        <w:ind w:left="31" w:right="88" w:hanging="20"/>
        <w:rPr>
          <w:rFonts w:hint="eastAsia" w:ascii="宋体" w:hAnsi="宋体" w:eastAsia="宋体" w:cs="宋体"/>
          <w:sz w:val="24"/>
          <w:szCs w:val="24"/>
        </w:rPr>
      </w:pPr>
      <w:r>
        <w:rPr>
          <w:rFonts w:hint="eastAsia" w:ascii="宋体" w:hAnsi="宋体" w:eastAsia="宋体" w:cs="宋体"/>
          <w:sz w:val="24"/>
          <w:szCs w:val="24"/>
        </w:rPr>
        <w:t>（10）有其它严重违法违纪或违反本合同约定行为的。</w:t>
      </w:r>
    </w:p>
    <w:p w14:paraId="5F30D5F8">
      <w:pPr>
        <w:spacing w:before="78" w:line="359" w:lineRule="auto"/>
        <w:ind w:left="31" w:right="88" w:hanging="20"/>
        <w:rPr>
          <w:rFonts w:hint="eastAsia" w:ascii="宋体" w:hAnsi="宋体" w:eastAsia="宋体" w:cs="宋体"/>
          <w:sz w:val="24"/>
          <w:szCs w:val="24"/>
        </w:rPr>
      </w:pPr>
      <w:r>
        <w:rPr>
          <w:rFonts w:hint="eastAsia" w:ascii="宋体" w:hAnsi="宋体" w:eastAsia="宋体" w:cs="宋体"/>
          <w:sz w:val="24"/>
          <w:szCs w:val="24"/>
        </w:rPr>
        <w:t>1.5 若乙方未按甲方要求供货，为保障服刑人员的正常生活，甲方有权到市场采购所需商品，所有费用由乙方承担。</w:t>
      </w:r>
    </w:p>
    <w:p w14:paraId="74BF287C">
      <w:pPr>
        <w:spacing w:before="78" w:line="359" w:lineRule="auto"/>
        <w:ind w:left="31" w:right="88" w:hanging="20"/>
        <w:rPr>
          <w:rFonts w:hint="eastAsia" w:ascii="宋体" w:hAnsi="宋体" w:eastAsia="宋体" w:cs="宋体"/>
          <w:sz w:val="24"/>
          <w:szCs w:val="24"/>
        </w:rPr>
      </w:pPr>
      <w:r>
        <w:rPr>
          <w:rFonts w:hint="eastAsia" w:ascii="宋体" w:hAnsi="宋体" w:eastAsia="宋体" w:cs="宋体"/>
          <w:sz w:val="24"/>
          <w:szCs w:val="24"/>
        </w:rPr>
        <w:t>1.6 乙方提供的产品，食用后造成人员疾病后果严重或人员病亡，乙方需承担所有人员医治的费用、死后安葬、赔偿等所有损失，甲方将立即解除相关供应合同，并扣除全部履约保证金。甲方将有权处理乙方在甲方所有资金及货物，乙方承担相应的法律责任。</w:t>
      </w:r>
    </w:p>
    <w:p w14:paraId="6C67B408">
      <w:pPr>
        <w:spacing w:before="78" w:line="359" w:lineRule="auto"/>
        <w:ind w:left="31" w:right="88" w:hanging="20"/>
        <w:rPr>
          <w:rFonts w:hint="eastAsia" w:ascii="宋体" w:hAnsi="宋体" w:eastAsia="宋体" w:cs="宋体"/>
          <w:sz w:val="24"/>
          <w:szCs w:val="24"/>
        </w:rPr>
      </w:pPr>
      <w:r>
        <w:rPr>
          <w:rFonts w:hint="eastAsia" w:ascii="宋体" w:hAnsi="宋体" w:eastAsia="宋体" w:cs="宋体"/>
          <w:sz w:val="24"/>
          <w:szCs w:val="24"/>
        </w:rPr>
        <w:t>1.7 因乙方原因导致合同无法继续履行的，乙方除赔偿损失外，还应向甲方支付合同总额的 20%作为违约金。</w:t>
      </w:r>
    </w:p>
    <w:p w14:paraId="5F0205C0">
      <w:pPr>
        <w:spacing w:before="78" w:line="359" w:lineRule="auto"/>
        <w:ind w:left="31" w:right="88" w:hanging="20"/>
        <w:rPr>
          <w:rFonts w:hint="eastAsia" w:ascii="宋体" w:hAnsi="宋体" w:eastAsia="宋体" w:cs="宋体"/>
          <w:sz w:val="24"/>
          <w:szCs w:val="24"/>
        </w:rPr>
      </w:pPr>
      <w:r>
        <w:rPr>
          <w:rFonts w:hint="eastAsia" w:ascii="宋体" w:hAnsi="宋体" w:eastAsia="宋体" w:cs="宋体"/>
          <w:sz w:val="24"/>
          <w:szCs w:val="24"/>
        </w:rPr>
        <w:t>1.8 对于满足合同约定支付条件的，甲方应当自收到乙方提供的正规税务发票后 7 个工作日内将资金支付到合同约定的账户。</w:t>
      </w:r>
    </w:p>
    <w:p w14:paraId="6D571842">
      <w:pPr>
        <w:spacing w:before="78" w:line="359" w:lineRule="auto"/>
        <w:ind w:left="31" w:right="88" w:hanging="20"/>
        <w:rPr>
          <w:rFonts w:hint="eastAsia" w:ascii="宋体" w:hAnsi="宋体" w:eastAsia="宋体" w:cs="宋体"/>
          <w:sz w:val="24"/>
          <w:szCs w:val="24"/>
        </w:rPr>
      </w:pPr>
      <w:r>
        <w:rPr>
          <w:rFonts w:hint="eastAsia" w:ascii="宋体" w:hAnsi="宋体" w:eastAsia="宋体" w:cs="宋体"/>
          <w:sz w:val="24"/>
          <w:szCs w:val="24"/>
        </w:rPr>
        <w:t>1.9 在现场交货条件下的货物，在乙方已通知甲方货物已备妥待运输后 24 小时之内， 乙方应将合同号、货名、数量、毛重、发票金额、运输工具名称及启运日期以书面清单形式通知甲方。如因乙方延误将上述内容用书面形式通知买方，由此引起的一切损失应由乙方负担。</w:t>
      </w:r>
    </w:p>
    <w:p w14:paraId="43411732">
      <w:pPr>
        <w:spacing w:before="79" w:line="219" w:lineRule="auto"/>
        <w:ind w:left="9"/>
        <w:rPr>
          <w:rFonts w:ascii="宋体" w:hAnsi="宋体" w:eastAsia="宋体" w:cs="宋体"/>
          <w:b/>
          <w:bCs/>
          <w:spacing w:val="-2"/>
          <w:sz w:val="24"/>
          <w:szCs w:val="24"/>
        </w:rPr>
      </w:pPr>
    </w:p>
    <w:p w14:paraId="678B3518">
      <w:pPr>
        <w:spacing w:before="79" w:line="219" w:lineRule="auto"/>
        <w:ind w:left="9"/>
        <w:rPr>
          <w:rFonts w:ascii="宋体" w:hAnsi="宋体" w:eastAsia="宋体" w:cs="宋体"/>
          <w:b/>
          <w:bCs/>
          <w:spacing w:val="-2"/>
          <w:sz w:val="24"/>
          <w:szCs w:val="24"/>
        </w:rPr>
      </w:pPr>
    </w:p>
    <w:p w14:paraId="4D607EEF">
      <w:pPr>
        <w:spacing w:before="79" w:line="219" w:lineRule="auto"/>
        <w:ind w:left="9"/>
        <w:rPr>
          <w:rFonts w:ascii="宋体" w:hAnsi="宋体" w:eastAsia="宋体" w:cs="宋体"/>
          <w:sz w:val="24"/>
          <w:szCs w:val="24"/>
        </w:rPr>
      </w:pPr>
      <w:r>
        <w:rPr>
          <w:rFonts w:ascii="宋体" w:hAnsi="宋体" w:eastAsia="宋体" w:cs="宋体"/>
          <w:b/>
          <w:bCs/>
          <w:spacing w:val="-2"/>
          <w:sz w:val="24"/>
          <w:szCs w:val="24"/>
        </w:rPr>
        <w:t>注：以技术服务要求、商务要求为必须满足项，</w:t>
      </w:r>
      <w:r>
        <w:rPr>
          <w:rFonts w:ascii="宋体" w:hAnsi="宋体" w:eastAsia="宋体" w:cs="宋体"/>
          <w:b/>
          <w:bCs/>
          <w:spacing w:val="-3"/>
          <w:sz w:val="24"/>
          <w:szCs w:val="24"/>
        </w:rPr>
        <w:t>否则作无效投标处理。</w:t>
      </w:r>
    </w:p>
    <w:p w14:paraId="51BEA69F">
      <w:bookmarkStart w:id="43" w:name="_GoBack"/>
      <w:bookmarkEnd w:id="43"/>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300FD77"/>
    <w:multiLevelType w:val="singleLevel"/>
    <w:tmpl w:val="2300FD77"/>
    <w:lvl w:ilvl="0" w:tentative="0">
      <w:start w:val="11"/>
      <w:numFmt w:val="decimal"/>
      <w:suff w:val="nothing"/>
      <w:lvlText w:val="（%1）"/>
      <w:lvlJc w:val="left"/>
      <w:rPr>
        <w:rFonts w:hint="default"/>
        <w:color w:val="auto"/>
      </w:rPr>
    </w:lvl>
  </w:abstractNum>
  <w:abstractNum w:abstractNumId="1">
    <w:nsid w:val="3EBB3C91"/>
    <w:multiLevelType w:val="multilevel"/>
    <w:tmpl w:val="3EBB3C91"/>
    <w:lvl w:ilvl="0" w:tentative="0">
      <w:start w:val="1"/>
      <w:numFmt w:val="chineseCountingThousand"/>
      <w:suff w:val="space"/>
      <w:lvlText w:val="%1. "/>
      <w:lvlJc w:val="left"/>
      <w:pPr>
        <w:ind w:left="907" w:hanging="907"/>
      </w:pPr>
      <w:rPr>
        <w:rFonts w:hint="eastAsia"/>
      </w:rPr>
    </w:lvl>
    <w:lvl w:ilvl="1" w:tentative="0">
      <w:start w:val="1"/>
      <w:numFmt w:val="decimal"/>
      <w:isLgl/>
      <w:suff w:val="space"/>
      <w:lvlText w:val="%1.%2 "/>
      <w:lvlJc w:val="left"/>
      <w:pPr>
        <w:ind w:left="794" w:hanging="794"/>
      </w:pPr>
    </w:lvl>
    <w:lvl w:ilvl="2" w:tentative="0">
      <w:start w:val="0"/>
      <w:numFmt w:val="none"/>
      <w:lvlText w:val=""/>
      <w:lvlJc w:val="left"/>
      <w:pPr>
        <w:tabs>
          <w:tab w:val="left" w:pos="360"/>
        </w:tabs>
      </w:pPr>
      <w:rPr>
        <w:rFonts w:cs="Times New Roman"/>
      </w:rPr>
    </w:lvl>
    <w:lvl w:ilvl="3" w:tentative="0">
      <w:start w:val="0"/>
      <w:numFmt w:val="none"/>
      <w:lvlText w:val=""/>
      <w:lvlJc w:val="left"/>
      <w:pPr>
        <w:tabs>
          <w:tab w:val="left" w:pos="360"/>
        </w:tabs>
      </w:pPr>
      <w:rPr>
        <w:rFonts w:cs="Times New Roman"/>
      </w:rPr>
    </w:lvl>
    <w:lvl w:ilvl="4" w:tentative="0">
      <w:start w:val="0"/>
      <w:numFmt w:val="decimal"/>
      <w:pStyle w:val="9"/>
      <w:lvlText w:val=""/>
      <w:lvlJc w:val="left"/>
      <w:rPr>
        <w:rFonts w:cs="Times New Roman"/>
      </w:rPr>
    </w:lvl>
    <w:lvl w:ilvl="5" w:tentative="0">
      <w:start w:val="0"/>
      <w:numFmt w:val="decimal"/>
      <w:lvlText w:val=""/>
      <w:lvlJc w:val="left"/>
      <w:rPr>
        <w:rFonts w:cs="Times New Roman"/>
      </w:rPr>
    </w:lvl>
    <w:lvl w:ilvl="6" w:tentative="0">
      <w:start w:val="0"/>
      <w:numFmt w:val="decimal"/>
      <w:lvlText w:val=""/>
      <w:lvlJc w:val="left"/>
      <w:rPr>
        <w:rFonts w:cs="Times New Roman"/>
      </w:rPr>
    </w:lvl>
    <w:lvl w:ilvl="7" w:tentative="0">
      <w:start w:val="0"/>
      <w:numFmt w:val="decimal"/>
      <w:lvlText w:val=""/>
      <w:lvlJc w:val="left"/>
      <w:rPr>
        <w:rFonts w:cs="Times New Roman"/>
      </w:rPr>
    </w:lvl>
    <w:lvl w:ilvl="8" w:tentative="0">
      <w:start w:val="0"/>
      <w:numFmt w:val="decimal"/>
      <w:lvlText w:val=""/>
      <w:lvlJc w:val="left"/>
      <w:rPr>
        <w:rFonts w:cs="Times New Roman"/>
      </w:rPr>
    </w:lvl>
  </w:abstractNum>
  <w:abstractNum w:abstractNumId="2">
    <w:nsid w:val="752D0A7C"/>
    <w:multiLevelType w:val="singleLevel"/>
    <w:tmpl w:val="752D0A7C"/>
    <w:lvl w:ilvl="0" w:tentative="0">
      <w:start w:val="2"/>
      <w:numFmt w:val="chineseCounting"/>
      <w:suff w:val="space"/>
      <w:lvlText w:val="（%1）"/>
      <w:lvlJc w:val="left"/>
      <w:rPr>
        <w:rFonts w:hint="eastAsia"/>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C004FD3"/>
    <w:rsid w:val="1F4D1FBA"/>
    <w:rsid w:val="4C004FD3"/>
    <w:rsid w:val="503168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6">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pPr>
    <w:rPr>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7">
    <w:name w:val="Table Normal"/>
    <w:semiHidden/>
    <w:unhideWhenUsed/>
    <w:qFormat/>
    <w:uiPriority w:val="0"/>
    <w:tblPr>
      <w:tblCellMar>
        <w:top w:w="0" w:type="dxa"/>
        <w:left w:w="0" w:type="dxa"/>
        <w:bottom w:w="0" w:type="dxa"/>
        <w:right w:w="0" w:type="dxa"/>
      </w:tblCellMar>
    </w:tblPr>
  </w:style>
  <w:style w:type="paragraph" w:customStyle="1" w:styleId="8">
    <w:name w:val="Table Text"/>
    <w:basedOn w:val="1"/>
    <w:semiHidden/>
    <w:qFormat/>
    <w:uiPriority w:val="0"/>
  </w:style>
  <w:style w:type="paragraph" w:customStyle="1" w:styleId="9">
    <w:name w:val="标题 5（有编号）（绿盟科技）"/>
    <w:basedOn w:val="1"/>
    <w:next w:val="10"/>
    <w:qFormat/>
    <w:uiPriority w:val="0"/>
    <w:pPr>
      <w:keepNext/>
      <w:keepLines/>
      <w:numPr>
        <w:ilvl w:val="4"/>
        <w:numId w:val="1"/>
      </w:numPr>
      <w:spacing w:before="280" w:after="156" w:line="377" w:lineRule="auto"/>
      <w:jc w:val="left"/>
      <w:outlineLvl w:val="4"/>
    </w:pPr>
    <w:rPr>
      <w:rFonts w:ascii="Arial" w:hAnsi="Arial" w:eastAsia="黑体"/>
      <w:b/>
      <w:kern w:val="0"/>
      <w:sz w:val="24"/>
      <w:szCs w:val="28"/>
    </w:rPr>
  </w:style>
  <w:style w:type="paragraph" w:customStyle="1" w:styleId="10">
    <w:name w:val="正文（绿盟科技）"/>
    <w:qFormat/>
    <w:uiPriority w:val="0"/>
    <w:pPr>
      <w:spacing w:line="300" w:lineRule="auto"/>
    </w:pPr>
    <w:rPr>
      <w:rFonts w:ascii="Arial" w:hAnsi="Arial" w:eastAsia="宋体" w:cs="黑体"/>
      <w:sz w:val="21"/>
      <w:szCs w:val="21"/>
      <w:lang w:val="en-US" w:eastAsia="zh-CN" w:bidi="ar-SA"/>
    </w:rPr>
  </w:style>
  <w:style w:type="paragraph" w:customStyle="1" w:styleId="11">
    <w:name w:val="Heading 5"/>
    <w:basedOn w:val="1"/>
    <w:qFormat/>
    <w:uiPriority w:val="1"/>
    <w:pPr>
      <w:ind w:left="1580"/>
      <w:outlineLvl w:val="5"/>
    </w:pPr>
    <w:rPr>
      <w:rFonts w:ascii="宋体" w:hAnsi="宋体" w:cs="宋体"/>
      <w:b/>
      <w:bCs/>
      <w:sz w:val="24"/>
      <w:lang w:val="zh-CN" w:bidi="zh-C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2014</Words>
  <Characters>2131</Characters>
  <Lines>0</Lines>
  <Paragraphs>0</Paragraphs>
  <TotalTime>0</TotalTime>
  <ScaleCrop>false</ScaleCrop>
  <LinksUpToDate>false</LinksUpToDate>
  <CharactersWithSpaces>2146</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2026-06-18T11:31:00Z</dcterms:created>
  <dc:creator>Administrator</dc:creator>
  <cp:lastModifiedBy>Administrator</cp:lastModifiedBy>
  <dcterms:modified xsi:type="dcterms:W3CDTF">2026-06-22T10:52:50Z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098865EEECA1419A86F69F17E7156503_11</vt:lpwstr>
  </property>
  <property fmtid="{D5CDD505-2E9C-101B-9397-08002B2CF9AE}" pid="4" name="KSOTemplateDocerSaveRecord">
    <vt:lpwstr>eyJoZGlkIjoiMGM5NTdkOGNhMDA3MWE5YjhmNzhmYzJlMmY5ZWFiNzMiLCJ1c2VySWQiOiIxMjE0NzcyODM4In0=</vt:lpwstr>
  </property>
</Properties>
</file>