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75D520">
      <w:pPr>
        <w:keepNext w:val="0"/>
        <w:keepLines w:val="0"/>
        <w:widowControl/>
        <w:suppressLineNumbers w:val="0"/>
        <w:jc w:val="center"/>
        <w:rPr>
          <w:sz w:val="32"/>
          <w:szCs w:val="32"/>
        </w:rPr>
      </w:pPr>
      <w:r>
        <w:rPr>
          <w:rFonts w:hint="eastAsia" w:ascii="宋体" w:hAnsi="宋体" w:eastAsia="宋体" w:cs="宋体"/>
          <w:b/>
          <w:bCs/>
          <w:kern w:val="0"/>
          <w:sz w:val="32"/>
          <w:szCs w:val="32"/>
          <w:lang w:val="en-US" w:eastAsia="zh-CN" w:bidi="ar"/>
        </w:rPr>
        <w:t>江西省赣州市宁都县第四中学高中部教学楼建设项目监理采购需求及评分标准</w:t>
      </w:r>
    </w:p>
    <w:p w14:paraId="6B8589E2">
      <w:pPr>
        <w:pStyle w:val="3"/>
        <w:keepNext w:val="0"/>
        <w:keepLines w:val="0"/>
        <w:pageBreakBefore w:val="0"/>
        <w:widowControl/>
        <w:suppressLineNumbers w:val="0"/>
        <w:kinsoku/>
        <w:wordWrap/>
        <w:overflowPunct/>
        <w:topLinePunct w:val="0"/>
        <w:autoSpaceDE/>
        <w:autoSpaceDN/>
        <w:bidi w:val="0"/>
        <w:adjustRightInd/>
        <w:spacing w:beforeAutospacing="0" w:afterAutospacing="0" w:line="500" w:lineRule="exact"/>
        <w:jc w:val="left"/>
        <w:rPr>
          <w:rFonts w:hint="eastAsia" w:ascii="宋体" w:hAnsi="宋体" w:eastAsia="宋体" w:cs="宋体"/>
          <w:sz w:val="28"/>
          <w:szCs w:val="28"/>
        </w:rPr>
      </w:pPr>
      <w:r>
        <w:rPr>
          <w:rFonts w:hint="eastAsia" w:ascii="宋体" w:hAnsi="宋体" w:eastAsia="宋体" w:cs="宋体"/>
          <w:sz w:val="28"/>
          <w:szCs w:val="28"/>
        </w:rPr>
        <w:t>一、项目基本概况</w:t>
      </w:r>
    </w:p>
    <w:p w14:paraId="1624AB7F">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1. 项目名称：江西省宁都县第四中学高中部教学楼建设项目监理</w:t>
      </w:r>
    </w:p>
    <w:p w14:paraId="5072BA22">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2. 采购方式：竞争性磋商（政府采购）</w:t>
      </w:r>
    </w:p>
    <w:p w14:paraId="50DF2503">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3. 采购预算：_</w:t>
      </w:r>
      <w:r>
        <w:rPr>
          <w:rFonts w:hint="eastAsia" w:ascii="宋体" w:hAnsi="宋体" w:eastAsia="宋体" w:cs="宋体"/>
          <w:kern w:val="0"/>
          <w:sz w:val="28"/>
          <w:szCs w:val="28"/>
          <w:u w:val="single"/>
          <w:lang w:val="en-US" w:eastAsia="zh-CN" w:bidi="ar"/>
        </w:rPr>
        <w:t>_46.97万__</w:t>
      </w:r>
      <w:r>
        <w:rPr>
          <w:rFonts w:hint="eastAsia" w:ascii="宋体" w:hAnsi="宋体" w:eastAsia="宋体" w:cs="宋体"/>
          <w:kern w:val="0"/>
          <w:sz w:val="28"/>
          <w:szCs w:val="28"/>
          <w:lang w:val="en-US" w:eastAsia="zh-CN" w:bidi="ar"/>
        </w:rPr>
        <w:t>元；最高限价：</w:t>
      </w:r>
      <w:r>
        <w:rPr>
          <w:rFonts w:hint="eastAsia" w:ascii="宋体" w:hAnsi="宋体" w:eastAsia="宋体" w:cs="宋体"/>
          <w:kern w:val="0"/>
          <w:sz w:val="28"/>
          <w:szCs w:val="28"/>
          <w:u w:val="single"/>
          <w:lang w:val="en-US" w:eastAsia="zh-CN" w:bidi="ar"/>
        </w:rPr>
        <w:t>__45万_</w:t>
      </w:r>
      <w:r>
        <w:rPr>
          <w:rFonts w:hint="eastAsia" w:ascii="宋体" w:hAnsi="宋体" w:eastAsia="宋体" w:cs="宋体"/>
          <w:kern w:val="0"/>
          <w:sz w:val="28"/>
          <w:szCs w:val="28"/>
          <w:lang w:val="en-US" w:eastAsia="zh-CN" w:bidi="ar"/>
        </w:rPr>
        <w:t>元。响应报价高于最高限价按无效响应处理。本项目报价为</w:t>
      </w:r>
      <w:r>
        <w:rPr>
          <w:rStyle w:val="8"/>
          <w:rFonts w:hint="eastAsia" w:ascii="宋体" w:hAnsi="宋体" w:eastAsia="宋体" w:cs="宋体"/>
          <w:kern w:val="0"/>
          <w:sz w:val="28"/>
          <w:szCs w:val="28"/>
          <w:lang w:val="en-US" w:eastAsia="zh-CN" w:bidi="ar"/>
        </w:rPr>
        <w:t>全费用固定包干总价</w:t>
      </w:r>
      <w:r>
        <w:rPr>
          <w:rFonts w:hint="eastAsia" w:ascii="宋体" w:hAnsi="宋体" w:eastAsia="宋体" w:cs="宋体"/>
          <w:kern w:val="0"/>
          <w:sz w:val="28"/>
          <w:szCs w:val="28"/>
          <w:lang w:val="en-US" w:eastAsia="zh-CN" w:bidi="ar"/>
        </w:rPr>
        <w:t>，包含完成本项目施工准备、全过程施工、竣工验收备案、结算审核、2年缺陷责任保修期等全部监理服务的所有费用，采购人不另行支付任何费用。</w:t>
      </w:r>
    </w:p>
    <w:p w14:paraId="108FD001">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4. 服务地点：江西省宁都县第四中学校园内</w:t>
      </w:r>
    </w:p>
    <w:p w14:paraId="58719E96">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5. 服务周期：自监理合同签订之日起，覆盖施工准备阶段、全过程施工阶段、竣工验收备案阶段、结算审核阶段及2年工程缺陷责任保修阶段；项目竣工验收、资料备案完毕、质保期满且全部监理工作收尾完成后，合同自动终止。因非监理单位原因造成工期顺延的，监理服务期无偿顺延，采购人不再另行支付费用。</w:t>
      </w:r>
    </w:p>
    <w:p w14:paraId="04D0BC52">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中标人须严格遵照赣州市住建主管部门实名制管理要求，落实全员人脸考勤、全程在岗驻场管理，不得擅自更换岗位人员。须无条件提供全部监理人员证件原件用于项目报建、施工许可证核查及主管部门检查核验；证件无法核验、人员无故缺岗、擅自离岗、擅自更换人员的，严格按照合同违约条款追责处置。</w:t>
      </w:r>
    </w:p>
    <w:p w14:paraId="1E88BB78">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6. 项目概况：本项目总建筑面积11667.47㎡，建筑高度23.0米；地下一层建筑面积4610.99㎡（层高5.7米，含机动车停车场及设备用房），地上建筑面积7056.48㎡（1-4层，层高分别为4.5m、4.5m、5.2m、4.7m）；同步实施原有砖混结构拆除工程约2100㎡。地上功能包含体育器材室、专业教室、活动室、教师培训室、舞蹈训练室、设备用房等。项目涵盖教学楼新建、地下室建设、老旧建筑拆除等施工内容，校园施工环境特殊，需重点保障师生安全、严控施工扰民问题。具体工作内容以施工图纸、工程量清单及采购人要求为准。</w:t>
      </w:r>
    </w:p>
    <w:p w14:paraId="264DFE2F">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7. 执行依据：严格遵照《建设工程监理规范》《建筑工程施工质量验收统一标准》、赣市建字〔2021〕33号文件，以及国家、江西省、赣州市现行建筑工程、消防工程、安全文明施工、档案管理相关法律法规、规范标准及政策性文件。</w:t>
      </w:r>
    </w:p>
    <w:p w14:paraId="0619DA7A">
      <w:pPr>
        <w:pStyle w:val="3"/>
        <w:keepNext w:val="0"/>
        <w:keepLines w:val="0"/>
        <w:pageBreakBefore w:val="0"/>
        <w:widowControl/>
        <w:suppressLineNumbers w:val="0"/>
        <w:kinsoku/>
        <w:wordWrap/>
        <w:overflowPunct/>
        <w:topLinePunct w:val="0"/>
        <w:autoSpaceDE/>
        <w:autoSpaceDN/>
        <w:bidi w:val="0"/>
        <w:adjustRightInd/>
        <w:spacing w:beforeAutospacing="0" w:afterAutospacing="0" w:line="500" w:lineRule="exact"/>
        <w:jc w:val="left"/>
        <w:rPr>
          <w:rFonts w:hint="eastAsia" w:ascii="宋体" w:hAnsi="宋体" w:eastAsia="宋体" w:cs="宋体"/>
          <w:sz w:val="28"/>
          <w:szCs w:val="28"/>
        </w:rPr>
      </w:pPr>
      <w:r>
        <w:rPr>
          <w:rFonts w:hint="eastAsia" w:ascii="宋体" w:hAnsi="宋体" w:eastAsia="宋体" w:cs="宋体"/>
          <w:sz w:val="28"/>
          <w:szCs w:val="28"/>
        </w:rPr>
        <w:t>二、总体采购服务要求</w:t>
      </w:r>
    </w:p>
    <w:p w14:paraId="65A85B5F">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供应商须为本项目提供</w:t>
      </w:r>
      <w:r>
        <w:rPr>
          <w:rStyle w:val="8"/>
          <w:rFonts w:hint="eastAsia" w:ascii="宋体" w:hAnsi="宋体" w:eastAsia="宋体" w:cs="宋体"/>
          <w:kern w:val="0"/>
          <w:sz w:val="28"/>
          <w:szCs w:val="28"/>
          <w:lang w:val="en-US" w:eastAsia="zh-CN" w:bidi="ar"/>
        </w:rPr>
        <w:t>全过程、全方位、全周期</w:t>
      </w:r>
      <w:r>
        <w:rPr>
          <w:rFonts w:hint="eastAsia" w:ascii="宋体" w:hAnsi="宋体" w:eastAsia="宋体" w:cs="宋体"/>
          <w:kern w:val="0"/>
          <w:sz w:val="28"/>
          <w:szCs w:val="28"/>
          <w:lang w:val="en-US" w:eastAsia="zh-CN" w:bidi="ar"/>
        </w:rPr>
        <w:t>工程监理服务，全面负责项目质量、安全、进度、投资、合同、文明施工、档案资料等核心管控工作。针对本项目校园施工特殊性，重点落实施工隔离、降噪、防尘、师生安全防护等专项管控措施，彻底消除校园施工安全隐患，最大限度降低施工对校园教学秩序的影响。</w:t>
      </w:r>
    </w:p>
    <w:p w14:paraId="43911FD4">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全程主动配合采购人、住建、消防、应急、审计、城建档案等各级主管部门开展日常检查、专项督查、分部分项验收、阶段性验收、竣工验收、消防验收、竣工档案备案、结算审计、问题整改闭环等全部工作，确保项目合规建设、顺利验收、顺利备案及结算交付。</w:t>
      </w:r>
    </w:p>
    <w:p w14:paraId="0E9CC56A">
      <w:pPr>
        <w:pStyle w:val="3"/>
        <w:keepNext w:val="0"/>
        <w:keepLines w:val="0"/>
        <w:pageBreakBefore w:val="0"/>
        <w:widowControl/>
        <w:suppressLineNumbers w:val="0"/>
        <w:kinsoku/>
        <w:wordWrap/>
        <w:overflowPunct/>
        <w:topLinePunct w:val="0"/>
        <w:autoSpaceDE/>
        <w:autoSpaceDN/>
        <w:bidi w:val="0"/>
        <w:adjustRightInd/>
        <w:spacing w:beforeAutospacing="0" w:afterAutospacing="0" w:line="500" w:lineRule="exact"/>
        <w:jc w:val="left"/>
        <w:rPr>
          <w:rFonts w:hint="eastAsia" w:ascii="宋体" w:hAnsi="宋体" w:eastAsia="宋体" w:cs="宋体"/>
          <w:sz w:val="28"/>
          <w:szCs w:val="28"/>
        </w:rPr>
      </w:pPr>
      <w:r>
        <w:rPr>
          <w:rFonts w:hint="eastAsia" w:ascii="宋体" w:hAnsi="宋体" w:eastAsia="宋体" w:cs="宋体"/>
          <w:sz w:val="28"/>
          <w:szCs w:val="28"/>
        </w:rPr>
        <w:t>三、分阶段监理服务内容</w:t>
      </w:r>
    </w:p>
    <w:p w14:paraId="2B4A3F13">
      <w:pPr>
        <w:pStyle w:val="4"/>
        <w:keepNext w:val="0"/>
        <w:keepLines w:val="0"/>
        <w:pageBreakBefore w:val="0"/>
        <w:widowControl/>
        <w:suppressLineNumbers w:val="0"/>
        <w:kinsoku/>
        <w:wordWrap/>
        <w:overflowPunct/>
        <w:topLinePunct w:val="0"/>
        <w:autoSpaceDE/>
        <w:autoSpaceDN/>
        <w:bidi w:val="0"/>
        <w:adjustRightInd/>
        <w:spacing w:beforeAutospacing="0" w:afterAutospacing="0" w:line="500" w:lineRule="exact"/>
        <w:jc w:val="left"/>
        <w:rPr>
          <w:rFonts w:hint="eastAsia" w:ascii="宋体" w:hAnsi="宋体" w:eastAsia="宋体" w:cs="宋体"/>
          <w:sz w:val="28"/>
          <w:szCs w:val="28"/>
        </w:rPr>
      </w:pPr>
      <w:r>
        <w:rPr>
          <w:rFonts w:hint="eastAsia" w:ascii="宋体" w:hAnsi="宋体" w:eastAsia="宋体" w:cs="宋体"/>
          <w:sz w:val="28"/>
          <w:szCs w:val="28"/>
        </w:rPr>
        <w:t>（一）施工准备阶段监理</w:t>
      </w:r>
    </w:p>
    <w:p w14:paraId="602EDD93">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1. 全面熟悉施工图纸、勘察设计文件、招投标文件、施工合同等资料，精准解读项目概况，深度分析本项目教学楼、地下室、拆除工程施工重难点、风险隐患，形成完整的项目风险分析报告及管控预案，参与图纸会审、设计交底工作，梳理问题清单并全程督促整改闭环。</w:t>
      </w:r>
    </w:p>
    <w:p w14:paraId="34FAD9C9">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2. 严格审核施工单位施工组织设计、基坑支护、临时用电、高空作业、拆除施工、防水消防、装修施工等各类专项施工方案及安全文明施工方案、总进度计划、人材机进场计划，针对不合理、不规范方案出具书面优化及整改意见，严控方案落地合规性。</w:t>
      </w:r>
    </w:p>
    <w:p w14:paraId="67C1BA8D">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3. 严格核验施工单位资质、项目管理人员及特种作业人员执业证件有效性，核查进场建筑材料、构配件、机械设备的合格证明、检测报告等资料，落实进场材料见证取样送检制度，严禁不合格人员、设备、建材进场投入使用。</w:t>
      </w:r>
    </w:p>
    <w:p w14:paraId="7B9D7CE5">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4. 协助采购人完善前期手续办理，配合完成质量监督备案、安全监督备案、施工许可报批等工作，全面排查开工前现场安全隐患，确保项目合法合规开工。</w:t>
      </w:r>
    </w:p>
    <w:p w14:paraId="69CDDD4D">
      <w:pPr>
        <w:pStyle w:val="4"/>
        <w:keepNext w:val="0"/>
        <w:keepLines w:val="0"/>
        <w:pageBreakBefore w:val="0"/>
        <w:widowControl/>
        <w:suppressLineNumbers w:val="0"/>
        <w:kinsoku/>
        <w:wordWrap/>
        <w:overflowPunct/>
        <w:topLinePunct w:val="0"/>
        <w:autoSpaceDE/>
        <w:autoSpaceDN/>
        <w:bidi w:val="0"/>
        <w:adjustRightInd/>
        <w:spacing w:beforeAutospacing="0" w:afterAutospacing="0" w:line="500" w:lineRule="exact"/>
        <w:jc w:val="left"/>
        <w:rPr>
          <w:rFonts w:hint="eastAsia" w:ascii="宋体" w:hAnsi="宋体" w:eastAsia="宋体" w:cs="宋体"/>
          <w:sz w:val="28"/>
          <w:szCs w:val="28"/>
        </w:rPr>
      </w:pPr>
      <w:r>
        <w:rPr>
          <w:rFonts w:hint="eastAsia" w:ascii="宋体" w:hAnsi="宋体" w:eastAsia="宋体" w:cs="宋体"/>
          <w:sz w:val="28"/>
          <w:szCs w:val="28"/>
        </w:rPr>
        <w:t>（二）施工阶段监理</w:t>
      </w:r>
    </w:p>
    <w:p w14:paraId="36983290">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1. 质量管控：严格采取</w:t>
      </w:r>
      <w:r>
        <w:rPr>
          <w:rStyle w:val="8"/>
          <w:rFonts w:hint="eastAsia" w:ascii="宋体" w:hAnsi="宋体" w:eastAsia="宋体" w:cs="宋体"/>
          <w:kern w:val="0"/>
          <w:sz w:val="28"/>
          <w:szCs w:val="28"/>
          <w:lang w:val="en-US" w:eastAsia="zh-CN" w:bidi="ar"/>
        </w:rPr>
        <w:t>旁站、巡视、平行检验</w:t>
      </w:r>
      <w:r>
        <w:rPr>
          <w:rFonts w:hint="eastAsia" w:ascii="宋体" w:hAnsi="宋体" w:eastAsia="宋体" w:cs="宋体"/>
          <w:kern w:val="0"/>
          <w:sz w:val="28"/>
          <w:szCs w:val="28"/>
          <w:lang w:val="en-US" w:eastAsia="zh-CN" w:bidi="ar"/>
        </w:rPr>
        <w:t>相结合的管控模式，对教学楼主体结构梁柱节点、地下室施工、屋面及卫生间防水、消防系统、强弱电管线、外墙保温、室内装修、拆除工程关键工序等所有隐蔽工程、关键施工环节实施全过程旁站监理。严格执行工序报验、三检制度，上道工序验收不合格严禁进入下道工序。发现质量缺陷、违规施工、偷工减料等问题，立即下发整改通知或停工指令，全程跟踪督促整改、复验闭环，确保工程质量完全达到国家合格验收标准。全程落实见证取样制度，保证检测数据真实有效。</w:t>
      </w:r>
    </w:p>
    <w:p w14:paraId="7EA206F2">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2. 安全文明施工管控：常态化巡查施工现场临时用电、高空作业、临边防护、现场消防、机械设备运行、围挡防护等安全措施落实情况。严格落实校园封闭式硬质隔离施工，常态化管控施工扬尘、噪音污染、建筑垃圾清运。针对开学季、节假日、校园活动期间制定专项安全管控方案，落实专人值守，杜绝施工安全事故，最大限度减少施工对师生教学、生活的干扰。</w:t>
      </w:r>
    </w:p>
    <w:p w14:paraId="6A773B3E">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3. 进度管控：定期对照施工总进度计划核查现场实际施工进度，精准分析进度滞后原因，督促施工单位优化人员、设备、材料资源配置，落实进度纠偏措施。建立完善进度核查、纠偏、报表报送机制，定期向采购人报送进度报表、进度分析报告及整改落实情况。</w:t>
      </w:r>
    </w:p>
    <w:p w14:paraId="2D732364">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4. 投资及合同管控：严格把控工程设计变更、现场签证审核，现场实测实量、留存完整影像及文字资料，精准核算已完工程量，严控不合理增量、虚报工程量。规范审核工程进度款支付资料，梳理合同履约情况，及时协调解决合同履约纠纷，全程配合项目竣工结算、造价审计工作，保障投资可控、合规。</w:t>
      </w:r>
    </w:p>
    <w:p w14:paraId="657F8A9D">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5. 资料管控：同步收集、整理、归档监理日志、旁站记录、巡检记录、验收资料、整改回复文件、会议纪要、影像资料等全部监理档案，确保资料真实、完整、规范、可追溯，完全满足江西省城建档案归档、审计及主管部门核查要求。</w:t>
      </w:r>
    </w:p>
    <w:p w14:paraId="77EA9F81">
      <w:pPr>
        <w:pStyle w:val="4"/>
        <w:keepNext w:val="0"/>
        <w:keepLines w:val="0"/>
        <w:pageBreakBefore w:val="0"/>
        <w:widowControl/>
        <w:suppressLineNumbers w:val="0"/>
        <w:kinsoku/>
        <w:wordWrap/>
        <w:overflowPunct/>
        <w:topLinePunct w:val="0"/>
        <w:autoSpaceDE/>
        <w:autoSpaceDN/>
        <w:bidi w:val="0"/>
        <w:adjustRightInd/>
        <w:spacing w:beforeAutospacing="0" w:afterAutospacing="0" w:line="500" w:lineRule="exact"/>
        <w:jc w:val="left"/>
        <w:rPr>
          <w:rFonts w:hint="eastAsia" w:ascii="宋体" w:hAnsi="宋体" w:eastAsia="宋体" w:cs="宋体"/>
          <w:sz w:val="28"/>
          <w:szCs w:val="28"/>
        </w:rPr>
      </w:pPr>
      <w:r>
        <w:rPr>
          <w:rFonts w:hint="eastAsia" w:ascii="宋体" w:hAnsi="宋体" w:eastAsia="宋体" w:cs="宋体"/>
          <w:sz w:val="28"/>
          <w:szCs w:val="28"/>
        </w:rPr>
        <w:t>（三）竣工及备案阶段监理</w:t>
      </w:r>
    </w:p>
    <w:p w14:paraId="2BE275D0">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1. 督促施工单位完成工程全部收尾工作及全面自检，逐项核查竣工资料的完整性、规范性、真实性，对缺失、不规范资料督促限期整改完善。</w:t>
      </w:r>
    </w:p>
    <w:p w14:paraId="23DACA8E">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2. 组织开展项目预验收工作，全面排查工程实体及资料问题，列明详细整改清单、明确整改时限，全程跟踪督促施工单位整改闭环、复验合格。</w:t>
      </w:r>
    </w:p>
    <w:p w14:paraId="65133A92">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3. 全程参与项目正式竣工验收，出具规范完整的监理质量评估报告，分工明确、流程规范地协助采购人完成竣工验收、城建档案验收、消防验收、竣工备案等全部手续。</w:t>
      </w:r>
    </w:p>
    <w:p w14:paraId="10AE25E3">
      <w:pPr>
        <w:pStyle w:val="4"/>
        <w:keepNext w:val="0"/>
        <w:keepLines w:val="0"/>
        <w:pageBreakBefore w:val="0"/>
        <w:widowControl/>
        <w:suppressLineNumbers w:val="0"/>
        <w:kinsoku/>
        <w:wordWrap/>
        <w:overflowPunct/>
        <w:topLinePunct w:val="0"/>
        <w:autoSpaceDE/>
        <w:autoSpaceDN/>
        <w:bidi w:val="0"/>
        <w:adjustRightInd/>
        <w:spacing w:beforeAutospacing="0" w:afterAutospacing="0" w:line="500" w:lineRule="exact"/>
        <w:jc w:val="left"/>
        <w:rPr>
          <w:rFonts w:hint="eastAsia" w:ascii="宋体" w:hAnsi="宋体" w:eastAsia="宋体" w:cs="宋体"/>
          <w:sz w:val="28"/>
          <w:szCs w:val="28"/>
        </w:rPr>
      </w:pPr>
      <w:r>
        <w:rPr>
          <w:rFonts w:hint="eastAsia" w:ascii="宋体" w:hAnsi="宋体" w:eastAsia="宋体" w:cs="宋体"/>
          <w:sz w:val="28"/>
          <w:szCs w:val="28"/>
        </w:rPr>
        <w:t>（四）缺陷责任保修阶段监理（2年）</w:t>
      </w:r>
    </w:p>
    <w:p w14:paraId="3A6EB14B">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1. 建立完善保修期巡检、台账管理制度，定期开展现场巡检，重点排查屋面渗漏、墙体开裂、水电故障、消防设施破损、装修破损等各类质量缺陷，建立完整的巡检台账及问题清单。</w:t>
      </w:r>
    </w:p>
    <w:p w14:paraId="1BB5F0B5">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2. 建立</w:t>
      </w:r>
      <w:r>
        <w:rPr>
          <w:rStyle w:val="8"/>
          <w:rFonts w:hint="eastAsia" w:ascii="宋体" w:hAnsi="宋体" w:eastAsia="宋体" w:cs="宋体"/>
          <w:kern w:val="0"/>
          <w:sz w:val="28"/>
          <w:szCs w:val="28"/>
          <w:lang w:val="en-US" w:eastAsia="zh-CN" w:bidi="ar"/>
        </w:rPr>
        <w:t>24小时报修响应及问题闭环机制</w:t>
      </w:r>
      <w:r>
        <w:rPr>
          <w:rFonts w:hint="eastAsia" w:ascii="宋体" w:hAnsi="宋体" w:eastAsia="宋体" w:cs="宋体"/>
          <w:kern w:val="0"/>
          <w:sz w:val="28"/>
          <w:szCs w:val="28"/>
          <w:lang w:val="en-US" w:eastAsia="zh-CN" w:bidi="ar"/>
        </w:rPr>
        <w:t>，接到采购人或使用单位报修通知后，24小时内派员到场核查问题、界定责任主体，督促责任单位限期维修、复验闭环，保障校园设施正常使用。</w:t>
      </w:r>
    </w:p>
    <w:p w14:paraId="089CB21D">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3. 保修期满后，编制完整规范的保修阶段监理工作总结，完成全部工作移交，配合采购人完成项目收尾交割。</w:t>
      </w:r>
    </w:p>
    <w:p w14:paraId="73CD039D">
      <w:pPr>
        <w:pStyle w:val="3"/>
        <w:keepNext w:val="0"/>
        <w:keepLines w:val="0"/>
        <w:pageBreakBefore w:val="0"/>
        <w:widowControl/>
        <w:suppressLineNumbers w:val="0"/>
        <w:kinsoku/>
        <w:wordWrap/>
        <w:overflowPunct/>
        <w:topLinePunct w:val="0"/>
        <w:autoSpaceDE/>
        <w:autoSpaceDN/>
        <w:bidi w:val="0"/>
        <w:adjustRightInd/>
        <w:spacing w:beforeAutospacing="0" w:afterAutospacing="0" w:line="500" w:lineRule="exact"/>
        <w:jc w:val="left"/>
        <w:rPr>
          <w:rFonts w:hint="eastAsia" w:ascii="宋体" w:hAnsi="宋体" w:eastAsia="宋体" w:cs="宋体"/>
          <w:sz w:val="28"/>
          <w:szCs w:val="28"/>
        </w:rPr>
      </w:pPr>
      <w:r>
        <w:rPr>
          <w:rFonts w:hint="eastAsia" w:ascii="宋体" w:hAnsi="宋体" w:eastAsia="宋体" w:cs="宋体"/>
          <w:sz w:val="28"/>
          <w:szCs w:val="28"/>
        </w:rPr>
        <w:t>四、项目监理机构人员配置（对标评标人员配置评分，遵照赣市建字〔2021〕33号）</w:t>
      </w:r>
    </w:p>
    <w:p w14:paraId="1FA68F1F">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lang w:val="en-US" w:eastAsia="zh-CN"/>
        </w:rPr>
      </w:pPr>
      <w:r>
        <w:rPr>
          <w:rFonts w:hint="eastAsia" w:ascii="宋体" w:hAnsi="宋体" w:eastAsia="宋体" w:cs="宋体"/>
          <w:kern w:val="0"/>
          <w:sz w:val="28"/>
          <w:szCs w:val="28"/>
          <w:lang w:val="en-US" w:eastAsia="zh-CN" w:bidi="ar"/>
        </w:rPr>
        <w:t>供应商须严格按本项目要求足额配置岗位人员，实现人证合一、证件有效、在岗履职，同步制定完善的</w:t>
      </w:r>
      <w:r>
        <w:rPr>
          <w:rStyle w:val="8"/>
          <w:rFonts w:hint="eastAsia" w:ascii="宋体" w:hAnsi="宋体" w:eastAsia="宋体" w:cs="宋体"/>
          <w:kern w:val="0"/>
          <w:sz w:val="28"/>
          <w:szCs w:val="28"/>
          <w:lang w:val="en-US" w:eastAsia="zh-CN" w:bidi="ar"/>
        </w:rPr>
        <w:t>人员考勤、在岗管理、岗位兼任（安全监理、见证取样）管理制度</w:t>
      </w:r>
      <w:r>
        <w:rPr>
          <w:rFonts w:hint="eastAsia" w:ascii="宋体" w:hAnsi="宋体" w:eastAsia="宋体" w:cs="宋体"/>
          <w:kern w:val="0"/>
          <w:sz w:val="28"/>
          <w:szCs w:val="28"/>
          <w:lang w:val="en-US" w:eastAsia="zh-CN" w:bidi="ar"/>
        </w:rPr>
        <w:t>，贴合项目实名制管理要求。所有人员须提供注册证书、职称证书、近6个月社保缴纳彩色复印件并加盖供应商公章，证件无效、人证不一致、社保不符者不予认可。</w:t>
      </w:r>
    </w:p>
    <w:p w14:paraId="421642EC">
      <w:pPr>
        <w:keepLines w:val="0"/>
        <w:pageBreakBefore w:val="0"/>
        <w:kinsoku/>
        <w:wordWrap/>
        <w:overflowPunct/>
        <w:topLinePunct w:val="0"/>
        <w:autoSpaceDE/>
        <w:autoSpaceDN/>
        <w:bidi w:val="0"/>
        <w:adjustRightInd/>
        <w:ind w:firstLine="420" w:firstLineChars="200"/>
        <w:rPr>
          <w:rFonts w:hint="eastAsia"/>
          <w:lang w:val="en-US" w:eastAsia="zh-CN"/>
        </w:rPr>
      </w:pPr>
    </w:p>
    <w:p w14:paraId="34EAB650">
      <w:pPr>
        <w:keepLines w:val="0"/>
        <w:pageBreakBefore w:val="0"/>
        <w:kinsoku/>
        <w:wordWrap/>
        <w:overflowPunct/>
        <w:topLinePunct w:val="0"/>
        <w:autoSpaceDE/>
        <w:autoSpaceDN/>
        <w:bidi w:val="0"/>
        <w:adjustRightInd/>
        <w:ind w:firstLine="420" w:firstLineChars="200"/>
        <w:rPr>
          <w:rFonts w:hint="eastAsia"/>
          <w:lang w:val="en-US" w:eastAsia="zh-CN"/>
        </w:rPr>
      </w:pPr>
    </w:p>
    <w:p w14:paraId="317B2806">
      <w:pPr>
        <w:keepLines w:val="0"/>
        <w:pageBreakBefore w:val="0"/>
        <w:kinsoku/>
        <w:wordWrap/>
        <w:overflowPunct/>
        <w:topLinePunct w:val="0"/>
        <w:autoSpaceDE/>
        <w:autoSpaceDN/>
        <w:bidi w:val="0"/>
        <w:adjustRightInd/>
        <w:ind w:firstLine="420" w:firstLineChars="200"/>
        <w:rPr>
          <w:rFonts w:hint="eastAsia"/>
          <w:lang w:val="en-US" w:eastAsia="zh-CN"/>
        </w:rPr>
      </w:pPr>
    </w:p>
    <w:p w14:paraId="13F225F7">
      <w:pPr>
        <w:keepLines w:val="0"/>
        <w:pageBreakBefore w:val="0"/>
        <w:kinsoku/>
        <w:wordWrap/>
        <w:overflowPunct/>
        <w:topLinePunct w:val="0"/>
        <w:autoSpaceDE/>
        <w:autoSpaceDN/>
        <w:bidi w:val="0"/>
        <w:adjustRightInd/>
        <w:ind w:firstLine="420" w:firstLineChars="200"/>
        <w:rPr>
          <w:rFonts w:hint="eastAsia"/>
          <w:lang w:val="en-US" w:eastAsia="zh-CN"/>
        </w:rPr>
      </w:pPr>
    </w:p>
    <w:p w14:paraId="77C8122A">
      <w:pPr>
        <w:keepLines w:val="0"/>
        <w:pageBreakBefore w:val="0"/>
        <w:kinsoku/>
        <w:wordWrap/>
        <w:overflowPunct/>
        <w:topLinePunct w:val="0"/>
        <w:autoSpaceDE/>
        <w:autoSpaceDN/>
        <w:bidi w:val="0"/>
        <w:adjustRightInd/>
        <w:ind w:firstLine="420" w:firstLineChars="200"/>
        <w:rPr>
          <w:rFonts w:hint="eastAsia"/>
          <w:lang w:val="en-US" w:eastAsia="zh-CN"/>
        </w:rPr>
      </w:pPr>
    </w:p>
    <w:p w14:paraId="22B36D26">
      <w:pPr>
        <w:keepLines w:val="0"/>
        <w:pageBreakBefore w:val="0"/>
        <w:kinsoku/>
        <w:wordWrap/>
        <w:overflowPunct/>
        <w:topLinePunct w:val="0"/>
        <w:autoSpaceDE/>
        <w:autoSpaceDN/>
        <w:bidi w:val="0"/>
        <w:adjustRightInd/>
        <w:ind w:firstLine="420" w:firstLineChars="200"/>
        <w:rPr>
          <w:rFonts w:hint="eastAsia"/>
          <w:lang w:val="en-US" w:eastAsia="zh-CN"/>
        </w:rPr>
      </w:pPr>
    </w:p>
    <w:p w14:paraId="07555B35">
      <w:pPr>
        <w:keepLines w:val="0"/>
        <w:pageBreakBefore w:val="0"/>
        <w:kinsoku/>
        <w:wordWrap/>
        <w:overflowPunct/>
        <w:topLinePunct w:val="0"/>
        <w:autoSpaceDE/>
        <w:autoSpaceDN/>
        <w:bidi w:val="0"/>
        <w:adjustRightInd/>
        <w:ind w:firstLine="420" w:firstLineChars="200"/>
        <w:rPr>
          <w:rFonts w:hint="eastAsia"/>
          <w:lang w:val="en-US" w:eastAsia="zh-CN"/>
        </w:rPr>
      </w:pPr>
    </w:p>
    <w:p w14:paraId="5DB32D1F">
      <w:pPr>
        <w:keepLines w:val="0"/>
        <w:pageBreakBefore w:val="0"/>
        <w:kinsoku/>
        <w:wordWrap/>
        <w:overflowPunct/>
        <w:topLinePunct w:val="0"/>
        <w:autoSpaceDE/>
        <w:autoSpaceDN/>
        <w:bidi w:val="0"/>
        <w:adjustRightInd/>
        <w:ind w:firstLine="420" w:firstLineChars="200"/>
        <w:rPr>
          <w:rFonts w:hint="eastAsia"/>
          <w:lang w:val="en-US" w:eastAsia="zh-CN"/>
        </w:rPr>
      </w:pPr>
    </w:p>
    <w:p w14:paraId="5F858AC2">
      <w:pPr>
        <w:keepLines w:val="0"/>
        <w:pageBreakBefore w:val="0"/>
        <w:kinsoku/>
        <w:wordWrap/>
        <w:overflowPunct/>
        <w:topLinePunct w:val="0"/>
        <w:autoSpaceDE/>
        <w:autoSpaceDN/>
        <w:bidi w:val="0"/>
        <w:adjustRightInd/>
        <w:ind w:firstLine="420" w:firstLineChars="200"/>
        <w:rPr>
          <w:rFonts w:hint="eastAsia"/>
          <w:lang w:val="en-US" w:eastAsia="zh-CN"/>
        </w:rPr>
      </w:pPr>
    </w:p>
    <w:p w14:paraId="2EA6F02D">
      <w:pPr>
        <w:keepLines w:val="0"/>
        <w:pageBreakBefore w:val="0"/>
        <w:kinsoku/>
        <w:wordWrap/>
        <w:overflowPunct/>
        <w:topLinePunct w:val="0"/>
        <w:autoSpaceDE/>
        <w:autoSpaceDN/>
        <w:bidi w:val="0"/>
        <w:adjustRightInd/>
        <w:ind w:firstLine="420" w:firstLineChars="200"/>
        <w:rPr>
          <w:rFonts w:hint="eastAsia"/>
          <w:lang w:val="en-US" w:eastAsia="zh-CN"/>
        </w:rPr>
      </w:pPr>
    </w:p>
    <w:p w14:paraId="78B0DC46">
      <w:pPr>
        <w:keepLines w:val="0"/>
        <w:pageBreakBefore w:val="0"/>
        <w:kinsoku/>
        <w:wordWrap/>
        <w:overflowPunct/>
        <w:topLinePunct w:val="0"/>
        <w:autoSpaceDE/>
        <w:autoSpaceDN/>
        <w:bidi w:val="0"/>
        <w:adjustRightInd/>
        <w:ind w:firstLine="420" w:firstLineChars="200"/>
        <w:rPr>
          <w:rFonts w:hint="eastAsia"/>
          <w:lang w:val="en-US" w:eastAsia="zh-CN"/>
        </w:rPr>
      </w:pPr>
    </w:p>
    <w:p w14:paraId="5939372D">
      <w:pPr>
        <w:keepLines w:val="0"/>
        <w:pageBreakBefore w:val="0"/>
        <w:kinsoku/>
        <w:wordWrap/>
        <w:overflowPunct/>
        <w:topLinePunct w:val="0"/>
        <w:autoSpaceDE/>
        <w:autoSpaceDN/>
        <w:bidi w:val="0"/>
        <w:adjustRightInd/>
        <w:ind w:firstLine="420" w:firstLineChars="200"/>
        <w:rPr>
          <w:rFonts w:hint="eastAsia"/>
          <w:lang w:val="en-US" w:eastAsia="zh-CN"/>
        </w:rPr>
      </w:pPr>
    </w:p>
    <w:p w14:paraId="30221361">
      <w:pPr>
        <w:keepLines w:val="0"/>
        <w:pageBreakBefore w:val="0"/>
        <w:kinsoku/>
        <w:wordWrap/>
        <w:overflowPunct/>
        <w:topLinePunct w:val="0"/>
        <w:autoSpaceDE/>
        <w:autoSpaceDN/>
        <w:bidi w:val="0"/>
        <w:adjustRightInd/>
        <w:ind w:firstLine="420" w:firstLineChars="200"/>
        <w:rPr>
          <w:rFonts w:hint="eastAsia"/>
          <w:lang w:val="en-US" w:eastAsia="zh-CN"/>
        </w:rPr>
      </w:pPr>
    </w:p>
    <w:p w14:paraId="1FAF564B">
      <w:pPr>
        <w:keepLines w:val="0"/>
        <w:pageBreakBefore w:val="0"/>
        <w:kinsoku/>
        <w:wordWrap/>
        <w:overflowPunct/>
        <w:topLinePunct w:val="0"/>
        <w:autoSpaceDE/>
        <w:autoSpaceDN/>
        <w:bidi w:val="0"/>
        <w:adjustRightInd/>
        <w:ind w:firstLine="420" w:firstLineChars="200"/>
        <w:rPr>
          <w:rFonts w:hint="eastAsia"/>
          <w:lang w:val="en-US" w:eastAsia="zh-CN"/>
        </w:rPr>
      </w:pPr>
    </w:p>
    <w:p w14:paraId="2B657392">
      <w:pPr>
        <w:keepLines w:val="0"/>
        <w:pageBreakBefore w:val="0"/>
        <w:kinsoku/>
        <w:wordWrap/>
        <w:overflowPunct/>
        <w:topLinePunct w:val="0"/>
        <w:autoSpaceDE/>
        <w:autoSpaceDN/>
        <w:bidi w:val="0"/>
        <w:adjustRightInd/>
        <w:ind w:firstLine="420" w:firstLineChars="200"/>
        <w:rPr>
          <w:rFonts w:hint="eastAsia"/>
          <w:lang w:val="en-US" w:eastAsia="zh-CN"/>
        </w:rPr>
      </w:pPr>
    </w:p>
    <w:p w14:paraId="25CA5486">
      <w:pPr>
        <w:keepLines w:val="0"/>
        <w:pageBreakBefore w:val="0"/>
        <w:tabs>
          <w:tab w:val="left" w:pos="1180"/>
        </w:tabs>
        <w:kinsoku/>
        <w:wordWrap/>
        <w:overflowPunct/>
        <w:topLinePunct w:val="0"/>
        <w:autoSpaceDE/>
        <w:autoSpaceDN/>
        <w:bidi w:val="0"/>
        <w:adjustRightInd/>
        <w:ind w:firstLine="420" w:firstLineChars="200"/>
        <w:jc w:val="left"/>
        <w:rPr>
          <w:rFonts w:hint="eastAsia"/>
          <w:lang w:val="en-US" w:eastAsia="zh-CN"/>
        </w:rPr>
      </w:pPr>
    </w:p>
    <w:tbl>
      <w:tblPr>
        <w:tblStyle w:val="5"/>
        <w:tblW w:w="99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712"/>
        <w:gridCol w:w="1686"/>
        <w:gridCol w:w="795"/>
        <w:gridCol w:w="3151"/>
        <w:gridCol w:w="1949"/>
        <w:gridCol w:w="1646"/>
      </w:tblGrid>
      <w:tr w14:paraId="1379C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45" w:hRule="atLeast"/>
          <w:tblHeader/>
          <w:jc w:val="center"/>
        </w:trPr>
        <w:tc>
          <w:tcPr>
            <w:tcW w:w="712" w:type="dxa"/>
            <w:tcBorders>
              <w:top w:val="single" w:color="auto" w:sz="4" w:space="0"/>
              <w:left w:val="single" w:color="auto" w:sz="4" w:space="0"/>
              <w:bottom w:val="single" w:color="auto" w:sz="4" w:space="0"/>
              <w:right w:val="single" w:color="auto" w:sz="4" w:space="0"/>
            </w:tcBorders>
            <w:shd w:val="clear" w:color="auto" w:fill="F2F3F5"/>
            <w:tcMar>
              <w:top w:w="96" w:type="dxa"/>
              <w:left w:w="96" w:type="dxa"/>
              <w:bottom w:w="96" w:type="dxa"/>
              <w:right w:w="96" w:type="dxa"/>
            </w:tcMar>
            <w:vAlign w:val="center"/>
          </w:tcPr>
          <w:p w14:paraId="61A8E8DA">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top"/>
              <w:rPr>
                <w:rFonts w:hint="eastAsia" w:ascii="宋体" w:hAnsi="宋体" w:eastAsia="宋体" w:cs="宋体"/>
                <w:b/>
                <w:sz w:val="28"/>
                <w:szCs w:val="28"/>
              </w:rPr>
            </w:pPr>
            <w:r>
              <w:rPr>
                <w:rFonts w:hint="eastAsia" w:ascii="宋体" w:hAnsi="宋体" w:eastAsia="宋体" w:cs="宋体"/>
                <w:b/>
                <w:kern w:val="0"/>
                <w:sz w:val="28"/>
                <w:szCs w:val="28"/>
                <w:lang w:val="en-US" w:eastAsia="zh-CN" w:bidi="ar"/>
              </w:rPr>
              <w:t>序号</w:t>
            </w:r>
          </w:p>
        </w:tc>
        <w:tc>
          <w:tcPr>
            <w:tcW w:w="1686" w:type="dxa"/>
            <w:tcBorders>
              <w:top w:val="single" w:color="auto" w:sz="4" w:space="0"/>
              <w:left w:val="single" w:color="auto" w:sz="4" w:space="0"/>
              <w:bottom w:val="single" w:color="auto" w:sz="4" w:space="0"/>
              <w:right w:val="single" w:color="auto" w:sz="4" w:space="0"/>
            </w:tcBorders>
            <w:shd w:val="clear" w:color="auto" w:fill="F2F3F5"/>
            <w:tcMar>
              <w:top w:w="96" w:type="dxa"/>
              <w:left w:w="96" w:type="dxa"/>
              <w:bottom w:w="96" w:type="dxa"/>
              <w:right w:w="96" w:type="dxa"/>
            </w:tcMar>
            <w:vAlign w:val="center"/>
          </w:tcPr>
          <w:p w14:paraId="6E699B7D">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top"/>
              <w:rPr>
                <w:rFonts w:hint="eastAsia" w:ascii="宋体" w:hAnsi="宋体" w:eastAsia="宋体" w:cs="宋体"/>
                <w:b/>
                <w:sz w:val="28"/>
                <w:szCs w:val="28"/>
              </w:rPr>
            </w:pPr>
            <w:r>
              <w:rPr>
                <w:rFonts w:hint="eastAsia" w:ascii="宋体" w:hAnsi="宋体" w:eastAsia="宋体" w:cs="宋体"/>
                <w:b/>
                <w:kern w:val="0"/>
                <w:sz w:val="28"/>
                <w:szCs w:val="28"/>
                <w:lang w:val="en-US" w:eastAsia="zh-CN" w:bidi="ar"/>
              </w:rPr>
              <w:t>岗位</w:t>
            </w:r>
          </w:p>
        </w:tc>
        <w:tc>
          <w:tcPr>
            <w:tcW w:w="795" w:type="dxa"/>
            <w:tcBorders>
              <w:top w:val="single" w:color="auto" w:sz="4" w:space="0"/>
              <w:left w:val="single" w:color="auto" w:sz="4" w:space="0"/>
              <w:bottom w:val="single" w:color="auto" w:sz="4" w:space="0"/>
              <w:right w:val="single" w:color="auto" w:sz="4" w:space="0"/>
            </w:tcBorders>
            <w:shd w:val="clear" w:color="auto" w:fill="F2F3F5"/>
            <w:tcMar>
              <w:top w:w="96" w:type="dxa"/>
              <w:left w:w="96" w:type="dxa"/>
              <w:bottom w:w="96" w:type="dxa"/>
              <w:right w:w="96" w:type="dxa"/>
            </w:tcMar>
            <w:vAlign w:val="center"/>
          </w:tcPr>
          <w:p w14:paraId="3EDA8FB7">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top"/>
              <w:rPr>
                <w:rFonts w:hint="eastAsia" w:ascii="宋体" w:hAnsi="宋体" w:eastAsia="宋体" w:cs="宋体"/>
                <w:b/>
                <w:sz w:val="28"/>
                <w:szCs w:val="28"/>
              </w:rPr>
            </w:pPr>
            <w:r>
              <w:rPr>
                <w:rFonts w:hint="eastAsia" w:ascii="宋体" w:hAnsi="宋体" w:eastAsia="宋体" w:cs="宋体"/>
                <w:b/>
                <w:kern w:val="0"/>
                <w:sz w:val="28"/>
                <w:szCs w:val="28"/>
                <w:lang w:val="en-US" w:eastAsia="zh-CN" w:bidi="ar"/>
              </w:rPr>
              <w:t>配置人数</w:t>
            </w:r>
          </w:p>
        </w:tc>
        <w:tc>
          <w:tcPr>
            <w:tcW w:w="3151" w:type="dxa"/>
            <w:tcBorders>
              <w:top w:val="single" w:color="auto" w:sz="4" w:space="0"/>
              <w:left w:val="single" w:color="auto" w:sz="4" w:space="0"/>
              <w:bottom w:val="single" w:color="auto" w:sz="4" w:space="0"/>
              <w:right w:val="single" w:color="auto" w:sz="4" w:space="0"/>
            </w:tcBorders>
            <w:shd w:val="clear" w:color="auto" w:fill="F2F3F5"/>
            <w:tcMar>
              <w:top w:w="96" w:type="dxa"/>
              <w:left w:w="96" w:type="dxa"/>
              <w:bottom w:w="96" w:type="dxa"/>
              <w:right w:w="96" w:type="dxa"/>
            </w:tcMar>
            <w:vAlign w:val="center"/>
          </w:tcPr>
          <w:p w14:paraId="451B9A03">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top"/>
              <w:rPr>
                <w:rFonts w:hint="eastAsia" w:ascii="宋体" w:hAnsi="宋体" w:eastAsia="宋体" w:cs="宋体"/>
                <w:b/>
                <w:sz w:val="28"/>
                <w:szCs w:val="28"/>
              </w:rPr>
            </w:pPr>
            <w:r>
              <w:rPr>
                <w:rFonts w:hint="eastAsia" w:ascii="宋体" w:hAnsi="宋体" w:eastAsia="宋体" w:cs="宋体"/>
                <w:b/>
                <w:kern w:val="0"/>
                <w:sz w:val="28"/>
                <w:szCs w:val="28"/>
                <w:lang w:val="en-US" w:eastAsia="zh-CN" w:bidi="ar"/>
              </w:rPr>
              <w:t>资质职称及业绩要求</w:t>
            </w:r>
          </w:p>
        </w:tc>
        <w:tc>
          <w:tcPr>
            <w:tcW w:w="1949" w:type="dxa"/>
            <w:tcBorders>
              <w:top w:val="single" w:color="auto" w:sz="4" w:space="0"/>
              <w:left w:val="single" w:color="auto" w:sz="4" w:space="0"/>
              <w:bottom w:val="single" w:color="auto" w:sz="4" w:space="0"/>
              <w:right w:val="single" w:color="auto" w:sz="4" w:space="0"/>
            </w:tcBorders>
            <w:shd w:val="clear" w:color="auto" w:fill="F2F3F5"/>
            <w:tcMar>
              <w:top w:w="96" w:type="dxa"/>
              <w:left w:w="96" w:type="dxa"/>
              <w:bottom w:w="96" w:type="dxa"/>
              <w:right w:w="96" w:type="dxa"/>
            </w:tcMar>
            <w:vAlign w:val="center"/>
          </w:tcPr>
          <w:p w14:paraId="6436AEEF">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top"/>
              <w:rPr>
                <w:rFonts w:hint="eastAsia" w:ascii="宋体" w:hAnsi="宋体" w:eastAsia="宋体" w:cs="宋体"/>
                <w:b/>
                <w:sz w:val="28"/>
                <w:szCs w:val="28"/>
              </w:rPr>
            </w:pPr>
            <w:r>
              <w:rPr>
                <w:rFonts w:hint="eastAsia" w:ascii="宋体" w:hAnsi="宋体" w:eastAsia="宋体" w:cs="宋体"/>
                <w:b/>
                <w:kern w:val="0"/>
                <w:sz w:val="28"/>
                <w:szCs w:val="28"/>
                <w:lang w:val="en-US" w:eastAsia="zh-CN" w:bidi="ar"/>
              </w:rPr>
              <w:t>驻场管理要求</w:t>
            </w:r>
          </w:p>
        </w:tc>
        <w:tc>
          <w:tcPr>
            <w:tcW w:w="1646" w:type="dxa"/>
            <w:tcBorders>
              <w:top w:val="single" w:color="auto" w:sz="4" w:space="0"/>
              <w:left w:val="single" w:color="auto" w:sz="4" w:space="0"/>
              <w:bottom w:val="single" w:color="auto" w:sz="4" w:space="0"/>
              <w:right w:val="single" w:color="auto" w:sz="4" w:space="0"/>
            </w:tcBorders>
            <w:shd w:val="clear" w:color="auto" w:fill="F2F3F5"/>
            <w:tcMar>
              <w:top w:w="96" w:type="dxa"/>
              <w:left w:w="96" w:type="dxa"/>
              <w:bottom w:w="96" w:type="dxa"/>
              <w:right w:w="96" w:type="dxa"/>
            </w:tcMar>
            <w:vAlign w:val="center"/>
          </w:tcPr>
          <w:p w14:paraId="483BE650">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top"/>
              <w:rPr>
                <w:rFonts w:hint="eastAsia" w:ascii="宋体" w:hAnsi="宋体" w:eastAsia="宋体" w:cs="宋体"/>
                <w:b/>
                <w:sz w:val="28"/>
                <w:szCs w:val="28"/>
              </w:rPr>
            </w:pPr>
            <w:r>
              <w:rPr>
                <w:rFonts w:hint="eastAsia" w:ascii="宋体" w:hAnsi="宋体" w:eastAsia="宋体" w:cs="宋体"/>
                <w:b/>
                <w:kern w:val="0"/>
                <w:sz w:val="28"/>
                <w:szCs w:val="28"/>
                <w:lang w:val="en-US" w:eastAsia="zh-CN" w:bidi="ar"/>
              </w:rPr>
              <w:t>备注</w:t>
            </w:r>
          </w:p>
        </w:tc>
      </w:tr>
      <w:tr w14:paraId="46B4F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0" w:hRule="atLeast"/>
          <w:jc w:val="center"/>
        </w:trPr>
        <w:tc>
          <w:tcPr>
            <w:tcW w:w="712" w:type="dxa"/>
            <w:tcBorders>
              <w:top w:val="single" w:color="auto" w:sz="4" w:space="0"/>
              <w:left w:val="single" w:color="auto" w:sz="4" w:space="0"/>
              <w:bottom w:val="single" w:color="auto" w:sz="4" w:space="0"/>
              <w:right w:val="single" w:color="auto" w:sz="4" w:space="0"/>
            </w:tcBorders>
            <w:shd w:val="clear" w:color="auto" w:fill="auto"/>
            <w:tcMar>
              <w:top w:w="96" w:type="dxa"/>
              <w:left w:w="96" w:type="dxa"/>
              <w:bottom w:w="96" w:type="dxa"/>
              <w:right w:w="96" w:type="dxa"/>
            </w:tcMar>
            <w:vAlign w:val="center"/>
          </w:tcPr>
          <w:p w14:paraId="38631CF8">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top"/>
              <w:rPr>
                <w:rFonts w:hint="eastAsia" w:ascii="宋体" w:hAnsi="宋体" w:eastAsia="宋体" w:cs="宋体"/>
                <w:sz w:val="28"/>
                <w:szCs w:val="28"/>
              </w:rPr>
            </w:pPr>
            <w:r>
              <w:rPr>
                <w:rFonts w:hint="eastAsia" w:ascii="宋体" w:hAnsi="宋体" w:eastAsia="宋体" w:cs="宋体"/>
                <w:kern w:val="0"/>
                <w:sz w:val="28"/>
                <w:szCs w:val="28"/>
                <w:lang w:val="en-US" w:eastAsia="zh-CN" w:bidi="ar"/>
              </w:rPr>
              <w:t>1</w:t>
            </w:r>
          </w:p>
        </w:tc>
        <w:tc>
          <w:tcPr>
            <w:tcW w:w="1686" w:type="dxa"/>
            <w:tcBorders>
              <w:top w:val="single" w:color="auto" w:sz="4" w:space="0"/>
              <w:left w:val="single" w:color="auto" w:sz="4" w:space="0"/>
              <w:bottom w:val="single" w:color="auto" w:sz="4" w:space="0"/>
              <w:right w:val="single" w:color="auto" w:sz="4" w:space="0"/>
            </w:tcBorders>
            <w:shd w:val="clear" w:color="auto" w:fill="auto"/>
            <w:tcMar>
              <w:top w:w="96" w:type="dxa"/>
              <w:left w:w="96" w:type="dxa"/>
              <w:bottom w:w="96" w:type="dxa"/>
              <w:right w:w="96" w:type="dxa"/>
            </w:tcMar>
            <w:vAlign w:val="center"/>
          </w:tcPr>
          <w:p w14:paraId="25D61F92">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top"/>
              <w:rPr>
                <w:rFonts w:hint="eastAsia" w:ascii="宋体" w:hAnsi="宋体" w:eastAsia="宋体" w:cs="宋体"/>
                <w:sz w:val="28"/>
                <w:szCs w:val="28"/>
              </w:rPr>
            </w:pPr>
            <w:r>
              <w:rPr>
                <w:rFonts w:hint="eastAsia" w:ascii="宋体" w:hAnsi="宋体" w:eastAsia="宋体" w:cs="宋体"/>
                <w:kern w:val="0"/>
                <w:sz w:val="28"/>
                <w:szCs w:val="28"/>
                <w:lang w:val="en-US" w:eastAsia="zh-CN" w:bidi="ar"/>
              </w:rPr>
              <w:t>总监理工程师</w:t>
            </w:r>
          </w:p>
        </w:tc>
        <w:tc>
          <w:tcPr>
            <w:tcW w:w="795" w:type="dxa"/>
            <w:tcBorders>
              <w:top w:val="single" w:color="auto" w:sz="4" w:space="0"/>
              <w:left w:val="single" w:color="auto" w:sz="4" w:space="0"/>
              <w:bottom w:val="single" w:color="auto" w:sz="4" w:space="0"/>
              <w:right w:val="single" w:color="auto" w:sz="4" w:space="0"/>
            </w:tcBorders>
            <w:shd w:val="clear" w:color="auto" w:fill="auto"/>
            <w:tcMar>
              <w:top w:w="96" w:type="dxa"/>
              <w:left w:w="96" w:type="dxa"/>
              <w:bottom w:w="96" w:type="dxa"/>
              <w:right w:w="96" w:type="dxa"/>
            </w:tcMar>
            <w:vAlign w:val="center"/>
          </w:tcPr>
          <w:p w14:paraId="12BEBEBF">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left"/>
              <w:textAlignment w:val="top"/>
              <w:rPr>
                <w:rFonts w:hint="eastAsia" w:ascii="宋体" w:hAnsi="宋体" w:eastAsia="宋体" w:cs="宋体"/>
                <w:sz w:val="28"/>
                <w:szCs w:val="28"/>
              </w:rPr>
            </w:pPr>
            <w:r>
              <w:rPr>
                <w:rFonts w:hint="eastAsia" w:ascii="宋体" w:hAnsi="宋体" w:eastAsia="宋体" w:cs="宋体"/>
                <w:kern w:val="0"/>
                <w:sz w:val="28"/>
                <w:szCs w:val="28"/>
                <w:lang w:val="en-US" w:eastAsia="zh-CN" w:bidi="ar"/>
              </w:rPr>
              <w:t>1</w:t>
            </w:r>
          </w:p>
        </w:tc>
        <w:tc>
          <w:tcPr>
            <w:tcW w:w="3151" w:type="dxa"/>
            <w:tcBorders>
              <w:top w:val="single" w:color="auto" w:sz="4" w:space="0"/>
              <w:left w:val="single" w:color="auto" w:sz="4" w:space="0"/>
              <w:bottom w:val="single" w:color="auto" w:sz="4" w:space="0"/>
              <w:right w:val="single" w:color="auto" w:sz="4" w:space="0"/>
            </w:tcBorders>
            <w:shd w:val="clear" w:color="auto" w:fill="auto"/>
            <w:tcMar>
              <w:top w:w="96" w:type="dxa"/>
              <w:left w:w="96" w:type="dxa"/>
              <w:bottom w:w="96" w:type="dxa"/>
              <w:right w:w="96" w:type="dxa"/>
            </w:tcMar>
            <w:vAlign w:val="center"/>
          </w:tcPr>
          <w:p w14:paraId="308B024B">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top"/>
              <w:rPr>
                <w:rFonts w:hint="eastAsia" w:ascii="宋体" w:hAnsi="宋体" w:eastAsia="宋体" w:cs="宋体"/>
                <w:sz w:val="28"/>
                <w:szCs w:val="28"/>
              </w:rPr>
            </w:pPr>
            <w:r>
              <w:rPr>
                <w:rFonts w:hint="eastAsia" w:ascii="宋体" w:hAnsi="宋体" w:eastAsia="宋体" w:cs="宋体"/>
                <w:kern w:val="0"/>
                <w:sz w:val="28"/>
                <w:szCs w:val="28"/>
                <w:lang w:val="en-US" w:eastAsia="zh-CN" w:bidi="ar"/>
              </w:rPr>
              <w:t>具备房屋建筑工程注册监理工程师证书、中级及以上职称，无不良执业记录；优先配备近3年具备多个房屋建筑公共建筑监理项目业绩人员，无跨项目兼职</w:t>
            </w:r>
          </w:p>
        </w:tc>
        <w:tc>
          <w:tcPr>
            <w:tcW w:w="1949" w:type="dxa"/>
            <w:tcBorders>
              <w:top w:val="single" w:color="auto" w:sz="4" w:space="0"/>
              <w:left w:val="single" w:color="auto" w:sz="4" w:space="0"/>
              <w:bottom w:val="single" w:color="auto" w:sz="4" w:space="0"/>
              <w:right w:val="single" w:color="auto" w:sz="4" w:space="0"/>
            </w:tcBorders>
            <w:shd w:val="clear" w:color="auto" w:fill="auto"/>
            <w:tcMar>
              <w:top w:w="96" w:type="dxa"/>
              <w:left w:w="96" w:type="dxa"/>
              <w:bottom w:w="96" w:type="dxa"/>
              <w:right w:w="96" w:type="dxa"/>
            </w:tcMar>
            <w:vAlign w:val="center"/>
          </w:tcPr>
          <w:p w14:paraId="45F3DE47">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left"/>
              <w:textAlignment w:val="top"/>
              <w:rPr>
                <w:rFonts w:hint="eastAsia" w:ascii="宋体" w:hAnsi="宋体" w:eastAsia="宋体" w:cs="宋体"/>
                <w:sz w:val="28"/>
                <w:szCs w:val="28"/>
              </w:rPr>
            </w:pPr>
            <w:r>
              <w:rPr>
                <w:rFonts w:hint="eastAsia" w:ascii="宋体" w:hAnsi="宋体" w:eastAsia="宋体" w:cs="宋体"/>
                <w:kern w:val="0"/>
                <w:sz w:val="28"/>
                <w:szCs w:val="28"/>
                <w:lang w:val="en-US" w:eastAsia="zh-CN" w:bidi="ar"/>
              </w:rPr>
              <w:t>全程驻场在岗，人脸考勤管理；更换总监理工程师须经采购人书面审批同意</w:t>
            </w:r>
          </w:p>
        </w:tc>
        <w:tc>
          <w:tcPr>
            <w:tcW w:w="1646" w:type="dxa"/>
            <w:tcBorders>
              <w:top w:val="single" w:color="auto" w:sz="4" w:space="0"/>
              <w:left w:val="single" w:color="auto" w:sz="4" w:space="0"/>
              <w:bottom w:val="single" w:color="auto" w:sz="4" w:space="0"/>
              <w:right w:val="single" w:color="auto" w:sz="4" w:space="0"/>
            </w:tcBorders>
            <w:shd w:val="clear" w:color="auto" w:fill="auto"/>
            <w:tcMar>
              <w:top w:w="96" w:type="dxa"/>
              <w:left w:w="96" w:type="dxa"/>
              <w:bottom w:w="96" w:type="dxa"/>
              <w:right w:w="96" w:type="dxa"/>
            </w:tcMar>
            <w:vAlign w:val="center"/>
          </w:tcPr>
          <w:p w14:paraId="6643A2F9">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left"/>
              <w:textAlignment w:val="top"/>
              <w:rPr>
                <w:rFonts w:hint="eastAsia" w:ascii="宋体" w:hAnsi="宋体" w:eastAsia="宋体" w:cs="宋体"/>
                <w:sz w:val="28"/>
                <w:szCs w:val="28"/>
              </w:rPr>
            </w:pPr>
            <w:r>
              <w:rPr>
                <w:rFonts w:hint="eastAsia" w:ascii="宋体" w:hAnsi="宋体" w:eastAsia="宋体" w:cs="宋体"/>
                <w:kern w:val="0"/>
                <w:sz w:val="28"/>
                <w:szCs w:val="28"/>
                <w:lang w:val="en-US" w:eastAsia="zh-CN" w:bidi="ar"/>
              </w:rPr>
              <w:t>提供完整证件及社保材料，严格履约</w:t>
            </w:r>
          </w:p>
        </w:tc>
      </w:tr>
      <w:tr w14:paraId="096F3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0" w:hRule="atLeast"/>
          <w:jc w:val="center"/>
        </w:trPr>
        <w:tc>
          <w:tcPr>
            <w:tcW w:w="712" w:type="dxa"/>
            <w:tcBorders>
              <w:top w:val="single" w:color="auto" w:sz="4" w:space="0"/>
              <w:left w:val="single" w:color="auto" w:sz="4" w:space="0"/>
              <w:bottom w:val="single" w:color="auto" w:sz="4" w:space="0"/>
              <w:right w:val="single" w:color="auto" w:sz="4" w:space="0"/>
            </w:tcBorders>
            <w:shd w:val="clear" w:color="auto" w:fill="auto"/>
            <w:tcMar>
              <w:top w:w="96" w:type="dxa"/>
              <w:left w:w="96" w:type="dxa"/>
              <w:bottom w:w="96" w:type="dxa"/>
              <w:right w:w="96" w:type="dxa"/>
            </w:tcMar>
            <w:vAlign w:val="center"/>
          </w:tcPr>
          <w:p w14:paraId="332661B8">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top"/>
              <w:rPr>
                <w:rFonts w:hint="eastAsia" w:ascii="宋体" w:hAnsi="宋体" w:eastAsia="宋体" w:cs="宋体"/>
                <w:color w:val="auto"/>
                <w:sz w:val="28"/>
                <w:szCs w:val="28"/>
              </w:rPr>
            </w:pPr>
            <w:r>
              <w:rPr>
                <w:rFonts w:hint="eastAsia" w:ascii="宋体" w:hAnsi="宋体" w:eastAsia="宋体" w:cs="宋体"/>
                <w:color w:val="auto"/>
                <w:kern w:val="0"/>
                <w:sz w:val="28"/>
                <w:szCs w:val="28"/>
                <w:lang w:val="en-US" w:eastAsia="zh-CN" w:bidi="ar"/>
              </w:rPr>
              <w:t>2</w:t>
            </w:r>
          </w:p>
        </w:tc>
        <w:tc>
          <w:tcPr>
            <w:tcW w:w="1686" w:type="dxa"/>
            <w:tcBorders>
              <w:top w:val="single" w:color="auto" w:sz="4" w:space="0"/>
              <w:left w:val="single" w:color="auto" w:sz="4" w:space="0"/>
              <w:bottom w:val="single" w:color="auto" w:sz="4" w:space="0"/>
              <w:right w:val="single" w:color="auto" w:sz="4" w:space="0"/>
            </w:tcBorders>
            <w:shd w:val="clear" w:color="auto" w:fill="auto"/>
            <w:tcMar>
              <w:top w:w="96" w:type="dxa"/>
              <w:left w:w="96" w:type="dxa"/>
              <w:bottom w:w="96" w:type="dxa"/>
              <w:right w:w="96" w:type="dxa"/>
            </w:tcMar>
            <w:vAlign w:val="center"/>
          </w:tcPr>
          <w:p w14:paraId="20153839">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top"/>
              <w:rPr>
                <w:rFonts w:hint="eastAsia" w:ascii="宋体" w:hAnsi="宋体" w:eastAsia="宋体" w:cs="宋体"/>
                <w:color w:val="auto"/>
                <w:sz w:val="28"/>
                <w:szCs w:val="28"/>
              </w:rPr>
            </w:pPr>
            <w:r>
              <w:rPr>
                <w:rFonts w:hint="eastAsia" w:ascii="宋体" w:hAnsi="宋体" w:eastAsia="宋体" w:cs="宋体"/>
                <w:color w:val="auto"/>
                <w:kern w:val="0"/>
                <w:sz w:val="28"/>
                <w:szCs w:val="28"/>
                <w:lang w:val="en-US" w:eastAsia="zh-CN" w:bidi="ar"/>
              </w:rPr>
              <w:t>土建专业监理工程师</w:t>
            </w:r>
          </w:p>
        </w:tc>
        <w:tc>
          <w:tcPr>
            <w:tcW w:w="795" w:type="dxa"/>
            <w:tcBorders>
              <w:top w:val="single" w:color="auto" w:sz="4" w:space="0"/>
              <w:left w:val="single" w:color="auto" w:sz="4" w:space="0"/>
              <w:bottom w:val="single" w:color="auto" w:sz="4" w:space="0"/>
              <w:right w:val="single" w:color="auto" w:sz="4" w:space="0"/>
            </w:tcBorders>
            <w:shd w:val="clear" w:color="auto" w:fill="auto"/>
            <w:tcMar>
              <w:top w:w="96" w:type="dxa"/>
              <w:left w:w="96" w:type="dxa"/>
              <w:bottom w:w="96" w:type="dxa"/>
              <w:right w:w="96" w:type="dxa"/>
            </w:tcMar>
            <w:vAlign w:val="center"/>
          </w:tcPr>
          <w:p w14:paraId="395F31D0">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left"/>
              <w:textAlignment w:val="top"/>
              <w:rPr>
                <w:rFonts w:hint="eastAsia" w:ascii="宋体" w:hAnsi="宋体" w:eastAsia="宋体" w:cs="宋体"/>
                <w:color w:val="auto"/>
                <w:sz w:val="28"/>
                <w:szCs w:val="28"/>
              </w:rPr>
            </w:pPr>
            <w:r>
              <w:rPr>
                <w:rFonts w:hint="eastAsia" w:ascii="宋体" w:hAnsi="宋体" w:eastAsia="宋体" w:cs="宋体"/>
                <w:color w:val="auto"/>
                <w:kern w:val="0"/>
                <w:sz w:val="28"/>
                <w:szCs w:val="28"/>
                <w:lang w:val="en-US" w:eastAsia="zh-CN" w:bidi="ar"/>
              </w:rPr>
              <w:t>1</w:t>
            </w:r>
          </w:p>
        </w:tc>
        <w:tc>
          <w:tcPr>
            <w:tcW w:w="3151" w:type="dxa"/>
            <w:tcBorders>
              <w:top w:val="single" w:color="auto" w:sz="4" w:space="0"/>
              <w:left w:val="single" w:color="auto" w:sz="4" w:space="0"/>
              <w:bottom w:val="single" w:color="auto" w:sz="4" w:space="0"/>
              <w:right w:val="single" w:color="auto" w:sz="4" w:space="0"/>
            </w:tcBorders>
            <w:shd w:val="clear" w:color="auto" w:fill="auto"/>
            <w:tcMar>
              <w:top w:w="96" w:type="dxa"/>
              <w:left w:w="96" w:type="dxa"/>
              <w:bottom w:w="96" w:type="dxa"/>
              <w:right w:w="96" w:type="dxa"/>
            </w:tcMar>
            <w:vAlign w:val="center"/>
          </w:tcPr>
          <w:p w14:paraId="7FE6DE60">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top"/>
              <w:rPr>
                <w:rFonts w:hint="eastAsia" w:ascii="宋体" w:hAnsi="宋体" w:eastAsia="宋体" w:cs="宋体"/>
                <w:color w:val="auto"/>
                <w:sz w:val="28"/>
                <w:szCs w:val="28"/>
              </w:rPr>
            </w:pPr>
            <w:r>
              <w:rPr>
                <w:rFonts w:hint="eastAsia" w:ascii="宋体" w:hAnsi="宋体" w:eastAsia="宋体" w:cs="宋体"/>
                <w:color w:val="auto"/>
                <w:kern w:val="0"/>
                <w:sz w:val="28"/>
                <w:szCs w:val="28"/>
                <w:lang w:val="en-US" w:eastAsia="zh-CN" w:bidi="ar"/>
              </w:rPr>
              <w:t>具备房建专业监理相关有效证件，中级及以上职称，具备3年以上公共建筑及钢结构监理从业经验</w:t>
            </w:r>
          </w:p>
        </w:tc>
        <w:tc>
          <w:tcPr>
            <w:tcW w:w="1949" w:type="dxa"/>
            <w:tcBorders>
              <w:top w:val="single" w:color="auto" w:sz="4" w:space="0"/>
              <w:left w:val="single" w:color="auto" w:sz="4" w:space="0"/>
              <w:bottom w:val="single" w:color="auto" w:sz="4" w:space="0"/>
              <w:right w:val="single" w:color="auto" w:sz="4" w:space="0"/>
            </w:tcBorders>
            <w:shd w:val="clear" w:color="auto" w:fill="auto"/>
            <w:tcMar>
              <w:top w:w="96" w:type="dxa"/>
              <w:left w:w="96" w:type="dxa"/>
              <w:bottom w:w="96" w:type="dxa"/>
              <w:right w:w="96" w:type="dxa"/>
            </w:tcMar>
            <w:vAlign w:val="center"/>
          </w:tcPr>
          <w:p w14:paraId="4510B554">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left"/>
              <w:textAlignment w:val="top"/>
              <w:rPr>
                <w:rFonts w:hint="eastAsia" w:ascii="宋体" w:hAnsi="宋体" w:eastAsia="宋体" w:cs="宋体"/>
                <w:color w:val="auto"/>
                <w:sz w:val="28"/>
                <w:szCs w:val="28"/>
              </w:rPr>
            </w:pPr>
            <w:r>
              <w:rPr>
                <w:rFonts w:hint="eastAsia" w:ascii="宋体" w:hAnsi="宋体" w:eastAsia="宋体" w:cs="宋体"/>
                <w:color w:val="auto"/>
                <w:kern w:val="0"/>
                <w:sz w:val="28"/>
                <w:szCs w:val="28"/>
                <w:lang w:val="en-US" w:eastAsia="zh-CN" w:bidi="ar"/>
              </w:rPr>
              <w:t>全程人脸考勤在岗，不得无故缺岗</w:t>
            </w:r>
          </w:p>
        </w:tc>
        <w:tc>
          <w:tcPr>
            <w:tcW w:w="1646" w:type="dxa"/>
            <w:tcBorders>
              <w:top w:val="single" w:color="auto" w:sz="4" w:space="0"/>
              <w:left w:val="single" w:color="auto" w:sz="4" w:space="0"/>
              <w:bottom w:val="single" w:color="auto" w:sz="4" w:space="0"/>
              <w:right w:val="single" w:color="auto" w:sz="4" w:space="0"/>
            </w:tcBorders>
            <w:shd w:val="clear" w:color="auto" w:fill="auto"/>
            <w:tcMar>
              <w:top w:w="96" w:type="dxa"/>
              <w:left w:w="96" w:type="dxa"/>
              <w:bottom w:w="96" w:type="dxa"/>
              <w:right w:w="96" w:type="dxa"/>
            </w:tcMar>
            <w:vAlign w:val="center"/>
          </w:tcPr>
          <w:p w14:paraId="42F5E34D">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left"/>
              <w:textAlignment w:val="top"/>
              <w:rPr>
                <w:rFonts w:hint="eastAsia" w:ascii="宋体" w:hAnsi="宋体" w:eastAsia="宋体" w:cs="宋体"/>
                <w:color w:val="auto"/>
                <w:sz w:val="28"/>
                <w:szCs w:val="28"/>
              </w:rPr>
            </w:pPr>
            <w:r>
              <w:rPr>
                <w:rFonts w:hint="eastAsia" w:ascii="宋体" w:hAnsi="宋体" w:eastAsia="宋体" w:cs="宋体"/>
                <w:color w:val="auto"/>
                <w:kern w:val="0"/>
                <w:sz w:val="28"/>
                <w:szCs w:val="28"/>
                <w:lang w:val="en-US" w:eastAsia="zh-CN" w:bidi="ar"/>
              </w:rPr>
              <w:t>负责土建、拆除、防水、装修等工程全程管控</w:t>
            </w:r>
          </w:p>
        </w:tc>
      </w:tr>
      <w:tr w14:paraId="6AC07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0" w:hRule="atLeast"/>
          <w:jc w:val="center"/>
        </w:trPr>
        <w:tc>
          <w:tcPr>
            <w:tcW w:w="712" w:type="dxa"/>
            <w:tcBorders>
              <w:top w:val="single" w:color="auto" w:sz="4" w:space="0"/>
              <w:left w:val="single" w:color="auto" w:sz="4" w:space="0"/>
              <w:bottom w:val="single" w:color="auto" w:sz="4" w:space="0"/>
              <w:right w:val="single" w:color="auto" w:sz="4" w:space="0"/>
            </w:tcBorders>
            <w:shd w:val="clear" w:color="auto" w:fill="auto"/>
            <w:tcMar>
              <w:top w:w="96" w:type="dxa"/>
              <w:left w:w="96" w:type="dxa"/>
              <w:bottom w:w="96" w:type="dxa"/>
              <w:right w:w="96" w:type="dxa"/>
            </w:tcMar>
            <w:vAlign w:val="center"/>
          </w:tcPr>
          <w:p w14:paraId="339BC490">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top"/>
              <w:rPr>
                <w:rFonts w:hint="default" w:ascii="宋体" w:hAnsi="宋体" w:eastAsia="宋体" w:cs="宋体"/>
                <w:color w:val="auto"/>
                <w:kern w:val="0"/>
                <w:sz w:val="28"/>
                <w:szCs w:val="28"/>
                <w:lang w:val="en-US" w:eastAsia="zh-CN" w:bidi="ar"/>
              </w:rPr>
            </w:pPr>
            <w:r>
              <w:rPr>
                <w:rFonts w:hint="eastAsia" w:ascii="宋体" w:hAnsi="宋体" w:eastAsia="宋体" w:cs="宋体"/>
                <w:color w:val="auto"/>
                <w:kern w:val="0"/>
                <w:sz w:val="28"/>
                <w:szCs w:val="28"/>
                <w:lang w:val="en-US" w:eastAsia="zh-CN" w:bidi="ar"/>
              </w:rPr>
              <w:t>3</w:t>
            </w:r>
          </w:p>
        </w:tc>
        <w:tc>
          <w:tcPr>
            <w:tcW w:w="1686" w:type="dxa"/>
            <w:tcBorders>
              <w:top w:val="single" w:color="auto" w:sz="4" w:space="0"/>
              <w:left w:val="single" w:color="auto" w:sz="4" w:space="0"/>
              <w:bottom w:val="single" w:color="auto" w:sz="4" w:space="0"/>
              <w:right w:val="single" w:color="auto" w:sz="4" w:space="0"/>
            </w:tcBorders>
            <w:shd w:val="clear" w:color="auto" w:fill="auto"/>
            <w:tcMar>
              <w:top w:w="96" w:type="dxa"/>
              <w:left w:w="96" w:type="dxa"/>
              <w:bottom w:w="96" w:type="dxa"/>
              <w:right w:w="96" w:type="dxa"/>
            </w:tcMar>
            <w:vAlign w:val="center"/>
          </w:tcPr>
          <w:p w14:paraId="1FF18D10">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top"/>
              <w:rPr>
                <w:rFonts w:hint="eastAsia" w:ascii="宋体" w:hAnsi="宋体" w:eastAsia="宋体" w:cs="宋体"/>
                <w:color w:val="auto"/>
                <w:kern w:val="0"/>
                <w:sz w:val="28"/>
                <w:szCs w:val="28"/>
                <w:lang w:val="en-US" w:eastAsia="zh-CN" w:bidi="ar"/>
              </w:rPr>
            </w:pPr>
            <w:r>
              <w:rPr>
                <w:rFonts w:hint="eastAsia" w:ascii="宋体" w:hAnsi="宋体" w:eastAsia="宋体" w:cs="宋体"/>
                <w:color w:val="auto"/>
                <w:sz w:val="28"/>
                <w:szCs w:val="24"/>
                <w:highlight w:val="none"/>
              </w:rPr>
              <w:t>监理员</w:t>
            </w:r>
          </w:p>
        </w:tc>
        <w:tc>
          <w:tcPr>
            <w:tcW w:w="795" w:type="dxa"/>
            <w:tcBorders>
              <w:top w:val="single" w:color="auto" w:sz="4" w:space="0"/>
              <w:left w:val="single" w:color="auto" w:sz="4" w:space="0"/>
              <w:bottom w:val="single" w:color="auto" w:sz="4" w:space="0"/>
              <w:right w:val="single" w:color="auto" w:sz="4" w:space="0"/>
            </w:tcBorders>
            <w:shd w:val="clear" w:color="auto" w:fill="auto"/>
            <w:tcMar>
              <w:top w:w="96" w:type="dxa"/>
              <w:left w:w="96" w:type="dxa"/>
              <w:bottom w:w="96" w:type="dxa"/>
              <w:right w:w="96" w:type="dxa"/>
            </w:tcMar>
            <w:vAlign w:val="center"/>
          </w:tcPr>
          <w:p w14:paraId="36EDFA8E">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left"/>
              <w:textAlignment w:val="top"/>
              <w:rPr>
                <w:rFonts w:hint="default" w:ascii="宋体" w:hAnsi="宋体" w:eastAsia="宋体" w:cs="宋体"/>
                <w:color w:val="auto"/>
                <w:kern w:val="0"/>
                <w:sz w:val="28"/>
                <w:szCs w:val="28"/>
                <w:lang w:val="en-US" w:eastAsia="zh-CN" w:bidi="ar"/>
              </w:rPr>
            </w:pPr>
            <w:r>
              <w:rPr>
                <w:rFonts w:hint="eastAsia" w:ascii="宋体" w:hAnsi="宋体" w:eastAsia="宋体" w:cs="宋体"/>
                <w:color w:val="auto"/>
                <w:sz w:val="28"/>
                <w:szCs w:val="24"/>
                <w:highlight w:val="none"/>
                <w:lang w:val="en-US" w:eastAsia="zh-CN"/>
              </w:rPr>
              <w:t>≥1</w:t>
            </w:r>
          </w:p>
        </w:tc>
        <w:tc>
          <w:tcPr>
            <w:tcW w:w="3151" w:type="dxa"/>
            <w:tcBorders>
              <w:top w:val="single" w:color="auto" w:sz="4" w:space="0"/>
              <w:left w:val="single" w:color="auto" w:sz="4" w:space="0"/>
              <w:bottom w:val="single" w:color="auto" w:sz="4" w:space="0"/>
              <w:right w:val="single" w:color="auto" w:sz="4" w:space="0"/>
            </w:tcBorders>
            <w:shd w:val="clear" w:color="auto" w:fill="auto"/>
            <w:tcMar>
              <w:top w:w="96" w:type="dxa"/>
              <w:left w:w="96" w:type="dxa"/>
              <w:bottom w:w="96" w:type="dxa"/>
              <w:right w:w="96" w:type="dxa"/>
            </w:tcMar>
            <w:vAlign w:val="center"/>
          </w:tcPr>
          <w:p w14:paraId="4696CAAF">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top"/>
              <w:rPr>
                <w:rFonts w:hint="eastAsia" w:ascii="宋体" w:hAnsi="宋体" w:eastAsia="宋体" w:cs="宋体"/>
                <w:color w:val="auto"/>
                <w:kern w:val="0"/>
                <w:sz w:val="28"/>
                <w:szCs w:val="28"/>
                <w:lang w:val="en-US" w:eastAsia="zh-CN" w:bidi="ar"/>
              </w:rPr>
            </w:pPr>
            <w:r>
              <w:rPr>
                <w:rFonts w:hint="eastAsia" w:ascii="宋体" w:hAnsi="宋体" w:eastAsia="宋体" w:cs="宋体"/>
                <w:color w:val="auto"/>
                <w:kern w:val="0"/>
                <w:sz w:val="28"/>
                <w:szCs w:val="28"/>
                <w:lang w:val="en-US" w:eastAsia="zh-CN" w:bidi="ar"/>
              </w:rPr>
              <w:t>具备房建专业监理相关有效证件，具备3年以上公共建筑监理从业经验</w:t>
            </w:r>
          </w:p>
        </w:tc>
        <w:tc>
          <w:tcPr>
            <w:tcW w:w="1949" w:type="dxa"/>
            <w:tcBorders>
              <w:top w:val="single" w:color="auto" w:sz="4" w:space="0"/>
              <w:left w:val="single" w:color="auto" w:sz="4" w:space="0"/>
              <w:bottom w:val="single" w:color="auto" w:sz="4" w:space="0"/>
              <w:right w:val="single" w:color="auto" w:sz="4" w:space="0"/>
            </w:tcBorders>
            <w:shd w:val="clear" w:color="auto" w:fill="auto"/>
            <w:tcMar>
              <w:top w:w="96" w:type="dxa"/>
              <w:left w:w="96" w:type="dxa"/>
              <w:bottom w:w="96" w:type="dxa"/>
              <w:right w:w="96" w:type="dxa"/>
            </w:tcMar>
            <w:vAlign w:val="center"/>
          </w:tcPr>
          <w:p w14:paraId="77824CDC">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left"/>
              <w:textAlignment w:val="top"/>
              <w:rPr>
                <w:rFonts w:hint="eastAsia" w:ascii="宋体" w:hAnsi="宋体" w:eastAsia="宋体" w:cs="宋体"/>
                <w:color w:val="auto"/>
                <w:kern w:val="0"/>
                <w:sz w:val="28"/>
                <w:szCs w:val="28"/>
                <w:lang w:val="en-US" w:eastAsia="zh-CN" w:bidi="ar"/>
              </w:rPr>
            </w:pPr>
            <w:r>
              <w:rPr>
                <w:rFonts w:hint="eastAsia" w:ascii="宋体" w:hAnsi="宋体" w:eastAsia="宋体" w:cs="宋体"/>
                <w:color w:val="auto"/>
                <w:kern w:val="0"/>
                <w:sz w:val="28"/>
                <w:szCs w:val="28"/>
                <w:lang w:val="en-US" w:eastAsia="zh-CN" w:bidi="ar"/>
              </w:rPr>
              <w:t>全程人脸考勤在岗，不得无故缺岗</w:t>
            </w:r>
          </w:p>
        </w:tc>
        <w:tc>
          <w:tcPr>
            <w:tcW w:w="1646" w:type="dxa"/>
            <w:tcBorders>
              <w:top w:val="single" w:color="auto" w:sz="4" w:space="0"/>
              <w:left w:val="single" w:color="auto" w:sz="4" w:space="0"/>
              <w:bottom w:val="single" w:color="auto" w:sz="4" w:space="0"/>
              <w:right w:val="single" w:color="auto" w:sz="4" w:space="0"/>
            </w:tcBorders>
            <w:shd w:val="clear" w:color="auto" w:fill="auto"/>
            <w:tcMar>
              <w:top w:w="96" w:type="dxa"/>
              <w:left w:w="96" w:type="dxa"/>
              <w:bottom w:w="96" w:type="dxa"/>
              <w:right w:w="96" w:type="dxa"/>
            </w:tcMar>
            <w:vAlign w:val="center"/>
          </w:tcPr>
          <w:p w14:paraId="75349C83">
            <w:pPr>
              <w:keepNext/>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left"/>
              <w:textAlignment w:val="top"/>
              <w:rPr>
                <w:rFonts w:hint="eastAsia" w:ascii="宋体" w:hAnsi="宋体" w:eastAsia="宋体" w:cs="宋体"/>
                <w:color w:val="auto"/>
                <w:kern w:val="0"/>
                <w:sz w:val="28"/>
                <w:szCs w:val="28"/>
                <w:lang w:val="en-US" w:eastAsia="zh-CN" w:bidi="ar"/>
              </w:rPr>
            </w:pPr>
          </w:p>
        </w:tc>
      </w:tr>
    </w:tbl>
    <w:p w14:paraId="54516E2E">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color w:val="auto"/>
          <w:kern w:val="0"/>
          <w:sz w:val="28"/>
          <w:szCs w:val="28"/>
          <w:lang w:val="en-US" w:eastAsia="zh-CN" w:bidi="ar"/>
        </w:rPr>
      </w:pPr>
      <w:r>
        <w:rPr>
          <w:rFonts w:hint="eastAsia" w:ascii="宋体" w:hAnsi="宋体" w:eastAsia="宋体" w:cs="宋体"/>
          <w:color w:val="auto"/>
          <w:kern w:val="0"/>
          <w:sz w:val="28"/>
          <w:szCs w:val="28"/>
          <w:lang w:val="en-US" w:eastAsia="zh-CN" w:bidi="ar"/>
        </w:rPr>
        <w:t>备注：1. 安全监理、见证取样工作可由本项目在岗持证监理人员兼任，无需额外新增人员；</w:t>
      </w:r>
    </w:p>
    <w:p w14:paraId="23C8D90F">
      <w:pPr>
        <w:keepNext w:val="0"/>
        <w:keepLines w:val="0"/>
        <w:pageBreakBefore w:val="0"/>
        <w:widowControl/>
        <w:numPr>
          <w:ilvl w:val="0"/>
          <w:numId w:val="1"/>
        </w:numPr>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color w:val="auto"/>
          <w:kern w:val="0"/>
          <w:sz w:val="28"/>
          <w:szCs w:val="28"/>
          <w:lang w:val="en-US" w:eastAsia="zh-CN" w:bidi="ar"/>
        </w:rPr>
      </w:pPr>
      <w:r>
        <w:rPr>
          <w:rFonts w:hint="eastAsia" w:ascii="宋体" w:hAnsi="宋体" w:eastAsia="宋体" w:cs="宋体"/>
          <w:color w:val="auto"/>
          <w:kern w:val="0"/>
          <w:sz w:val="28"/>
          <w:szCs w:val="28"/>
          <w:lang w:val="en-US" w:eastAsia="zh-CN" w:bidi="ar"/>
        </w:rPr>
        <w:t>若项目建设规模发生重大调整，中标人须按江西省、赣州市住建主管部门文件要求无条件增补岗位人员，相关费用全部包含在合同包干总价内；</w:t>
      </w:r>
    </w:p>
    <w:p w14:paraId="6A93884F">
      <w:pPr>
        <w:keepNext w:val="0"/>
        <w:keepLines w:val="0"/>
        <w:pageBreakBefore w:val="0"/>
        <w:widowControl/>
        <w:numPr>
          <w:ilvl w:val="0"/>
          <w:numId w:val="0"/>
        </w:numPr>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color w:val="auto"/>
          <w:kern w:val="0"/>
          <w:sz w:val="28"/>
          <w:szCs w:val="28"/>
          <w:lang w:val="en-US" w:eastAsia="zh-CN" w:bidi="ar"/>
        </w:rPr>
      </w:pPr>
      <w:r>
        <w:rPr>
          <w:rFonts w:hint="eastAsia" w:ascii="宋体" w:hAnsi="宋体" w:eastAsia="宋体" w:cs="宋体"/>
          <w:color w:val="auto"/>
          <w:kern w:val="0"/>
          <w:sz w:val="28"/>
          <w:szCs w:val="28"/>
          <w:lang w:val="en-US" w:eastAsia="zh-CN" w:bidi="ar"/>
        </w:rPr>
        <w:t>3. 所有岗位人员必须全程履约驻场，严格落实实名制考勤管理。</w:t>
      </w:r>
    </w:p>
    <w:p w14:paraId="7872CA9A">
      <w:pPr>
        <w:keepNext w:val="0"/>
        <w:keepLines w:val="0"/>
        <w:pageBreakBefore w:val="0"/>
        <w:widowControl w:val="0"/>
        <w:kinsoku/>
        <w:wordWrap/>
        <w:overflowPunct/>
        <w:topLinePunct w:val="0"/>
        <w:autoSpaceDE/>
        <w:autoSpaceDN/>
        <w:bidi w:val="0"/>
        <w:adjustRightInd/>
        <w:snapToGrid/>
        <w:textAlignment w:val="auto"/>
        <w:rPr>
          <w:rFonts w:hint="eastAsia"/>
          <w:b/>
          <w:bCs/>
          <w:color w:val="auto"/>
          <w:sz w:val="28"/>
          <w:szCs w:val="28"/>
        </w:rPr>
      </w:pPr>
      <w:r>
        <w:rPr>
          <w:rFonts w:hint="eastAsia"/>
          <w:b/>
          <w:bCs/>
          <w:color w:val="auto"/>
          <w:sz w:val="28"/>
          <w:szCs w:val="28"/>
          <w:lang w:val="en-US" w:eastAsia="zh-CN"/>
        </w:rPr>
        <w:t>五</w:t>
      </w:r>
      <w:r>
        <w:rPr>
          <w:rFonts w:hint="eastAsia"/>
          <w:b/>
          <w:bCs/>
          <w:color w:val="auto"/>
          <w:sz w:val="28"/>
          <w:szCs w:val="28"/>
        </w:rPr>
        <w:t>、强化关键岗位人员管理</w:t>
      </w:r>
    </w:p>
    <w:p w14:paraId="3FA81181">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color w:val="auto"/>
          <w:sz w:val="28"/>
          <w:szCs w:val="28"/>
        </w:rPr>
      </w:pPr>
      <w:r>
        <w:rPr>
          <w:rFonts w:hint="eastAsia"/>
          <w:color w:val="auto"/>
          <w:sz w:val="28"/>
          <w:szCs w:val="28"/>
        </w:rPr>
        <w:t>项目施工阶段至工程交工或竣工验收期间，</w:t>
      </w:r>
      <w:r>
        <w:rPr>
          <w:rFonts w:hint="eastAsia" w:ascii="宋体" w:hAnsi="宋体" w:eastAsia="宋体" w:cs="宋体"/>
          <w:color w:val="auto"/>
          <w:kern w:val="0"/>
          <w:sz w:val="28"/>
          <w:szCs w:val="28"/>
          <w:lang w:val="en-US" w:eastAsia="zh-CN" w:bidi="ar"/>
        </w:rPr>
        <w:t>总监理工程师</w:t>
      </w:r>
      <w:r>
        <w:rPr>
          <w:rFonts w:hint="eastAsia"/>
          <w:color w:val="auto"/>
          <w:sz w:val="28"/>
          <w:szCs w:val="28"/>
        </w:rPr>
        <w:t>、</w:t>
      </w:r>
      <w:r>
        <w:rPr>
          <w:rFonts w:hint="eastAsia" w:ascii="宋体" w:hAnsi="宋体" w:eastAsia="宋体" w:cs="宋体"/>
          <w:color w:val="auto"/>
          <w:kern w:val="0"/>
          <w:sz w:val="28"/>
          <w:szCs w:val="28"/>
          <w:lang w:val="en-US" w:eastAsia="zh-CN" w:bidi="ar"/>
        </w:rPr>
        <w:t>土建专业监理工程师</w:t>
      </w:r>
      <w:r>
        <w:rPr>
          <w:rFonts w:hint="eastAsia"/>
          <w:color w:val="auto"/>
          <w:sz w:val="28"/>
          <w:szCs w:val="28"/>
        </w:rPr>
        <w:t>、</w:t>
      </w:r>
      <w:r>
        <w:rPr>
          <w:rFonts w:hint="eastAsia" w:ascii="宋体" w:hAnsi="宋体" w:eastAsia="宋体" w:cs="宋体"/>
          <w:color w:val="auto"/>
          <w:sz w:val="28"/>
          <w:szCs w:val="24"/>
          <w:highlight w:val="none"/>
        </w:rPr>
        <w:t>监理员</w:t>
      </w:r>
      <w:r>
        <w:rPr>
          <w:rFonts w:hint="eastAsia"/>
          <w:color w:val="auto"/>
          <w:sz w:val="28"/>
          <w:szCs w:val="28"/>
        </w:rPr>
        <w:t>等关键岗位人员，除死亡、丧失劳动能力、参军入伍等情形外，原则上不得变更。因上述特殊原因，确实需要变更关键岗位人员的，必须提供证明材料，经招标人、行业监督部门等核实后，符合要求的，按规定办理相关手续。</w:t>
      </w:r>
    </w:p>
    <w:p w14:paraId="234A58CE">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color w:val="auto"/>
          <w:sz w:val="28"/>
          <w:szCs w:val="28"/>
        </w:rPr>
      </w:pPr>
      <w:r>
        <w:rPr>
          <w:rFonts w:hint="eastAsia"/>
          <w:color w:val="auto"/>
          <w:sz w:val="28"/>
          <w:szCs w:val="28"/>
        </w:rPr>
        <w:t>招标文件应明确：非死亡、丧失劳动能力、参军入伍等原因，中标人变更</w:t>
      </w:r>
      <w:r>
        <w:rPr>
          <w:rFonts w:hint="eastAsia" w:ascii="宋体" w:hAnsi="宋体" w:eastAsia="宋体" w:cs="宋体"/>
          <w:color w:val="auto"/>
          <w:kern w:val="0"/>
          <w:sz w:val="28"/>
          <w:szCs w:val="28"/>
          <w:lang w:val="en-US" w:eastAsia="zh-CN" w:bidi="ar"/>
        </w:rPr>
        <w:t>总监理工程师</w:t>
      </w:r>
      <w:r>
        <w:rPr>
          <w:rFonts w:hint="eastAsia"/>
          <w:color w:val="auto"/>
          <w:sz w:val="28"/>
          <w:szCs w:val="28"/>
        </w:rPr>
        <w:t>、</w:t>
      </w:r>
      <w:r>
        <w:rPr>
          <w:rFonts w:hint="eastAsia" w:ascii="宋体" w:hAnsi="宋体" w:eastAsia="宋体" w:cs="宋体"/>
          <w:color w:val="auto"/>
          <w:kern w:val="0"/>
          <w:sz w:val="28"/>
          <w:szCs w:val="28"/>
          <w:lang w:val="en-US" w:eastAsia="zh-CN" w:bidi="ar"/>
        </w:rPr>
        <w:t>土建专业监理工程师</w:t>
      </w:r>
      <w:r>
        <w:rPr>
          <w:rFonts w:hint="eastAsia"/>
          <w:color w:val="auto"/>
          <w:sz w:val="28"/>
          <w:szCs w:val="28"/>
        </w:rPr>
        <w:t>、</w:t>
      </w:r>
      <w:r>
        <w:rPr>
          <w:rFonts w:hint="eastAsia" w:ascii="宋体" w:hAnsi="宋体" w:eastAsia="宋体" w:cs="宋体"/>
          <w:color w:val="auto"/>
          <w:sz w:val="28"/>
          <w:szCs w:val="24"/>
          <w:highlight w:val="none"/>
        </w:rPr>
        <w:t>监理员</w:t>
      </w:r>
      <w:r>
        <w:rPr>
          <w:rFonts w:hint="eastAsia"/>
          <w:color w:val="auto"/>
          <w:sz w:val="28"/>
          <w:szCs w:val="28"/>
        </w:rPr>
        <w:t>等关键岗位人员，招标人按照以下标准收取违约金：</w:t>
      </w:r>
      <w:r>
        <w:rPr>
          <w:rFonts w:hint="eastAsia" w:ascii="宋体" w:hAnsi="宋体" w:eastAsia="宋体" w:cs="宋体"/>
          <w:color w:val="auto"/>
          <w:kern w:val="0"/>
          <w:sz w:val="28"/>
          <w:szCs w:val="28"/>
          <w:lang w:val="en-US" w:eastAsia="zh-CN" w:bidi="ar"/>
        </w:rPr>
        <w:t>总监理工程师</w:t>
      </w:r>
      <w:r>
        <w:rPr>
          <w:rFonts w:hint="eastAsia"/>
          <w:color w:val="auto"/>
          <w:sz w:val="28"/>
          <w:szCs w:val="28"/>
        </w:rPr>
        <w:t>按项目施工合同价总金额2%的额度/人/次、且不低于15万元/人/次和不超过300万元/人/次的标准进行约定，</w:t>
      </w:r>
      <w:r>
        <w:rPr>
          <w:rFonts w:hint="eastAsia" w:ascii="宋体" w:hAnsi="宋体" w:eastAsia="宋体" w:cs="宋体"/>
          <w:color w:val="auto"/>
          <w:kern w:val="0"/>
          <w:sz w:val="28"/>
          <w:szCs w:val="28"/>
          <w:lang w:val="en-US" w:eastAsia="zh-CN" w:bidi="ar"/>
        </w:rPr>
        <w:t>土建专业监理工程师</w:t>
      </w:r>
      <w:r>
        <w:rPr>
          <w:rFonts w:hint="eastAsia"/>
          <w:color w:val="auto"/>
          <w:sz w:val="28"/>
          <w:szCs w:val="28"/>
        </w:rPr>
        <w:t>、</w:t>
      </w:r>
      <w:r>
        <w:rPr>
          <w:rFonts w:hint="eastAsia" w:ascii="宋体" w:hAnsi="宋体" w:eastAsia="宋体" w:cs="宋体"/>
          <w:color w:val="auto"/>
          <w:sz w:val="28"/>
          <w:szCs w:val="24"/>
          <w:highlight w:val="none"/>
        </w:rPr>
        <w:t>监理员</w:t>
      </w:r>
      <w:r>
        <w:rPr>
          <w:rFonts w:hint="eastAsia"/>
          <w:color w:val="auto"/>
          <w:sz w:val="28"/>
          <w:szCs w:val="28"/>
        </w:rPr>
        <w:t>按不低于5万元/人/次的标准进行约定。</w:t>
      </w:r>
    </w:p>
    <w:p w14:paraId="6626086E">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宋体" w:hAnsi="宋体" w:eastAsia="宋体" w:cs="宋体"/>
          <w:color w:val="auto"/>
          <w:kern w:val="0"/>
          <w:sz w:val="28"/>
          <w:szCs w:val="28"/>
          <w:lang w:val="en-US" w:eastAsia="zh-CN" w:bidi="ar"/>
        </w:rPr>
      </w:pPr>
      <w:r>
        <w:rPr>
          <w:rFonts w:hint="eastAsia"/>
          <w:color w:val="auto"/>
          <w:sz w:val="28"/>
          <w:szCs w:val="28"/>
        </w:rPr>
        <w:t>无论何种原因变更关键岗位人员，变更后的关键岗位人员应至少在中标单位缴纳社保6个月以上，且资质等级、业绩情况等资格条件不得低于变更前的关键岗位人员。</w:t>
      </w:r>
    </w:p>
    <w:p w14:paraId="28EDFF1C">
      <w:pPr>
        <w:pStyle w:val="3"/>
        <w:keepNext w:val="0"/>
        <w:keepLines w:val="0"/>
        <w:pageBreakBefore w:val="0"/>
        <w:widowControl/>
        <w:suppressLineNumbers w:val="0"/>
        <w:kinsoku/>
        <w:wordWrap/>
        <w:overflowPunct/>
        <w:topLinePunct w:val="0"/>
        <w:autoSpaceDE/>
        <w:autoSpaceDN/>
        <w:bidi w:val="0"/>
        <w:adjustRightInd/>
        <w:spacing w:beforeAutospacing="0" w:afterAutospacing="0" w:line="500" w:lineRule="exact"/>
        <w:jc w:val="left"/>
        <w:rPr>
          <w:rFonts w:hint="eastAsia" w:ascii="宋体" w:hAnsi="宋体" w:eastAsia="宋体" w:cs="宋体"/>
          <w:color w:val="auto"/>
          <w:sz w:val="28"/>
          <w:szCs w:val="28"/>
        </w:rPr>
      </w:pPr>
      <w:r>
        <w:rPr>
          <w:rFonts w:hint="eastAsia" w:cs="宋体"/>
          <w:color w:val="auto"/>
          <w:sz w:val="28"/>
          <w:szCs w:val="28"/>
          <w:lang w:val="en-US" w:eastAsia="zh-CN"/>
        </w:rPr>
        <w:t>六</w:t>
      </w:r>
      <w:r>
        <w:rPr>
          <w:rFonts w:hint="eastAsia" w:ascii="宋体" w:hAnsi="宋体" w:eastAsia="宋体" w:cs="宋体"/>
          <w:color w:val="auto"/>
          <w:sz w:val="28"/>
          <w:szCs w:val="28"/>
        </w:rPr>
        <w:t>、设备配置要求</w:t>
      </w:r>
    </w:p>
    <w:p w14:paraId="0DD11E1C">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color w:val="auto"/>
          <w:kern w:val="0"/>
          <w:sz w:val="28"/>
          <w:szCs w:val="28"/>
          <w:lang w:val="en-US" w:eastAsia="zh-CN" w:bidi="ar"/>
        </w:rPr>
        <w:t>中标人须自行配齐本项目监理工作所需全部设备，包含回弹仪、检测尺、精密卷尺、影像拍摄留存设备、办公设备、交通用具、安全检测工具等所有监理必备设备，确保满足现场检测、巡查、资料留存、日常办公需求，所有设备采购、使用、维护费用全部包含在投标包干总价中，采购人不另行付费。</w:t>
      </w:r>
    </w:p>
    <w:p w14:paraId="4B8E4558">
      <w:pPr>
        <w:pStyle w:val="3"/>
        <w:keepNext w:val="0"/>
        <w:keepLines w:val="0"/>
        <w:pageBreakBefore w:val="0"/>
        <w:widowControl/>
        <w:suppressLineNumbers w:val="0"/>
        <w:kinsoku/>
        <w:wordWrap/>
        <w:overflowPunct/>
        <w:topLinePunct w:val="0"/>
        <w:autoSpaceDE/>
        <w:autoSpaceDN/>
        <w:bidi w:val="0"/>
        <w:adjustRightInd/>
        <w:spacing w:beforeAutospacing="0" w:afterAutospacing="0" w:line="500" w:lineRule="exact"/>
        <w:jc w:val="left"/>
        <w:rPr>
          <w:rFonts w:hint="eastAsia" w:ascii="宋体" w:hAnsi="宋体" w:eastAsia="宋体" w:cs="宋体"/>
          <w:sz w:val="28"/>
          <w:szCs w:val="28"/>
        </w:rPr>
      </w:pPr>
      <w:r>
        <w:rPr>
          <w:rFonts w:hint="eastAsia" w:cs="宋体"/>
          <w:sz w:val="28"/>
          <w:szCs w:val="28"/>
          <w:lang w:val="en-US" w:eastAsia="zh-CN"/>
        </w:rPr>
        <w:t>七</w:t>
      </w:r>
      <w:r>
        <w:rPr>
          <w:rFonts w:hint="eastAsia" w:ascii="宋体" w:hAnsi="宋体" w:eastAsia="宋体" w:cs="宋体"/>
          <w:sz w:val="28"/>
          <w:szCs w:val="28"/>
        </w:rPr>
        <w:t>、监理服务质量及应急管理要求</w:t>
      </w:r>
    </w:p>
    <w:p w14:paraId="4DB654A8">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1. 本项目工程质量验收严格执行国家、省市现行规范标准，项目竣工验收质量必须达到</w:t>
      </w:r>
      <w:r>
        <w:rPr>
          <w:rStyle w:val="8"/>
          <w:rFonts w:hint="eastAsia" w:ascii="宋体" w:hAnsi="宋体" w:eastAsia="宋体" w:cs="宋体"/>
          <w:kern w:val="0"/>
          <w:sz w:val="28"/>
          <w:szCs w:val="28"/>
          <w:lang w:val="en-US" w:eastAsia="zh-CN" w:bidi="ar"/>
        </w:rPr>
        <w:t>合格等级</w:t>
      </w:r>
      <w:r>
        <w:rPr>
          <w:rFonts w:hint="eastAsia" w:ascii="宋体" w:hAnsi="宋体" w:eastAsia="宋体" w:cs="宋体"/>
          <w:kern w:val="0"/>
          <w:sz w:val="28"/>
          <w:szCs w:val="28"/>
          <w:lang w:val="en-US" w:eastAsia="zh-CN" w:bidi="ar"/>
        </w:rPr>
        <w:t>。</w:t>
      </w:r>
    </w:p>
    <w:p w14:paraId="4E50516F">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2. 监理单位须严格按照现行规范、施工图纸、设计变更、技术文件开展全过程监理工作，因监理履职不到位、管控缺失、失职渎职造成工程质量、安全不达标，须督促施工单位无条件返工整改至合格；若因此造成采购人经济损失或不良影响，中标监理单位承担相应连带赔偿责任及全部责任。</w:t>
      </w:r>
    </w:p>
    <w:p w14:paraId="486C222C">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3. 中标人须编制完整的</w:t>
      </w:r>
      <w:r>
        <w:rPr>
          <w:rStyle w:val="8"/>
          <w:rFonts w:hint="eastAsia" w:ascii="宋体" w:hAnsi="宋体" w:eastAsia="宋体" w:cs="宋体"/>
          <w:kern w:val="0"/>
          <w:sz w:val="28"/>
          <w:szCs w:val="28"/>
          <w:lang w:val="en-US" w:eastAsia="zh-CN" w:bidi="ar"/>
        </w:rPr>
        <w:t>质量安全隐患整改及校园施工突发事件应急处置预案</w:t>
      </w:r>
      <w:r>
        <w:rPr>
          <w:rFonts w:hint="eastAsia" w:ascii="宋体" w:hAnsi="宋体" w:eastAsia="宋体" w:cs="宋体"/>
          <w:kern w:val="0"/>
          <w:sz w:val="28"/>
          <w:szCs w:val="28"/>
          <w:lang w:val="en-US" w:eastAsia="zh-CN" w:bidi="ar"/>
        </w:rPr>
        <w:t>，明确突发事件响应、处置、上报、闭环流程，全面防范校园施工安全风险。</w:t>
      </w:r>
    </w:p>
    <w:p w14:paraId="07C01E56">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4. 人员脱岗、资料提交滞后、安全质量管控失职、违规履职、应急处置不力等违约行为，全部纳入合同违约条款，严格执行追责及经济处罚。</w:t>
      </w:r>
    </w:p>
    <w:p w14:paraId="1E6DDB1D">
      <w:pPr>
        <w:pStyle w:val="3"/>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2" w:firstLineChars="200"/>
        <w:jc w:val="left"/>
        <w:rPr>
          <w:rFonts w:hint="eastAsia" w:ascii="宋体" w:hAnsi="宋体" w:eastAsia="宋体" w:cs="宋体"/>
          <w:sz w:val="28"/>
          <w:szCs w:val="28"/>
        </w:rPr>
      </w:pPr>
      <w:r>
        <w:rPr>
          <w:rFonts w:hint="eastAsia" w:cs="宋体"/>
          <w:sz w:val="28"/>
          <w:szCs w:val="28"/>
          <w:lang w:val="en-US" w:eastAsia="zh-CN"/>
        </w:rPr>
        <w:t>八</w:t>
      </w:r>
      <w:r>
        <w:rPr>
          <w:rFonts w:hint="eastAsia" w:ascii="宋体" w:hAnsi="宋体" w:eastAsia="宋体" w:cs="宋体"/>
          <w:sz w:val="28"/>
          <w:szCs w:val="28"/>
        </w:rPr>
        <w:t>、商务及履约要求</w:t>
      </w:r>
    </w:p>
    <w:p w14:paraId="46B9B025">
      <w:pPr>
        <w:pStyle w:val="4"/>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2" w:firstLineChars="200"/>
        <w:jc w:val="left"/>
        <w:rPr>
          <w:rFonts w:hint="eastAsia" w:ascii="宋体" w:hAnsi="宋体" w:eastAsia="宋体" w:cs="宋体"/>
          <w:sz w:val="28"/>
          <w:szCs w:val="28"/>
        </w:rPr>
      </w:pPr>
      <w:r>
        <w:rPr>
          <w:rFonts w:hint="eastAsia" w:ascii="宋体" w:hAnsi="宋体" w:eastAsia="宋体" w:cs="宋体"/>
          <w:sz w:val="28"/>
          <w:szCs w:val="28"/>
        </w:rPr>
        <w:t>（一）企业资质要求</w:t>
      </w:r>
    </w:p>
    <w:p w14:paraId="2722FC92">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供应商须具备</w:t>
      </w:r>
      <w:r>
        <w:rPr>
          <w:rStyle w:val="8"/>
          <w:rFonts w:hint="eastAsia" w:ascii="宋体" w:hAnsi="宋体" w:eastAsia="宋体" w:cs="宋体"/>
          <w:kern w:val="0"/>
          <w:sz w:val="28"/>
          <w:szCs w:val="28"/>
          <w:lang w:val="en-US" w:eastAsia="zh-CN" w:bidi="ar"/>
        </w:rPr>
        <w:t>房屋建筑工程监理乙级及以上资质</w:t>
      </w:r>
      <w:r>
        <w:rPr>
          <w:rFonts w:hint="eastAsia" w:ascii="宋体" w:hAnsi="宋体" w:eastAsia="宋体" w:cs="宋体"/>
          <w:kern w:val="0"/>
          <w:sz w:val="28"/>
          <w:szCs w:val="28"/>
          <w:lang w:val="en-US" w:eastAsia="zh-CN" w:bidi="ar"/>
        </w:rPr>
        <w:t>，资质合法有效，投标时提供完整资质证书彩色复印件并加盖公章。</w:t>
      </w:r>
    </w:p>
    <w:p w14:paraId="560E2F62">
      <w:pPr>
        <w:pStyle w:val="4"/>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2" w:firstLineChars="200"/>
        <w:jc w:val="left"/>
        <w:rPr>
          <w:rFonts w:hint="eastAsia" w:ascii="宋体" w:hAnsi="宋体" w:eastAsia="宋体" w:cs="宋体"/>
          <w:sz w:val="28"/>
          <w:szCs w:val="28"/>
        </w:rPr>
      </w:pPr>
      <w:r>
        <w:rPr>
          <w:rFonts w:hint="eastAsia" w:ascii="宋体" w:hAnsi="宋体" w:eastAsia="宋体" w:cs="宋体"/>
          <w:sz w:val="28"/>
          <w:szCs w:val="28"/>
        </w:rPr>
        <w:t>（二）企业业绩要求</w:t>
      </w:r>
    </w:p>
    <w:p w14:paraId="0F44CD11">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供应商近5年内须承接过房屋建筑公共建筑监理项目，业绩需满足单项目建筑面积≥8000㎡或合同额≥2000万元。业绩认定严格执行标准：业绩时间以项目竣工验收日期为准；投标时须同步提供监理合同彩印件、四方竣工验收记录表/竣工验收备案表、建筑面积/合同额佐证材料（图纸、结算资料、验收报告等），材料不全、时间不符、规模不达标均不予认可。</w:t>
      </w:r>
    </w:p>
    <w:p w14:paraId="45D9D81B">
      <w:pPr>
        <w:pStyle w:val="4"/>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2" w:firstLineChars="200"/>
        <w:jc w:val="left"/>
        <w:rPr>
          <w:rFonts w:hint="eastAsia" w:ascii="宋体" w:hAnsi="宋体" w:eastAsia="宋体" w:cs="宋体"/>
          <w:sz w:val="28"/>
          <w:szCs w:val="28"/>
        </w:rPr>
      </w:pPr>
      <w:r>
        <w:rPr>
          <w:rFonts w:hint="eastAsia" w:ascii="宋体" w:hAnsi="宋体" w:eastAsia="宋体" w:cs="宋体"/>
          <w:sz w:val="28"/>
          <w:szCs w:val="28"/>
        </w:rPr>
        <w:t>（三）履约服务承诺要求</w:t>
      </w:r>
    </w:p>
    <w:p w14:paraId="0917525F">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供应商须出具书面履约承诺文件并加盖公章，包含以下核心内容：</w:t>
      </w:r>
    </w:p>
    <w:p w14:paraId="414E06E0">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1. 人员履约承诺：承诺项目人员全程驻场、严格落实人脸考勤、不擅自更换岗位人员，全程稳定履职。</w:t>
      </w:r>
    </w:p>
    <w:p w14:paraId="58C0CB9E">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2. 应急处置承诺：严格执行编制的质量安全隐患整改及突发事件应急预案，快速处置现场问题。</w:t>
      </w:r>
    </w:p>
    <w:p w14:paraId="7D268386">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3. 验收移交承诺：承诺全程无条件配合项目竣工验收、消防验收、档案备案、结算审计、保修移交等全部工作，全程保障项目顺利交付。</w:t>
      </w:r>
    </w:p>
    <w:p w14:paraId="64BA815F">
      <w:pPr>
        <w:pStyle w:val="4"/>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2" w:firstLineChars="200"/>
        <w:jc w:val="left"/>
        <w:rPr>
          <w:rFonts w:hint="eastAsia" w:ascii="宋体" w:hAnsi="宋体" w:eastAsia="宋体" w:cs="宋体"/>
          <w:sz w:val="28"/>
          <w:szCs w:val="28"/>
        </w:rPr>
      </w:pPr>
      <w:r>
        <w:rPr>
          <w:rFonts w:hint="eastAsia" w:ascii="宋体" w:hAnsi="宋体" w:eastAsia="宋体" w:cs="宋体"/>
          <w:sz w:val="28"/>
          <w:szCs w:val="28"/>
        </w:rPr>
        <w:t>（四）报价要求</w:t>
      </w:r>
    </w:p>
    <w:p w14:paraId="1A7F4A21">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本项目为</w:t>
      </w:r>
      <w:r>
        <w:rPr>
          <w:rStyle w:val="8"/>
          <w:rFonts w:hint="eastAsia" w:ascii="宋体" w:hAnsi="宋体" w:eastAsia="宋体" w:cs="宋体"/>
          <w:kern w:val="0"/>
          <w:sz w:val="28"/>
          <w:szCs w:val="28"/>
          <w:lang w:val="en-US" w:eastAsia="zh-CN" w:bidi="ar"/>
        </w:rPr>
        <w:t>固定总价包干报价</w:t>
      </w:r>
      <w:r>
        <w:rPr>
          <w:rFonts w:hint="eastAsia" w:ascii="宋体" w:hAnsi="宋体" w:eastAsia="宋体" w:cs="宋体"/>
          <w:kern w:val="0"/>
          <w:sz w:val="28"/>
          <w:szCs w:val="28"/>
          <w:lang w:val="en-US" w:eastAsia="zh-CN" w:bidi="ar"/>
        </w:rPr>
        <w:t>，报价包含人员薪酬社保、办公耗材、交通差旅费、仪器设备购置及维护、资料编制归档、2年保修期服务、税费、保险、应急处置、人员增补等完成本项目全部监理服务的所有费用，采购人不再支付任何额外费用。</w:t>
      </w:r>
    </w:p>
    <w:p w14:paraId="6A2FFADC">
      <w:pPr>
        <w:pStyle w:val="4"/>
        <w:keepNext w:val="0"/>
        <w:keepLines w:val="0"/>
        <w:pageBreakBefore w:val="0"/>
        <w:widowControl/>
        <w:suppressLineNumbers w:val="0"/>
        <w:kinsoku/>
        <w:wordWrap/>
        <w:overflowPunct/>
        <w:topLinePunct w:val="0"/>
        <w:autoSpaceDE/>
        <w:autoSpaceDN/>
        <w:bidi w:val="0"/>
        <w:adjustRightInd/>
        <w:spacing w:beforeAutospacing="0" w:afterAutospacing="0" w:line="500" w:lineRule="exact"/>
        <w:jc w:val="left"/>
        <w:rPr>
          <w:rFonts w:hint="eastAsia" w:ascii="宋体" w:hAnsi="宋体" w:eastAsia="宋体" w:cs="宋体"/>
          <w:sz w:val="28"/>
          <w:szCs w:val="28"/>
        </w:rPr>
      </w:pPr>
      <w:r>
        <w:rPr>
          <w:rFonts w:hint="eastAsia" w:ascii="宋体" w:hAnsi="宋体" w:eastAsia="宋体" w:cs="宋体"/>
          <w:sz w:val="28"/>
          <w:szCs w:val="28"/>
        </w:rPr>
        <w:t>（五）付款方式</w:t>
      </w:r>
    </w:p>
    <w:p w14:paraId="2BB3CD63">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1. 进度款：与施工单位工程进度款同期支付，当期合格审定工程造价 × 中标监理费率 ×80%；</w:t>
      </w:r>
    </w:p>
    <w:p w14:paraId="31FE768B">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2. 项目竣工验收合格且完成城建档案备案后，监理服务费支付至项目总结算价的90%；</w:t>
      </w:r>
    </w:p>
    <w:p w14:paraId="2B32A29E">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3. 项目竣工结算审核报告出具后30个工作日内，付清剩余10%尾款；</w:t>
      </w:r>
    </w:p>
    <w:p w14:paraId="5F31BCD1">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4. 最终监理结算费用=项目竣工审定总造价 × 中标费率。</w:t>
      </w:r>
    </w:p>
    <w:p w14:paraId="40FE16E8">
      <w:pPr>
        <w:pStyle w:val="4"/>
        <w:keepNext w:val="0"/>
        <w:keepLines w:val="0"/>
        <w:pageBreakBefore w:val="0"/>
        <w:widowControl/>
        <w:suppressLineNumbers w:val="0"/>
        <w:kinsoku/>
        <w:wordWrap/>
        <w:overflowPunct/>
        <w:topLinePunct w:val="0"/>
        <w:autoSpaceDE/>
        <w:autoSpaceDN/>
        <w:bidi w:val="0"/>
        <w:adjustRightInd/>
        <w:spacing w:beforeAutospacing="0" w:afterAutospacing="0" w:line="500" w:lineRule="exact"/>
        <w:jc w:val="left"/>
        <w:rPr>
          <w:rFonts w:hint="eastAsia" w:ascii="宋体" w:hAnsi="宋体" w:eastAsia="宋体" w:cs="宋体"/>
          <w:sz w:val="28"/>
          <w:szCs w:val="28"/>
        </w:rPr>
      </w:pPr>
      <w:r>
        <w:rPr>
          <w:rFonts w:hint="eastAsia" w:ascii="宋体" w:hAnsi="宋体" w:eastAsia="宋体" w:cs="宋体"/>
          <w:sz w:val="28"/>
          <w:szCs w:val="28"/>
        </w:rPr>
        <w:t>（六）履约保证金</w:t>
      </w:r>
    </w:p>
    <w:p w14:paraId="1D12D259">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中标人签订合同前须缴纳合同总价5%的履约保证金，项目竣工备案完成、履约无违约的，保证金无息退还。</w:t>
      </w:r>
    </w:p>
    <w:p w14:paraId="74427B51">
      <w:pPr>
        <w:pStyle w:val="4"/>
        <w:keepNext w:val="0"/>
        <w:keepLines w:val="0"/>
        <w:pageBreakBefore w:val="0"/>
        <w:widowControl/>
        <w:suppressLineNumbers w:val="0"/>
        <w:kinsoku/>
        <w:wordWrap/>
        <w:overflowPunct/>
        <w:topLinePunct w:val="0"/>
        <w:autoSpaceDE/>
        <w:autoSpaceDN/>
        <w:bidi w:val="0"/>
        <w:adjustRightInd/>
        <w:spacing w:beforeAutospacing="0" w:afterAutospacing="0" w:line="500" w:lineRule="exact"/>
        <w:jc w:val="left"/>
        <w:rPr>
          <w:rFonts w:hint="eastAsia" w:ascii="宋体" w:hAnsi="宋体" w:eastAsia="宋体" w:cs="宋体"/>
          <w:sz w:val="28"/>
          <w:szCs w:val="28"/>
        </w:rPr>
      </w:pPr>
      <w:r>
        <w:rPr>
          <w:rFonts w:hint="eastAsia" w:ascii="宋体" w:hAnsi="宋体" w:eastAsia="宋体" w:cs="宋体"/>
          <w:sz w:val="28"/>
          <w:szCs w:val="28"/>
        </w:rPr>
        <w:t>（七）履约验收</w:t>
      </w:r>
    </w:p>
    <w:p w14:paraId="7BAAA786">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按照国家监理规范、本采购需求、投标承诺及合同约定，分阶段开展履约考核验收，项目整体履约验收不合格的，暂缓监理费用结算，限期整改合格后方可兑付。</w:t>
      </w:r>
    </w:p>
    <w:p w14:paraId="4B315D64">
      <w:pPr>
        <w:pStyle w:val="3"/>
        <w:keepNext w:val="0"/>
        <w:keepLines w:val="0"/>
        <w:pageBreakBefore w:val="0"/>
        <w:widowControl/>
        <w:suppressLineNumbers w:val="0"/>
        <w:kinsoku/>
        <w:wordWrap/>
        <w:overflowPunct/>
        <w:topLinePunct w:val="0"/>
        <w:autoSpaceDE/>
        <w:autoSpaceDN/>
        <w:bidi w:val="0"/>
        <w:adjustRightInd/>
        <w:spacing w:beforeAutospacing="0" w:afterAutospacing="0" w:line="500" w:lineRule="exact"/>
        <w:jc w:val="left"/>
        <w:rPr>
          <w:rFonts w:hint="eastAsia" w:ascii="宋体" w:hAnsi="宋体" w:eastAsia="宋体" w:cs="宋体"/>
          <w:sz w:val="28"/>
          <w:szCs w:val="28"/>
        </w:rPr>
      </w:pPr>
      <w:r>
        <w:rPr>
          <w:rFonts w:hint="eastAsia" w:cs="宋体"/>
          <w:sz w:val="28"/>
          <w:szCs w:val="28"/>
          <w:lang w:val="en-US" w:eastAsia="zh-CN"/>
        </w:rPr>
        <w:t>九</w:t>
      </w:r>
      <w:r>
        <w:rPr>
          <w:rFonts w:hint="eastAsia" w:ascii="宋体" w:hAnsi="宋体" w:eastAsia="宋体" w:cs="宋体"/>
          <w:sz w:val="28"/>
          <w:szCs w:val="28"/>
        </w:rPr>
        <w:t>、补充说明</w:t>
      </w:r>
    </w:p>
    <w:p w14:paraId="41555E06">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1. 本项目</w:t>
      </w:r>
      <w:r>
        <w:rPr>
          <w:rStyle w:val="8"/>
          <w:rFonts w:hint="eastAsia" w:ascii="宋体" w:hAnsi="宋体" w:eastAsia="宋体" w:cs="宋体"/>
          <w:kern w:val="0"/>
          <w:sz w:val="28"/>
          <w:szCs w:val="28"/>
          <w:lang w:val="en-US" w:eastAsia="zh-CN" w:bidi="ar"/>
        </w:rPr>
        <w:t>不接受联合体磋商</w:t>
      </w:r>
      <w:r>
        <w:rPr>
          <w:rFonts w:hint="eastAsia" w:ascii="宋体" w:hAnsi="宋体" w:eastAsia="宋体" w:cs="宋体"/>
          <w:kern w:val="0"/>
          <w:sz w:val="28"/>
          <w:szCs w:val="28"/>
          <w:lang w:val="en-US" w:eastAsia="zh-CN" w:bidi="ar"/>
        </w:rPr>
        <w:t>。</w:t>
      </w:r>
    </w:p>
    <w:p w14:paraId="6E7921D1">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eastAsia" w:ascii="宋体" w:hAnsi="宋体" w:eastAsia="宋体" w:cs="宋体"/>
          <w:sz w:val="28"/>
          <w:szCs w:val="28"/>
        </w:rPr>
      </w:pPr>
      <w:r>
        <w:rPr>
          <w:rFonts w:hint="eastAsia" w:ascii="宋体" w:hAnsi="宋体" w:eastAsia="宋体" w:cs="宋体"/>
          <w:kern w:val="0"/>
          <w:sz w:val="28"/>
          <w:szCs w:val="28"/>
          <w:lang w:val="en-US" w:eastAsia="zh-CN" w:bidi="ar"/>
        </w:rPr>
        <w:t>2. 供应商所提供的资质、证书、业绩、社保、承诺等全部投标材料，须真实有效、合法合规，存在弄虚作假的，一经查实直接作废标处理，并上报政府采购监管部门追责。</w:t>
      </w:r>
    </w:p>
    <w:p w14:paraId="5F79CDF3">
      <w:pPr>
        <w:keepNext w:val="0"/>
        <w:keepLines w:val="0"/>
        <w:pageBreakBefore w:val="0"/>
        <w:widowControl/>
        <w:suppressLineNumbers w:val="0"/>
        <w:kinsoku/>
        <w:wordWrap/>
        <w:overflowPunct/>
        <w:topLinePunct w:val="0"/>
        <w:autoSpaceDE/>
        <w:autoSpaceDN/>
        <w:bidi w:val="0"/>
        <w:adjustRightInd/>
        <w:spacing w:beforeAutospacing="0" w:afterAutospacing="0" w:line="500" w:lineRule="exact"/>
        <w:ind w:firstLine="560" w:firstLineChars="200"/>
        <w:jc w:val="left"/>
        <w:rPr>
          <w:rFonts w:hint="default" w:ascii="宋体" w:hAnsi="宋体" w:eastAsia="宋体" w:cs="宋体"/>
          <w:sz w:val="28"/>
          <w:szCs w:val="28"/>
          <w:lang w:val="en-US"/>
        </w:rPr>
      </w:pPr>
      <w:r>
        <w:rPr>
          <w:rFonts w:hint="eastAsia" w:ascii="宋体" w:hAnsi="宋体" w:eastAsia="宋体" w:cs="宋体"/>
          <w:kern w:val="0"/>
          <w:sz w:val="28"/>
          <w:szCs w:val="28"/>
          <w:lang w:val="en-US" w:eastAsia="zh-CN" w:bidi="ar"/>
        </w:rPr>
        <w:t>3. 本采购需求严格遵照《中华人民共和国政府采购法》《政府采购法实施条例》及江西省、赣州市政府采购相关规定编制，无倾向性、排他性条款。中标供应商所有投标服务承诺、技术方案、人员配置、管理制度等内容，全部纳入正式监理合同履约条款，作为履约考核及验收的核心依据。</w:t>
      </w:r>
    </w:p>
    <w:p w14:paraId="434914E4">
      <w:pPr>
        <w:keepLines w:val="0"/>
        <w:pageBreakBefore w:val="0"/>
        <w:kinsoku/>
        <w:wordWrap/>
        <w:overflowPunct/>
        <w:topLinePunct w:val="0"/>
        <w:autoSpaceDE/>
        <w:autoSpaceDN/>
        <w:bidi w:val="0"/>
        <w:adjustRightInd/>
        <w:spacing w:beforeAutospacing="0" w:afterAutospacing="0" w:line="500" w:lineRule="exact"/>
      </w:pPr>
    </w:p>
    <w:p w14:paraId="248477D3">
      <w:pPr>
        <w:keepLines w:val="0"/>
        <w:pageBreakBefore w:val="0"/>
        <w:kinsoku/>
        <w:wordWrap/>
        <w:overflowPunct/>
        <w:topLinePunct w:val="0"/>
        <w:autoSpaceDE/>
        <w:autoSpaceDN/>
        <w:bidi w:val="0"/>
        <w:adjustRightInd/>
        <w:spacing w:beforeAutospacing="0" w:afterAutospacing="0" w:line="500" w:lineRule="exact"/>
      </w:pPr>
    </w:p>
    <w:p w14:paraId="65ADFB46">
      <w:pPr>
        <w:keepLines w:val="0"/>
        <w:pageBreakBefore w:val="0"/>
        <w:kinsoku/>
        <w:wordWrap/>
        <w:overflowPunct/>
        <w:topLinePunct w:val="0"/>
        <w:autoSpaceDE/>
        <w:autoSpaceDN/>
        <w:bidi w:val="0"/>
        <w:adjustRightInd/>
        <w:spacing w:beforeAutospacing="0" w:afterAutospacing="0" w:line="500" w:lineRule="exact"/>
      </w:pPr>
    </w:p>
    <w:p w14:paraId="546645F5">
      <w:pPr>
        <w:keepLines w:val="0"/>
        <w:pageBreakBefore w:val="0"/>
        <w:kinsoku/>
        <w:wordWrap/>
        <w:overflowPunct/>
        <w:topLinePunct w:val="0"/>
        <w:autoSpaceDE/>
        <w:autoSpaceDN/>
        <w:bidi w:val="0"/>
        <w:adjustRightInd/>
        <w:spacing w:beforeAutospacing="0" w:afterAutospacing="0" w:line="500" w:lineRule="exact"/>
      </w:pPr>
    </w:p>
    <w:p w14:paraId="5A161557">
      <w:pPr>
        <w:keepLines w:val="0"/>
        <w:pageBreakBefore w:val="0"/>
        <w:kinsoku/>
        <w:wordWrap/>
        <w:overflowPunct/>
        <w:topLinePunct w:val="0"/>
        <w:autoSpaceDE/>
        <w:autoSpaceDN/>
        <w:bidi w:val="0"/>
        <w:adjustRightInd/>
        <w:spacing w:beforeAutospacing="0" w:afterAutospacing="0" w:line="500" w:lineRule="exact"/>
      </w:pPr>
    </w:p>
    <w:p w14:paraId="26F52184">
      <w:pPr>
        <w:keepLines w:val="0"/>
        <w:pageBreakBefore w:val="0"/>
        <w:kinsoku/>
        <w:wordWrap/>
        <w:overflowPunct/>
        <w:topLinePunct w:val="0"/>
        <w:autoSpaceDE/>
        <w:autoSpaceDN/>
        <w:bidi w:val="0"/>
        <w:adjustRightInd/>
        <w:spacing w:beforeAutospacing="0" w:afterAutospacing="0" w:line="500" w:lineRule="exact"/>
      </w:pPr>
    </w:p>
    <w:p w14:paraId="70884963">
      <w:pPr>
        <w:keepLines w:val="0"/>
        <w:pageBreakBefore w:val="0"/>
        <w:kinsoku/>
        <w:wordWrap/>
        <w:overflowPunct/>
        <w:topLinePunct w:val="0"/>
        <w:autoSpaceDE/>
        <w:autoSpaceDN/>
        <w:bidi w:val="0"/>
        <w:adjustRightInd/>
        <w:spacing w:beforeAutospacing="0" w:afterAutospacing="0" w:line="500" w:lineRule="exact"/>
      </w:pPr>
    </w:p>
    <w:p w14:paraId="7B7E2F9C">
      <w:pPr>
        <w:keepLines w:val="0"/>
        <w:pageBreakBefore w:val="0"/>
        <w:kinsoku/>
        <w:wordWrap/>
        <w:overflowPunct/>
        <w:topLinePunct w:val="0"/>
        <w:autoSpaceDE/>
        <w:autoSpaceDN/>
        <w:bidi w:val="0"/>
        <w:adjustRightInd/>
        <w:spacing w:beforeAutospacing="0" w:afterAutospacing="0" w:line="500" w:lineRule="exact"/>
      </w:pPr>
    </w:p>
    <w:p w14:paraId="1A3902FF">
      <w:pPr>
        <w:keepLines w:val="0"/>
        <w:pageBreakBefore w:val="0"/>
        <w:kinsoku/>
        <w:wordWrap/>
        <w:overflowPunct/>
        <w:topLinePunct w:val="0"/>
        <w:autoSpaceDE/>
        <w:autoSpaceDN/>
        <w:bidi w:val="0"/>
        <w:adjustRightInd/>
        <w:spacing w:beforeAutospacing="0" w:afterAutospacing="0" w:line="500" w:lineRule="exact"/>
      </w:pPr>
    </w:p>
    <w:p w14:paraId="63B22104">
      <w:pPr>
        <w:keepLines w:val="0"/>
        <w:pageBreakBefore w:val="0"/>
        <w:kinsoku/>
        <w:wordWrap/>
        <w:overflowPunct/>
        <w:topLinePunct w:val="0"/>
        <w:autoSpaceDE/>
        <w:autoSpaceDN/>
        <w:bidi w:val="0"/>
        <w:adjustRightInd/>
        <w:spacing w:beforeAutospacing="0" w:afterAutospacing="0" w:line="500" w:lineRule="exact"/>
      </w:pPr>
    </w:p>
    <w:p w14:paraId="3B1FF068">
      <w:pPr>
        <w:keepLines w:val="0"/>
        <w:pageBreakBefore w:val="0"/>
        <w:kinsoku/>
        <w:wordWrap/>
        <w:overflowPunct/>
        <w:topLinePunct w:val="0"/>
        <w:autoSpaceDE/>
        <w:autoSpaceDN/>
        <w:bidi w:val="0"/>
        <w:adjustRightInd/>
        <w:spacing w:beforeAutospacing="0" w:afterAutospacing="0" w:line="500" w:lineRule="exact"/>
      </w:pPr>
    </w:p>
    <w:p w14:paraId="19405908">
      <w:pPr>
        <w:keepLines w:val="0"/>
        <w:pageBreakBefore w:val="0"/>
        <w:kinsoku/>
        <w:wordWrap/>
        <w:overflowPunct/>
        <w:topLinePunct w:val="0"/>
        <w:autoSpaceDE/>
        <w:autoSpaceDN/>
        <w:bidi w:val="0"/>
        <w:adjustRightInd/>
        <w:spacing w:beforeAutospacing="0" w:afterAutospacing="0" w:line="500" w:lineRule="exact"/>
      </w:pPr>
    </w:p>
    <w:p w14:paraId="45FA5EDF">
      <w:pPr>
        <w:keepLines w:val="0"/>
        <w:pageBreakBefore w:val="0"/>
        <w:kinsoku/>
        <w:wordWrap/>
        <w:overflowPunct/>
        <w:topLinePunct w:val="0"/>
        <w:autoSpaceDE/>
        <w:autoSpaceDN/>
        <w:bidi w:val="0"/>
        <w:adjustRightInd/>
        <w:spacing w:beforeAutospacing="0" w:afterAutospacing="0" w:line="500" w:lineRule="exact"/>
      </w:pPr>
    </w:p>
    <w:p w14:paraId="34DFACA8">
      <w:pPr>
        <w:keepLines w:val="0"/>
        <w:pageBreakBefore w:val="0"/>
        <w:kinsoku/>
        <w:wordWrap/>
        <w:overflowPunct/>
        <w:topLinePunct w:val="0"/>
        <w:autoSpaceDE/>
        <w:autoSpaceDN/>
        <w:bidi w:val="0"/>
        <w:adjustRightInd/>
        <w:spacing w:beforeAutospacing="0" w:afterAutospacing="0" w:line="500" w:lineRule="exact"/>
      </w:pPr>
    </w:p>
    <w:p w14:paraId="2D4C2536">
      <w:pPr>
        <w:keepLines w:val="0"/>
        <w:pageBreakBefore w:val="0"/>
        <w:kinsoku/>
        <w:wordWrap/>
        <w:overflowPunct/>
        <w:topLinePunct w:val="0"/>
        <w:autoSpaceDE/>
        <w:autoSpaceDN/>
        <w:bidi w:val="0"/>
        <w:adjustRightInd/>
        <w:spacing w:beforeAutospacing="0" w:afterAutospacing="0" w:line="500" w:lineRule="exact"/>
      </w:pPr>
    </w:p>
    <w:p w14:paraId="51178263">
      <w:pPr>
        <w:keepLines w:val="0"/>
        <w:pageBreakBefore w:val="0"/>
        <w:kinsoku/>
        <w:wordWrap/>
        <w:overflowPunct/>
        <w:topLinePunct w:val="0"/>
        <w:autoSpaceDE/>
        <w:autoSpaceDN/>
        <w:bidi w:val="0"/>
        <w:adjustRightInd/>
        <w:spacing w:beforeAutospacing="0" w:afterAutospacing="0" w:line="500" w:lineRule="exact"/>
      </w:pPr>
    </w:p>
    <w:p w14:paraId="65A5FAD9">
      <w:pPr>
        <w:keepLines w:val="0"/>
        <w:pageBreakBefore w:val="0"/>
        <w:kinsoku/>
        <w:wordWrap/>
        <w:overflowPunct/>
        <w:topLinePunct w:val="0"/>
        <w:autoSpaceDE/>
        <w:autoSpaceDN/>
        <w:bidi w:val="0"/>
        <w:adjustRightInd/>
        <w:spacing w:beforeAutospacing="0" w:afterAutospacing="0" w:line="500" w:lineRule="exact"/>
      </w:pPr>
    </w:p>
    <w:p w14:paraId="051B79D6">
      <w:pPr>
        <w:keepLines w:val="0"/>
        <w:pageBreakBefore w:val="0"/>
        <w:kinsoku/>
        <w:wordWrap/>
        <w:overflowPunct/>
        <w:topLinePunct w:val="0"/>
        <w:autoSpaceDE/>
        <w:autoSpaceDN/>
        <w:bidi w:val="0"/>
        <w:adjustRightInd/>
        <w:spacing w:beforeAutospacing="0" w:afterAutospacing="0" w:line="500" w:lineRule="exact"/>
      </w:pPr>
    </w:p>
    <w:p w14:paraId="39221E93">
      <w:pPr>
        <w:keepLines w:val="0"/>
        <w:pageBreakBefore w:val="0"/>
        <w:kinsoku/>
        <w:wordWrap/>
        <w:overflowPunct/>
        <w:topLinePunct w:val="0"/>
        <w:autoSpaceDE/>
        <w:autoSpaceDN/>
        <w:bidi w:val="0"/>
        <w:adjustRightInd/>
        <w:spacing w:beforeAutospacing="0" w:afterAutospacing="0" w:line="500" w:lineRule="exact"/>
      </w:pPr>
    </w:p>
    <w:p w14:paraId="08899FED">
      <w:pPr>
        <w:keepLines w:val="0"/>
        <w:pageBreakBefore w:val="0"/>
        <w:kinsoku/>
        <w:wordWrap/>
        <w:overflowPunct/>
        <w:topLinePunct w:val="0"/>
        <w:autoSpaceDE/>
        <w:autoSpaceDN/>
        <w:bidi w:val="0"/>
        <w:adjustRightInd/>
        <w:spacing w:beforeAutospacing="0" w:afterAutospacing="0" w:line="500" w:lineRule="exact"/>
      </w:pPr>
    </w:p>
    <w:p w14:paraId="28A16EA0">
      <w:pPr>
        <w:keepLines w:val="0"/>
        <w:pageBreakBefore w:val="0"/>
        <w:kinsoku/>
        <w:wordWrap/>
        <w:overflowPunct/>
        <w:topLinePunct w:val="0"/>
        <w:autoSpaceDE/>
        <w:autoSpaceDN/>
        <w:bidi w:val="0"/>
        <w:adjustRightInd/>
        <w:spacing w:beforeAutospacing="0" w:afterAutospacing="0" w:line="500" w:lineRule="exact"/>
      </w:pPr>
    </w:p>
    <w:p w14:paraId="1CEE26F0">
      <w:pPr>
        <w:keepLines w:val="0"/>
        <w:pageBreakBefore w:val="0"/>
        <w:kinsoku/>
        <w:wordWrap/>
        <w:overflowPunct/>
        <w:topLinePunct w:val="0"/>
        <w:autoSpaceDE/>
        <w:autoSpaceDN/>
        <w:bidi w:val="0"/>
        <w:adjustRightInd/>
        <w:spacing w:beforeAutospacing="0" w:afterAutospacing="0" w:line="500" w:lineRule="exact"/>
      </w:pPr>
    </w:p>
    <w:p w14:paraId="30ED5B63">
      <w:pPr>
        <w:keepLines w:val="0"/>
        <w:pageBreakBefore w:val="0"/>
        <w:kinsoku/>
        <w:wordWrap/>
        <w:overflowPunct/>
        <w:topLinePunct w:val="0"/>
        <w:autoSpaceDE/>
        <w:autoSpaceDN/>
        <w:bidi w:val="0"/>
        <w:adjustRightInd/>
        <w:spacing w:beforeAutospacing="0" w:afterAutospacing="0" w:line="500" w:lineRule="exact"/>
      </w:pPr>
    </w:p>
    <w:p w14:paraId="14C5A413">
      <w:pPr>
        <w:keepLines w:val="0"/>
        <w:pageBreakBefore w:val="0"/>
        <w:kinsoku/>
        <w:wordWrap/>
        <w:overflowPunct/>
        <w:topLinePunct w:val="0"/>
        <w:autoSpaceDE/>
        <w:autoSpaceDN/>
        <w:bidi w:val="0"/>
        <w:adjustRightInd/>
        <w:spacing w:beforeAutospacing="0" w:afterAutospacing="0" w:line="500" w:lineRule="exact"/>
        <w:rPr>
          <w:rFonts w:hint="eastAsia" w:eastAsiaTheme="minorEastAsia"/>
          <w:lang w:val="en-US" w:eastAsia="zh-CN"/>
        </w:rPr>
      </w:pPr>
    </w:p>
    <w:p w14:paraId="2F2EDC47"/>
    <w:p w14:paraId="74B05CCE">
      <w:pPr>
        <w:rPr>
          <w:rFonts w:hint="default" w:eastAsiaTheme="minorEastAsia"/>
          <w:lang w:val="en-US" w:eastAsia="zh-CN"/>
        </w:rPr>
      </w:pPr>
    </w:p>
    <w:p w14:paraId="0EE521EF">
      <w:pPr>
        <w:rPr>
          <w:rFonts w:hint="default" w:eastAsiaTheme="minorEastAsia"/>
          <w:lang w:val="en-US" w:eastAsia="zh-CN"/>
        </w:rPr>
      </w:pPr>
    </w:p>
    <w:p w14:paraId="3D26DB53">
      <w:pPr>
        <w:rPr>
          <w:rFonts w:hint="eastAsia" w:ascii="楷体_GB2312" w:eastAsia="楷体_GB2312"/>
          <w:sz w:val="28"/>
          <w:szCs w:val="28"/>
          <w:lang w:eastAsia="zh-CN"/>
        </w:rPr>
      </w:pPr>
      <w:bookmarkStart w:id="0" w:name="_GoBack"/>
      <w:r>
        <w:rPr>
          <w:rFonts w:hint="eastAsia" w:ascii="楷体_GB2312" w:eastAsia="楷体_GB2312"/>
          <w:sz w:val="28"/>
          <w:szCs w:val="28"/>
          <w:lang w:eastAsia="zh-CN"/>
        </w:rPr>
        <w:t>评分标准：</w:t>
      </w:r>
    </w:p>
    <w:tbl>
      <w:tblPr>
        <w:tblStyle w:val="6"/>
        <w:tblpPr w:leftFromText="180" w:rightFromText="180" w:vertAnchor="text" w:horzAnchor="page" w:tblpX="1801" w:tblpY="32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9"/>
        <w:gridCol w:w="7073"/>
      </w:tblGrid>
      <w:tr w14:paraId="228E4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49" w:type="dxa"/>
            <w:vAlign w:val="top"/>
          </w:tcPr>
          <w:p w14:paraId="6EC122BD">
            <w:pPr>
              <w:widowControl w:val="0"/>
              <w:spacing w:line="472" w:lineRule="auto"/>
              <w:jc w:val="both"/>
              <w:rPr>
                <w:rFonts w:ascii="Arial"/>
                <w:sz w:val="18"/>
                <w:szCs w:val="18"/>
              </w:rPr>
            </w:pPr>
          </w:p>
          <w:p w14:paraId="2E08C99E">
            <w:pPr>
              <w:pStyle w:val="9"/>
              <w:widowControl w:val="0"/>
              <w:spacing w:before="65" w:line="463" w:lineRule="auto"/>
              <w:ind w:right="108" w:rightChars="0"/>
              <w:jc w:val="both"/>
              <w:rPr>
                <w:rFonts w:hint="eastAsia" w:eastAsia="宋体"/>
                <w:sz w:val="18"/>
                <w:szCs w:val="18"/>
                <w:vertAlign w:val="baseline"/>
                <w:lang w:val="en-US" w:eastAsia="zh-CN"/>
              </w:rPr>
            </w:pPr>
            <w:r>
              <w:rPr>
                <w:rFonts w:hint="eastAsia"/>
                <w:sz w:val="18"/>
                <w:szCs w:val="18"/>
                <w:vertAlign w:val="baseline"/>
                <w:lang w:val="en-US" w:eastAsia="zh-CN"/>
              </w:rPr>
              <w:t>价格分</w:t>
            </w:r>
            <w:r>
              <w:rPr>
                <w:b/>
                <w:bCs/>
                <w:spacing w:val="-4"/>
                <w:sz w:val="18"/>
                <w:szCs w:val="18"/>
              </w:rPr>
              <w:t>（</w:t>
            </w:r>
            <w:r>
              <w:rPr>
                <w:rFonts w:hint="eastAsia"/>
                <w:b/>
                <w:bCs/>
                <w:spacing w:val="-4"/>
                <w:sz w:val="18"/>
                <w:szCs w:val="18"/>
                <w:lang w:val="en-US" w:eastAsia="zh-CN"/>
              </w:rPr>
              <w:t>30</w:t>
            </w:r>
            <w:r>
              <w:rPr>
                <w:b/>
                <w:bCs/>
                <w:spacing w:val="-4"/>
                <w:sz w:val="18"/>
                <w:szCs w:val="18"/>
              </w:rPr>
              <w:t>分）</w:t>
            </w:r>
          </w:p>
        </w:tc>
        <w:tc>
          <w:tcPr>
            <w:tcW w:w="7073" w:type="dxa"/>
            <w:vAlign w:val="top"/>
          </w:tcPr>
          <w:p w14:paraId="5E84B357">
            <w:pPr>
              <w:pStyle w:val="9"/>
              <w:widowControl w:val="0"/>
              <w:spacing w:before="37" w:line="226" w:lineRule="auto"/>
              <w:ind w:left="9"/>
              <w:jc w:val="both"/>
              <w:rPr>
                <w:sz w:val="18"/>
                <w:szCs w:val="18"/>
              </w:rPr>
            </w:pPr>
            <w:r>
              <w:rPr>
                <w:spacing w:val="8"/>
                <w:sz w:val="18"/>
                <w:szCs w:val="18"/>
              </w:rPr>
              <w:t>价格分的计算</w:t>
            </w:r>
          </w:p>
          <w:p w14:paraId="6244192E">
            <w:pPr>
              <w:pStyle w:val="9"/>
              <w:widowControl w:val="0"/>
              <w:spacing w:before="26" w:line="226" w:lineRule="auto"/>
              <w:ind w:left="19"/>
              <w:jc w:val="both"/>
              <w:rPr>
                <w:sz w:val="18"/>
                <w:szCs w:val="18"/>
              </w:rPr>
            </w:pPr>
            <w:r>
              <w:rPr>
                <w:spacing w:val="7"/>
                <w:sz w:val="18"/>
                <w:szCs w:val="18"/>
              </w:rPr>
              <w:t>响应报价得分=(评标基准价／响应报价)×0</w:t>
            </w:r>
            <w:r>
              <w:rPr>
                <w:rFonts w:hint="eastAsia"/>
                <w:spacing w:val="7"/>
                <w:sz w:val="18"/>
                <w:szCs w:val="18"/>
                <w:lang w:val="en-US" w:eastAsia="zh-CN"/>
              </w:rPr>
              <w:t>.3</w:t>
            </w:r>
            <w:r>
              <w:rPr>
                <w:spacing w:val="7"/>
                <w:sz w:val="18"/>
                <w:szCs w:val="18"/>
              </w:rPr>
              <w:t>0×100</w:t>
            </w:r>
          </w:p>
          <w:p w14:paraId="279FFCD0">
            <w:pPr>
              <w:pStyle w:val="9"/>
              <w:widowControl w:val="0"/>
              <w:spacing w:before="216" w:line="396" w:lineRule="auto"/>
              <w:ind w:left="10" w:leftChars="0" w:right="5" w:rightChars="0" w:hanging="2" w:firstLineChars="0"/>
              <w:jc w:val="both"/>
              <w:rPr>
                <w:sz w:val="18"/>
                <w:szCs w:val="18"/>
                <w:vertAlign w:val="baseline"/>
              </w:rPr>
            </w:pPr>
            <w:r>
              <w:rPr>
                <w:spacing w:val="12"/>
                <w:sz w:val="18"/>
                <w:szCs w:val="18"/>
              </w:rPr>
              <w:t>满足竞争性磋商文件要求，且最终报价（二次报价）最低的最终报价为评审基</w:t>
            </w:r>
            <w:r>
              <w:rPr>
                <w:spacing w:val="11"/>
                <w:sz w:val="18"/>
                <w:szCs w:val="18"/>
              </w:rPr>
              <w:t>准价，其价格</w:t>
            </w:r>
            <w:r>
              <w:rPr>
                <w:spacing w:val="5"/>
                <w:sz w:val="18"/>
                <w:szCs w:val="18"/>
              </w:rPr>
              <w:t>分为满分。</w:t>
            </w:r>
          </w:p>
        </w:tc>
      </w:tr>
      <w:tr w14:paraId="30873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49" w:type="dxa"/>
          </w:tcPr>
          <w:p w14:paraId="4DD01163">
            <w:pPr>
              <w:widowControl w:val="0"/>
              <w:spacing w:line="472" w:lineRule="auto"/>
              <w:jc w:val="both"/>
              <w:rPr>
                <w:rFonts w:hint="default" w:ascii="Arial"/>
                <w:sz w:val="18"/>
                <w:szCs w:val="18"/>
                <w:lang w:val="en-US" w:eastAsia="zh-CN"/>
              </w:rPr>
            </w:pPr>
            <w:r>
              <w:rPr>
                <w:rFonts w:hint="eastAsia" w:ascii="Arial"/>
                <w:sz w:val="18"/>
                <w:szCs w:val="18"/>
                <w:lang w:eastAsia="zh-CN"/>
              </w:rPr>
              <w:t>技术分（</w:t>
            </w:r>
            <w:r>
              <w:rPr>
                <w:rFonts w:hint="eastAsia" w:ascii="Arial"/>
                <w:sz w:val="18"/>
                <w:szCs w:val="18"/>
                <w:lang w:val="en-US" w:eastAsia="zh-CN"/>
              </w:rPr>
              <w:t>6</w:t>
            </w:r>
            <w:r>
              <w:rPr>
                <w:rFonts w:hint="eastAsia"/>
                <w:sz w:val="18"/>
                <w:szCs w:val="18"/>
                <w:lang w:val="en-US" w:eastAsia="zh-CN"/>
              </w:rPr>
              <w:t>0</w:t>
            </w:r>
            <w:r>
              <w:rPr>
                <w:rFonts w:hint="eastAsia" w:ascii="Arial"/>
                <w:sz w:val="18"/>
                <w:szCs w:val="18"/>
                <w:lang w:val="en-US" w:eastAsia="zh-CN"/>
              </w:rPr>
              <w:t>分）</w:t>
            </w:r>
          </w:p>
        </w:tc>
        <w:tc>
          <w:tcPr>
            <w:tcW w:w="7073" w:type="dxa"/>
          </w:tcPr>
          <w:p w14:paraId="533C1F73">
            <w:pPr>
              <w:widowControl w:val="0"/>
              <w:spacing w:line="240" w:lineRule="auto"/>
              <w:jc w:val="both"/>
              <w:rPr>
                <w:rFonts w:hint="eastAsia" w:ascii="Arial"/>
                <w:b/>
                <w:bCs/>
                <w:sz w:val="18"/>
                <w:szCs w:val="18"/>
              </w:rPr>
            </w:pPr>
            <w:r>
              <w:rPr>
                <w:rFonts w:hint="eastAsia" w:ascii="Arial"/>
                <w:b/>
                <w:bCs/>
                <w:sz w:val="18"/>
                <w:szCs w:val="18"/>
              </w:rPr>
              <w:t>（</w:t>
            </w:r>
            <w:r>
              <w:rPr>
                <w:rFonts w:hint="eastAsia" w:ascii="Arial"/>
                <w:b/>
                <w:bCs/>
                <w:sz w:val="18"/>
                <w:szCs w:val="18"/>
                <w:lang w:eastAsia="zh-CN"/>
              </w:rPr>
              <w:t>一</w:t>
            </w:r>
            <w:r>
              <w:rPr>
                <w:rFonts w:hint="eastAsia" w:ascii="Arial"/>
                <w:b/>
                <w:bCs/>
                <w:sz w:val="18"/>
                <w:szCs w:val="18"/>
              </w:rPr>
              <w:t>）监理人员配置（2</w:t>
            </w:r>
            <w:r>
              <w:rPr>
                <w:rFonts w:hint="eastAsia" w:ascii="Arial"/>
                <w:b/>
                <w:bCs/>
                <w:sz w:val="18"/>
                <w:szCs w:val="18"/>
                <w:lang w:val="en-US" w:eastAsia="zh-CN"/>
              </w:rPr>
              <w:t>2</w:t>
            </w:r>
            <w:r>
              <w:rPr>
                <w:rFonts w:hint="eastAsia" w:ascii="Arial"/>
                <w:b/>
                <w:bCs/>
                <w:sz w:val="18"/>
                <w:szCs w:val="18"/>
              </w:rPr>
              <w:t>分）</w:t>
            </w:r>
          </w:p>
          <w:p w14:paraId="2D2A966A">
            <w:pPr>
              <w:widowControl w:val="0"/>
              <w:spacing w:line="240" w:lineRule="auto"/>
              <w:jc w:val="both"/>
              <w:rPr>
                <w:rFonts w:hint="eastAsia" w:ascii="Arial"/>
                <w:sz w:val="18"/>
                <w:szCs w:val="18"/>
              </w:rPr>
            </w:pPr>
            <w:r>
              <w:rPr>
                <w:rFonts w:hint="eastAsia" w:ascii="Arial"/>
                <w:sz w:val="18"/>
                <w:szCs w:val="18"/>
              </w:rPr>
              <w:t xml:space="preserve"> 1. 总监理工程师资质及业绩（1</w:t>
            </w:r>
            <w:r>
              <w:rPr>
                <w:rFonts w:hint="eastAsia" w:ascii="Arial"/>
                <w:sz w:val="18"/>
                <w:szCs w:val="18"/>
                <w:lang w:val="en-US" w:eastAsia="zh-CN"/>
              </w:rPr>
              <w:t>0</w:t>
            </w:r>
            <w:r>
              <w:rPr>
                <w:rFonts w:hint="eastAsia" w:ascii="Arial"/>
                <w:sz w:val="18"/>
                <w:szCs w:val="18"/>
              </w:rPr>
              <w:t>分）</w:t>
            </w:r>
          </w:p>
          <w:p w14:paraId="38EA17B8">
            <w:pPr>
              <w:widowControl w:val="0"/>
              <w:spacing w:line="240" w:lineRule="auto"/>
              <w:jc w:val="both"/>
              <w:rPr>
                <w:rFonts w:hint="eastAsia" w:ascii="Arial"/>
                <w:sz w:val="18"/>
                <w:szCs w:val="18"/>
              </w:rPr>
            </w:pPr>
            <w:r>
              <w:rPr>
                <w:rFonts w:hint="eastAsia" w:ascii="Arial"/>
                <w:sz w:val="18"/>
                <w:szCs w:val="18"/>
              </w:rPr>
              <w:t>具备房屋建筑工程注册监理工程师证书、中级及以上职称，无不良执业记录，且近 3 年具有3 个及以上房屋建筑公共建筑监理项目业绩，得 10 分；</w:t>
            </w:r>
          </w:p>
          <w:p w14:paraId="436D573D">
            <w:pPr>
              <w:widowControl w:val="0"/>
              <w:spacing w:line="240" w:lineRule="auto"/>
              <w:jc w:val="both"/>
              <w:rPr>
                <w:rFonts w:hint="eastAsia" w:ascii="Arial"/>
                <w:sz w:val="18"/>
                <w:szCs w:val="18"/>
              </w:rPr>
            </w:pPr>
            <w:r>
              <w:rPr>
                <w:rFonts w:hint="eastAsia" w:ascii="Arial"/>
                <w:sz w:val="18"/>
                <w:szCs w:val="18"/>
              </w:rPr>
              <w:t>具备对应注册证书及职称，近 3 年具有2 个房屋建筑公共建筑监理项目业绩，得 7.5 分；</w:t>
            </w:r>
          </w:p>
          <w:p w14:paraId="4A6F0132">
            <w:pPr>
              <w:widowControl w:val="0"/>
              <w:spacing w:line="240" w:lineRule="auto"/>
              <w:jc w:val="both"/>
              <w:rPr>
                <w:rFonts w:hint="eastAsia" w:ascii="Arial"/>
                <w:sz w:val="18"/>
                <w:szCs w:val="18"/>
              </w:rPr>
            </w:pPr>
            <w:r>
              <w:rPr>
                <w:rFonts w:hint="eastAsia" w:ascii="Arial"/>
                <w:sz w:val="18"/>
                <w:szCs w:val="18"/>
              </w:rPr>
              <w:t>具备对应注册证书及职称，近 3 年具有1 个房屋建筑公共建筑监理项目业绩，得 4 分；</w:t>
            </w:r>
          </w:p>
          <w:p w14:paraId="79019562">
            <w:pPr>
              <w:widowControl w:val="0"/>
              <w:spacing w:line="240" w:lineRule="auto"/>
              <w:jc w:val="both"/>
              <w:rPr>
                <w:rFonts w:hint="eastAsia" w:ascii="Arial"/>
                <w:sz w:val="18"/>
                <w:szCs w:val="18"/>
              </w:rPr>
            </w:pPr>
            <w:r>
              <w:rPr>
                <w:rFonts w:hint="eastAsia" w:ascii="Arial"/>
                <w:sz w:val="18"/>
                <w:szCs w:val="18"/>
              </w:rPr>
              <w:t>仅具备对应注册证书及职称、无对应业绩，得 2 分。</w:t>
            </w:r>
          </w:p>
          <w:p w14:paraId="609AEB36">
            <w:pPr>
              <w:widowControl w:val="0"/>
              <w:spacing w:line="240" w:lineRule="auto"/>
              <w:jc w:val="both"/>
              <w:rPr>
                <w:rFonts w:hint="eastAsia" w:ascii="Arial"/>
                <w:sz w:val="18"/>
                <w:szCs w:val="18"/>
              </w:rPr>
            </w:pPr>
            <w:r>
              <w:rPr>
                <w:rFonts w:hint="eastAsia" w:ascii="Arial"/>
                <w:sz w:val="18"/>
                <w:szCs w:val="18"/>
              </w:rPr>
              <w:t>2. 专业监理工程师（</w:t>
            </w:r>
            <w:r>
              <w:rPr>
                <w:rFonts w:hint="eastAsia" w:ascii="Arial"/>
                <w:sz w:val="18"/>
                <w:szCs w:val="18"/>
                <w:lang w:val="en-US" w:eastAsia="zh-CN"/>
              </w:rPr>
              <w:t>7</w:t>
            </w:r>
            <w:r>
              <w:rPr>
                <w:rFonts w:hint="eastAsia" w:ascii="Arial"/>
                <w:sz w:val="18"/>
                <w:szCs w:val="18"/>
              </w:rPr>
              <w:t>分）</w:t>
            </w:r>
          </w:p>
          <w:p w14:paraId="0BA4C43D">
            <w:pPr>
              <w:widowControl w:val="0"/>
              <w:spacing w:line="240" w:lineRule="auto"/>
              <w:jc w:val="both"/>
              <w:rPr>
                <w:rFonts w:hint="eastAsia" w:ascii="Arial"/>
                <w:sz w:val="18"/>
                <w:szCs w:val="18"/>
              </w:rPr>
            </w:pPr>
            <w:r>
              <w:rPr>
                <w:rFonts w:hint="eastAsia" w:ascii="Arial"/>
                <w:sz w:val="18"/>
                <w:szCs w:val="18"/>
              </w:rPr>
              <w:t>足额配备土建</w:t>
            </w:r>
            <w:r>
              <w:rPr>
                <w:rFonts w:hint="eastAsia" w:ascii="Arial"/>
                <w:sz w:val="18"/>
                <w:szCs w:val="18"/>
                <w:lang w:val="en-US" w:eastAsia="zh-CN"/>
              </w:rPr>
              <w:t>1</w:t>
            </w:r>
            <w:r>
              <w:rPr>
                <w:rFonts w:hint="eastAsia" w:ascii="Arial"/>
                <w:sz w:val="18"/>
                <w:szCs w:val="18"/>
              </w:rPr>
              <w:t>名对应专业监理工程师，人证合一、证件有效，得 4 分；</w:t>
            </w:r>
          </w:p>
          <w:p w14:paraId="52AB319D">
            <w:pPr>
              <w:widowControl w:val="0"/>
              <w:spacing w:line="240" w:lineRule="auto"/>
              <w:jc w:val="both"/>
              <w:rPr>
                <w:rFonts w:hint="default" w:ascii="Arial" w:eastAsia="宋体"/>
                <w:sz w:val="18"/>
                <w:szCs w:val="18"/>
                <w:lang w:val="en-US" w:eastAsia="zh-CN"/>
              </w:rPr>
            </w:pPr>
            <w:r>
              <w:rPr>
                <w:rFonts w:hint="eastAsia" w:ascii="Arial"/>
                <w:sz w:val="18"/>
                <w:szCs w:val="18"/>
              </w:rPr>
              <w:t>专监具备3 年以上公共建筑</w:t>
            </w:r>
            <w:r>
              <w:rPr>
                <w:rFonts w:hint="eastAsia" w:ascii="Arial"/>
                <w:color w:val="FF0000"/>
                <w:sz w:val="18"/>
                <w:szCs w:val="18"/>
                <w:lang w:val="en-US" w:eastAsia="zh-CN"/>
              </w:rPr>
              <w:t>及钢结构</w:t>
            </w:r>
            <w:r>
              <w:rPr>
                <w:rFonts w:hint="eastAsia" w:ascii="Arial"/>
                <w:sz w:val="18"/>
                <w:szCs w:val="18"/>
              </w:rPr>
              <w:t>监理经验 + 中级及以上职称，</w:t>
            </w:r>
            <w:r>
              <w:rPr>
                <w:rFonts w:hint="eastAsia" w:ascii="Arial"/>
                <w:sz w:val="18"/>
                <w:szCs w:val="18"/>
                <w:lang w:val="en-US" w:eastAsia="zh-CN"/>
              </w:rPr>
              <w:t>得3</w:t>
            </w:r>
            <w:r>
              <w:rPr>
                <w:rFonts w:hint="eastAsia" w:ascii="Arial"/>
                <w:sz w:val="18"/>
                <w:szCs w:val="18"/>
              </w:rPr>
              <w:t xml:space="preserve"> 分；本项满分 7 分。</w:t>
            </w:r>
          </w:p>
          <w:p w14:paraId="3A907C5B">
            <w:pPr>
              <w:widowControl w:val="0"/>
              <w:spacing w:line="240" w:lineRule="auto"/>
              <w:jc w:val="both"/>
              <w:rPr>
                <w:rFonts w:hint="eastAsia" w:ascii="Arial"/>
                <w:sz w:val="18"/>
                <w:szCs w:val="18"/>
              </w:rPr>
            </w:pPr>
            <w:r>
              <w:rPr>
                <w:rFonts w:hint="eastAsia" w:ascii="Arial"/>
                <w:sz w:val="18"/>
                <w:szCs w:val="18"/>
              </w:rPr>
              <w:t>3. 监理员及配套人员（5分）</w:t>
            </w:r>
          </w:p>
          <w:p w14:paraId="65268990">
            <w:pPr>
              <w:widowControl w:val="0"/>
              <w:spacing w:line="240" w:lineRule="auto"/>
              <w:jc w:val="both"/>
              <w:rPr>
                <w:rFonts w:hint="eastAsia" w:ascii="Arial"/>
                <w:sz w:val="18"/>
                <w:szCs w:val="18"/>
              </w:rPr>
            </w:pPr>
            <w:r>
              <w:rPr>
                <w:rFonts w:hint="eastAsia" w:ascii="Arial"/>
                <w:sz w:val="18"/>
                <w:szCs w:val="18"/>
              </w:rPr>
              <w:t xml:space="preserve"> 针对本项目制定人员考勤、在岗管理、岗位兼任（安全监理、见证取样）管理制度，制度完善、贴合项目实名制管理要求，得 5 分；</w:t>
            </w:r>
          </w:p>
          <w:p w14:paraId="7050C7F3">
            <w:pPr>
              <w:widowControl w:val="0"/>
              <w:spacing w:line="240" w:lineRule="auto"/>
              <w:jc w:val="both"/>
              <w:rPr>
                <w:rFonts w:hint="eastAsia" w:ascii="Arial"/>
                <w:sz w:val="18"/>
                <w:szCs w:val="18"/>
              </w:rPr>
            </w:pPr>
            <w:r>
              <w:rPr>
                <w:rFonts w:hint="eastAsia" w:ascii="Arial"/>
                <w:sz w:val="18"/>
                <w:szCs w:val="18"/>
              </w:rPr>
              <w:t>管理制度基本完整、可满足现场管理需求，得 3 分；</w:t>
            </w:r>
          </w:p>
          <w:p w14:paraId="63AFCD00">
            <w:pPr>
              <w:widowControl w:val="0"/>
              <w:spacing w:line="240" w:lineRule="auto"/>
              <w:jc w:val="both"/>
              <w:rPr>
                <w:rFonts w:hint="eastAsia" w:ascii="Arial" w:eastAsia="宋体"/>
                <w:sz w:val="18"/>
                <w:szCs w:val="18"/>
                <w:lang w:eastAsia="zh-CN"/>
              </w:rPr>
            </w:pPr>
            <w:r>
              <w:rPr>
                <w:rFonts w:hint="eastAsia" w:ascii="Arial"/>
                <w:sz w:val="18"/>
                <w:szCs w:val="18"/>
              </w:rPr>
              <w:t>管理制度简略、针对性不足，得 1 分；未提供管理制度不得分。</w:t>
            </w:r>
          </w:p>
          <w:p w14:paraId="3F39AC81">
            <w:pPr>
              <w:widowControl w:val="0"/>
              <w:spacing w:line="240" w:lineRule="auto"/>
              <w:jc w:val="both"/>
              <w:rPr>
                <w:rFonts w:hint="eastAsia" w:ascii="Arial"/>
                <w:sz w:val="18"/>
                <w:szCs w:val="18"/>
              </w:rPr>
            </w:pPr>
            <w:r>
              <w:rPr>
                <w:b/>
                <w:bCs/>
                <w:spacing w:val="10"/>
                <w:sz w:val="18"/>
                <w:szCs w:val="18"/>
              </w:rPr>
              <w:t>评审依据：</w:t>
            </w:r>
            <w:r>
              <w:rPr>
                <w:rFonts w:hint="eastAsia" w:ascii="Arial"/>
                <w:b/>
                <w:bCs/>
                <w:sz w:val="18"/>
                <w:szCs w:val="18"/>
              </w:rPr>
              <w:t>提供人员注册证书、职称证书、社保材料（</w:t>
            </w:r>
            <w:r>
              <w:rPr>
                <w:rFonts w:hint="eastAsia" w:ascii="Arial"/>
                <w:b/>
                <w:bCs/>
                <w:sz w:val="18"/>
                <w:szCs w:val="18"/>
                <w:lang w:eastAsia="zh-CN"/>
              </w:rPr>
              <w:t>开标前</w:t>
            </w:r>
            <w:r>
              <w:rPr>
                <w:rFonts w:hint="eastAsia" w:ascii="Arial"/>
                <w:b/>
                <w:bCs/>
                <w:sz w:val="18"/>
                <w:szCs w:val="18"/>
              </w:rPr>
              <w:t xml:space="preserve"> </w:t>
            </w:r>
            <w:r>
              <w:rPr>
                <w:rFonts w:hint="eastAsia" w:ascii="Arial"/>
                <w:b/>
                <w:bCs/>
                <w:sz w:val="18"/>
                <w:szCs w:val="18"/>
                <w:lang w:val="en-US" w:eastAsia="zh-CN"/>
              </w:rPr>
              <w:t>6</w:t>
            </w:r>
            <w:r>
              <w:rPr>
                <w:rFonts w:hint="eastAsia" w:ascii="Arial"/>
                <w:b/>
                <w:bCs/>
                <w:sz w:val="18"/>
                <w:szCs w:val="18"/>
              </w:rPr>
              <w:t>个月）彩色复印件并加盖</w:t>
            </w:r>
            <w:r>
              <w:rPr>
                <w:rFonts w:hint="eastAsia" w:ascii="Arial"/>
                <w:b/>
                <w:bCs/>
                <w:sz w:val="18"/>
                <w:szCs w:val="18"/>
                <w:lang w:eastAsia="zh-CN"/>
              </w:rPr>
              <w:t>响应</w:t>
            </w:r>
            <w:r>
              <w:rPr>
                <w:rFonts w:hint="eastAsia" w:ascii="Arial"/>
                <w:b/>
                <w:bCs/>
                <w:sz w:val="18"/>
                <w:szCs w:val="18"/>
              </w:rPr>
              <w:t>供应商公章，证件无效、人证不一致不得分。</w:t>
            </w:r>
          </w:p>
          <w:p w14:paraId="60325661">
            <w:pPr>
              <w:widowControl w:val="0"/>
              <w:spacing w:line="240" w:lineRule="auto"/>
              <w:jc w:val="both"/>
              <w:rPr>
                <w:rFonts w:hint="eastAsia" w:ascii="Arial"/>
                <w:b/>
                <w:bCs/>
                <w:sz w:val="18"/>
                <w:szCs w:val="18"/>
              </w:rPr>
            </w:pPr>
            <w:r>
              <w:rPr>
                <w:rFonts w:hint="eastAsia" w:eastAsia="宋体"/>
                <w:b/>
                <w:bCs/>
                <w:sz w:val="18"/>
                <w:szCs w:val="18"/>
                <w:lang w:eastAsia="zh-CN"/>
              </w:rPr>
              <w:t>二</w:t>
            </w:r>
            <w:r>
              <w:rPr>
                <w:rFonts w:hint="eastAsia" w:ascii="Arial"/>
                <w:b/>
                <w:bCs/>
                <w:sz w:val="18"/>
                <w:szCs w:val="18"/>
              </w:rPr>
              <w:t>、技术方案（</w:t>
            </w:r>
            <w:r>
              <w:rPr>
                <w:rFonts w:hint="eastAsia" w:eastAsia="宋体"/>
                <w:b/>
                <w:bCs/>
                <w:sz w:val="18"/>
                <w:szCs w:val="18"/>
                <w:lang w:val="en-US" w:eastAsia="zh-CN"/>
              </w:rPr>
              <w:t>38</w:t>
            </w:r>
            <w:r>
              <w:rPr>
                <w:rFonts w:hint="eastAsia" w:ascii="Arial"/>
                <w:b/>
                <w:bCs/>
                <w:sz w:val="18"/>
                <w:szCs w:val="18"/>
              </w:rPr>
              <w:t>分）</w:t>
            </w:r>
          </w:p>
          <w:p w14:paraId="7F8B0CA9">
            <w:pPr>
              <w:widowControl w:val="0"/>
              <w:spacing w:line="240" w:lineRule="auto"/>
              <w:jc w:val="both"/>
              <w:rPr>
                <w:rFonts w:hint="eastAsia" w:ascii="Arial"/>
                <w:sz w:val="18"/>
                <w:szCs w:val="18"/>
              </w:rPr>
            </w:pPr>
            <w:r>
              <w:rPr>
                <w:rFonts w:hint="eastAsia" w:ascii="Arial"/>
                <w:sz w:val="18"/>
                <w:szCs w:val="18"/>
              </w:rPr>
              <w:t xml:space="preserve"> 1. 项目整体监理实施方案（1</w:t>
            </w:r>
            <w:r>
              <w:rPr>
                <w:rFonts w:hint="eastAsia" w:ascii="Arial"/>
                <w:sz w:val="18"/>
                <w:szCs w:val="18"/>
                <w:lang w:val="en-US" w:eastAsia="zh-CN"/>
              </w:rPr>
              <w:t>3</w:t>
            </w:r>
            <w:r>
              <w:rPr>
                <w:rFonts w:hint="eastAsia" w:ascii="Arial"/>
                <w:sz w:val="18"/>
                <w:szCs w:val="18"/>
              </w:rPr>
              <w:t>分）</w:t>
            </w:r>
          </w:p>
          <w:p w14:paraId="7AB6191D">
            <w:pPr>
              <w:widowControl w:val="0"/>
              <w:spacing w:line="240" w:lineRule="auto"/>
              <w:jc w:val="both"/>
              <w:rPr>
                <w:rFonts w:hint="eastAsia" w:ascii="Arial"/>
                <w:sz w:val="18"/>
                <w:szCs w:val="18"/>
              </w:rPr>
            </w:pPr>
            <w:r>
              <w:rPr>
                <w:rFonts w:hint="eastAsia" w:ascii="Arial"/>
                <w:sz w:val="18"/>
                <w:szCs w:val="18"/>
              </w:rPr>
              <w:t>（1）项目概况解读、工程重难点及风险分析（4 分）：分析全面、精准，结合本项目教学楼 + 地下室 + 拆除工程特点，得 4 分；分析较合理，得 2.5 分；分析简略，得 1 分。</w:t>
            </w:r>
          </w:p>
          <w:p w14:paraId="49E31265">
            <w:pPr>
              <w:widowControl w:val="0"/>
              <w:spacing w:line="240" w:lineRule="auto"/>
              <w:jc w:val="both"/>
              <w:rPr>
                <w:rFonts w:hint="eastAsia" w:ascii="Arial"/>
                <w:sz w:val="18"/>
                <w:szCs w:val="18"/>
              </w:rPr>
            </w:pPr>
            <w:r>
              <w:rPr>
                <w:rFonts w:hint="eastAsia" w:ascii="Arial"/>
                <w:sz w:val="18"/>
                <w:szCs w:val="18"/>
              </w:rPr>
              <w:t>（2）监理组织架构、岗位职责、整体工作流程（5 分）：架构完整、岗位职责清晰、流程规范，贴合校园项目管理要求，得 5 分；架构及流程基本完整，得 3 分；流程不完善，得 1.5 分。</w:t>
            </w:r>
          </w:p>
          <w:p w14:paraId="4A025A45">
            <w:pPr>
              <w:widowControl w:val="0"/>
              <w:spacing w:line="240" w:lineRule="auto"/>
              <w:jc w:val="both"/>
              <w:rPr>
                <w:rFonts w:hint="eastAsia" w:ascii="Arial"/>
                <w:sz w:val="18"/>
                <w:szCs w:val="18"/>
              </w:rPr>
            </w:pPr>
            <w:r>
              <w:rPr>
                <w:rFonts w:hint="eastAsia" w:ascii="Arial"/>
                <w:sz w:val="18"/>
                <w:szCs w:val="18"/>
              </w:rPr>
              <w:t>（3）针对校园施工的隔离、降噪、防尘、师生安全保障专项措施（4 分）：措施具体、可落地、可考核，得 4 分；措施基本齐全，得 2.5 分；措施简略，得 1 分。</w:t>
            </w:r>
          </w:p>
          <w:p w14:paraId="6F5D19E9">
            <w:pPr>
              <w:widowControl w:val="0"/>
              <w:spacing w:line="240" w:lineRule="auto"/>
              <w:jc w:val="both"/>
              <w:rPr>
                <w:rFonts w:hint="eastAsia" w:ascii="Arial"/>
                <w:sz w:val="18"/>
                <w:szCs w:val="18"/>
              </w:rPr>
            </w:pPr>
            <w:r>
              <w:rPr>
                <w:rFonts w:hint="eastAsia" w:ascii="Arial"/>
                <w:sz w:val="18"/>
                <w:szCs w:val="18"/>
              </w:rPr>
              <w:t>2. 质量、安全、进度、投资管控专项方案（</w:t>
            </w:r>
            <w:r>
              <w:rPr>
                <w:rFonts w:hint="eastAsia" w:ascii="Arial"/>
                <w:sz w:val="18"/>
                <w:szCs w:val="18"/>
                <w:lang w:val="en-US" w:eastAsia="zh-CN"/>
              </w:rPr>
              <w:t>17</w:t>
            </w:r>
            <w:r>
              <w:rPr>
                <w:rFonts w:hint="eastAsia" w:ascii="Arial"/>
                <w:sz w:val="18"/>
                <w:szCs w:val="18"/>
              </w:rPr>
              <w:t>分）</w:t>
            </w:r>
          </w:p>
          <w:p w14:paraId="6D42880C">
            <w:pPr>
              <w:widowControl w:val="0"/>
              <w:spacing w:line="240" w:lineRule="auto"/>
              <w:jc w:val="both"/>
              <w:rPr>
                <w:rFonts w:hint="eastAsia" w:ascii="Arial"/>
                <w:sz w:val="18"/>
                <w:szCs w:val="18"/>
              </w:rPr>
            </w:pPr>
            <w:r>
              <w:rPr>
                <w:rFonts w:hint="eastAsia" w:ascii="Arial"/>
                <w:sz w:val="18"/>
                <w:szCs w:val="18"/>
              </w:rPr>
              <w:t xml:space="preserve">（1）质量管控方案（5 分）：针对主体结构、防水、消防、装修、隐蔽工程等关键工序管控措施完善、旁站 / 巡检方案细化，得 5 分；措施合理，得 3 分；措施简单，得 1 分。 </w:t>
            </w:r>
          </w:p>
          <w:p w14:paraId="676969C5">
            <w:pPr>
              <w:widowControl w:val="0"/>
              <w:spacing w:line="240" w:lineRule="auto"/>
              <w:jc w:val="both"/>
              <w:rPr>
                <w:rFonts w:hint="eastAsia" w:ascii="Arial"/>
                <w:sz w:val="18"/>
                <w:szCs w:val="18"/>
              </w:rPr>
            </w:pPr>
            <w:r>
              <w:rPr>
                <w:rFonts w:hint="eastAsia" w:ascii="Arial"/>
                <w:sz w:val="18"/>
                <w:szCs w:val="18"/>
              </w:rPr>
              <w:t>（2）安全文明施工管控方案（4 分）：包含临时用电、高空作业、校园隔离、节假日 / 开学季专项安全措施，内容完整，得 4 分；内容基本齐全，得 2 分；内容简略，得 1 分。</w:t>
            </w:r>
          </w:p>
          <w:p w14:paraId="31F8F315">
            <w:pPr>
              <w:widowControl w:val="0"/>
              <w:spacing w:line="240" w:lineRule="auto"/>
              <w:jc w:val="both"/>
              <w:rPr>
                <w:rFonts w:hint="eastAsia" w:ascii="Arial"/>
                <w:sz w:val="18"/>
                <w:szCs w:val="18"/>
              </w:rPr>
            </w:pPr>
            <w:r>
              <w:rPr>
                <w:rFonts w:hint="eastAsia" w:ascii="Arial"/>
                <w:sz w:val="18"/>
                <w:szCs w:val="18"/>
              </w:rPr>
              <w:t>（3）进度管控方案（4 分）：进度核查、滞后纠偏、报表报送机制完善，得 4 分；机制基本完整，得 2 分；机制缺失，得 0 分。 （4）投资及合同管控方案（4 分）：变更、签证、工程量核算、进度款审核、结算配合措施完善，得 4 分；措施基本齐全，得 2 分；措施简略，得 1 分。</w:t>
            </w:r>
          </w:p>
          <w:p w14:paraId="0FD5A7F3">
            <w:pPr>
              <w:widowControl w:val="0"/>
              <w:spacing w:line="240" w:lineRule="auto"/>
              <w:jc w:val="both"/>
              <w:rPr>
                <w:rFonts w:hint="eastAsia" w:ascii="Arial"/>
                <w:sz w:val="18"/>
                <w:szCs w:val="18"/>
              </w:rPr>
            </w:pPr>
            <w:r>
              <w:rPr>
                <w:rFonts w:hint="eastAsia" w:ascii="Arial"/>
                <w:sz w:val="18"/>
                <w:szCs w:val="18"/>
              </w:rPr>
              <w:t>3. 竣工备案及保修阶段服务方案（</w:t>
            </w:r>
            <w:r>
              <w:rPr>
                <w:rFonts w:hint="eastAsia" w:ascii="Arial"/>
                <w:sz w:val="18"/>
                <w:szCs w:val="18"/>
                <w:lang w:val="en-US" w:eastAsia="zh-CN"/>
              </w:rPr>
              <w:t>8</w:t>
            </w:r>
            <w:r>
              <w:rPr>
                <w:rFonts w:hint="eastAsia" w:ascii="Arial"/>
                <w:sz w:val="18"/>
                <w:szCs w:val="18"/>
              </w:rPr>
              <w:t>分）</w:t>
            </w:r>
          </w:p>
          <w:p w14:paraId="672C8C65">
            <w:pPr>
              <w:pStyle w:val="9"/>
              <w:widowControl w:val="0"/>
              <w:spacing w:before="1" w:line="240" w:lineRule="auto"/>
              <w:ind w:right="5"/>
              <w:jc w:val="both"/>
              <w:rPr>
                <w:rFonts w:hint="eastAsia" w:ascii="Arial"/>
                <w:sz w:val="18"/>
                <w:szCs w:val="18"/>
              </w:rPr>
            </w:pPr>
            <w:r>
              <w:rPr>
                <w:rFonts w:hint="eastAsia" w:ascii="Arial"/>
                <w:sz w:val="18"/>
                <w:szCs w:val="18"/>
                <w:lang w:eastAsia="zh-CN"/>
              </w:rPr>
              <w:t>（</w:t>
            </w:r>
            <w:r>
              <w:rPr>
                <w:rFonts w:hint="eastAsia" w:ascii="Arial"/>
                <w:sz w:val="18"/>
                <w:szCs w:val="18"/>
              </w:rPr>
              <w:t>1）竣工资料整理、预验收、正式验收、档案 / 消防备案流程（3 分）：流程完整、分工明确，得 3 分；流程基本规范，得 2 分；流程不完善，得 1 分。</w:t>
            </w:r>
          </w:p>
          <w:p w14:paraId="14A6ACCD">
            <w:pPr>
              <w:pStyle w:val="9"/>
              <w:widowControl w:val="0"/>
              <w:spacing w:before="1" w:line="240" w:lineRule="auto"/>
              <w:ind w:right="5"/>
              <w:jc w:val="both"/>
              <w:rPr>
                <w:rFonts w:hint="eastAsia" w:ascii="Arial"/>
                <w:sz w:val="18"/>
                <w:szCs w:val="18"/>
              </w:rPr>
            </w:pPr>
            <w:r>
              <w:rPr>
                <w:rFonts w:hint="eastAsia" w:ascii="Arial"/>
                <w:sz w:val="18"/>
                <w:szCs w:val="18"/>
              </w:rPr>
              <w:t>（2）保修期巡检、台账管理、24 小时报修响应及问题闭环机制（3 分）：机制健全、响应及处置流程清晰，得 3 分；机制基本完整，得 2 分；机制简略，得 1 分。</w:t>
            </w:r>
          </w:p>
          <w:p w14:paraId="23D6010A">
            <w:pPr>
              <w:pStyle w:val="9"/>
              <w:widowControl w:val="0"/>
              <w:spacing w:before="1" w:line="240" w:lineRule="auto"/>
              <w:ind w:right="5"/>
              <w:jc w:val="both"/>
              <w:rPr>
                <w:rFonts w:hint="eastAsia" w:ascii="Arial"/>
                <w:sz w:val="18"/>
                <w:szCs w:val="18"/>
              </w:rPr>
            </w:pPr>
            <w:r>
              <w:rPr>
                <w:rFonts w:hint="eastAsia" w:ascii="Arial"/>
                <w:sz w:val="18"/>
                <w:szCs w:val="18"/>
              </w:rPr>
              <w:t>（3）保修期满工作总结及移交方案（2 分）：方案完整规范，得 2 分；方案简单，得 1 分；未提供不得分。</w:t>
            </w:r>
          </w:p>
          <w:p w14:paraId="406BB517">
            <w:pPr>
              <w:pStyle w:val="9"/>
              <w:widowControl w:val="0"/>
              <w:spacing w:before="1" w:line="240" w:lineRule="auto"/>
              <w:ind w:right="5"/>
              <w:jc w:val="both"/>
              <w:rPr>
                <w:rFonts w:ascii="Arial"/>
                <w:sz w:val="18"/>
                <w:szCs w:val="18"/>
              </w:rPr>
            </w:pPr>
            <w:r>
              <w:rPr>
                <w:rFonts w:hint="eastAsia" w:ascii="Arial"/>
                <w:sz w:val="18"/>
                <w:szCs w:val="18"/>
              </w:rPr>
              <w:t xml:space="preserve"> </w:t>
            </w:r>
            <w:r>
              <w:rPr>
                <w:b/>
                <w:bCs/>
                <w:spacing w:val="10"/>
                <w:sz w:val="18"/>
                <w:szCs w:val="18"/>
              </w:rPr>
              <w:t>评审依据：</w:t>
            </w:r>
            <w:r>
              <w:rPr>
                <w:rFonts w:hint="eastAsia" w:ascii="宋体" w:hAnsi="宋体" w:eastAsia="宋体" w:cs="宋体"/>
                <w:b/>
                <w:bCs/>
                <w:spacing w:val="10"/>
                <w:sz w:val="18"/>
                <w:szCs w:val="18"/>
              </w:rPr>
              <w:t>提供完整技术方案并加盖</w:t>
            </w:r>
            <w:r>
              <w:rPr>
                <w:rFonts w:hint="eastAsia" w:cs="宋体"/>
                <w:b/>
                <w:bCs/>
                <w:spacing w:val="10"/>
                <w:sz w:val="18"/>
                <w:szCs w:val="18"/>
                <w:lang w:eastAsia="zh-CN"/>
              </w:rPr>
              <w:t>响应</w:t>
            </w:r>
            <w:r>
              <w:rPr>
                <w:rFonts w:hint="eastAsia" w:ascii="宋体" w:hAnsi="宋体" w:eastAsia="宋体" w:cs="宋体"/>
                <w:b/>
                <w:bCs/>
                <w:spacing w:val="10"/>
                <w:sz w:val="18"/>
                <w:szCs w:val="18"/>
              </w:rPr>
              <w:t>供应商公章，未提供本大项不得分。</w:t>
            </w:r>
          </w:p>
        </w:tc>
      </w:tr>
      <w:tr w14:paraId="28D40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7" w:hRule="atLeast"/>
        </w:trPr>
        <w:tc>
          <w:tcPr>
            <w:tcW w:w="1449" w:type="dxa"/>
          </w:tcPr>
          <w:p w14:paraId="5FE2FFD9">
            <w:pPr>
              <w:widowControl w:val="0"/>
              <w:spacing w:line="472" w:lineRule="auto"/>
              <w:jc w:val="both"/>
              <w:rPr>
                <w:rFonts w:hint="default" w:ascii="Arial"/>
                <w:sz w:val="18"/>
                <w:szCs w:val="18"/>
                <w:lang w:val="en-US" w:eastAsia="zh-CN"/>
              </w:rPr>
            </w:pPr>
            <w:r>
              <w:rPr>
                <w:rFonts w:hint="eastAsia" w:ascii="Arial"/>
                <w:sz w:val="18"/>
                <w:szCs w:val="18"/>
                <w:lang w:eastAsia="zh-CN"/>
              </w:rPr>
              <w:t>商务分（</w:t>
            </w:r>
            <w:r>
              <w:rPr>
                <w:rFonts w:hint="eastAsia"/>
                <w:sz w:val="18"/>
                <w:szCs w:val="18"/>
                <w:lang w:val="en-US" w:eastAsia="zh-CN"/>
              </w:rPr>
              <w:t>10</w:t>
            </w:r>
            <w:r>
              <w:rPr>
                <w:rFonts w:hint="eastAsia" w:ascii="Arial"/>
                <w:sz w:val="18"/>
                <w:szCs w:val="18"/>
                <w:lang w:val="en-US" w:eastAsia="zh-CN"/>
              </w:rPr>
              <w:t>分）</w:t>
            </w:r>
          </w:p>
        </w:tc>
        <w:tc>
          <w:tcPr>
            <w:tcW w:w="7073" w:type="dxa"/>
          </w:tcPr>
          <w:p w14:paraId="08A147E6">
            <w:pPr>
              <w:widowControl w:val="0"/>
              <w:spacing w:line="240" w:lineRule="auto"/>
              <w:jc w:val="both"/>
              <w:rPr>
                <w:rFonts w:hint="eastAsia" w:ascii="Arial"/>
                <w:b/>
                <w:bCs/>
                <w:sz w:val="18"/>
                <w:szCs w:val="18"/>
              </w:rPr>
            </w:pPr>
            <w:r>
              <w:rPr>
                <w:rFonts w:hint="eastAsia" w:ascii="Arial"/>
                <w:b/>
                <w:bCs/>
                <w:sz w:val="18"/>
                <w:szCs w:val="18"/>
              </w:rPr>
              <w:t>（</w:t>
            </w:r>
            <w:r>
              <w:rPr>
                <w:rFonts w:hint="eastAsia" w:ascii="Arial"/>
                <w:b/>
                <w:bCs/>
                <w:sz w:val="18"/>
                <w:szCs w:val="18"/>
                <w:lang w:eastAsia="zh-CN"/>
              </w:rPr>
              <w:t>一</w:t>
            </w:r>
            <w:r>
              <w:rPr>
                <w:rFonts w:hint="eastAsia" w:ascii="Arial"/>
                <w:b/>
                <w:bCs/>
                <w:sz w:val="18"/>
                <w:szCs w:val="18"/>
              </w:rPr>
              <w:t>）企业资</w:t>
            </w:r>
            <w:r>
              <w:rPr>
                <w:rFonts w:hint="eastAsia" w:ascii="Arial"/>
                <w:b/>
                <w:bCs/>
                <w:sz w:val="18"/>
                <w:szCs w:val="18"/>
                <w:lang w:eastAsia="zh-CN"/>
              </w:rPr>
              <w:t>质</w:t>
            </w:r>
            <w:r>
              <w:rPr>
                <w:rFonts w:hint="eastAsia" w:ascii="Arial"/>
                <w:b/>
                <w:bCs/>
                <w:sz w:val="18"/>
                <w:szCs w:val="18"/>
              </w:rPr>
              <w:t>（</w:t>
            </w:r>
            <w:r>
              <w:rPr>
                <w:rFonts w:hint="eastAsia" w:ascii="Arial"/>
                <w:b/>
                <w:bCs/>
                <w:sz w:val="18"/>
                <w:szCs w:val="18"/>
                <w:lang w:val="en-US" w:eastAsia="zh-CN"/>
              </w:rPr>
              <w:t>2</w:t>
            </w:r>
            <w:r>
              <w:rPr>
                <w:rFonts w:hint="eastAsia" w:ascii="Arial"/>
                <w:b/>
                <w:bCs/>
                <w:sz w:val="18"/>
                <w:szCs w:val="18"/>
              </w:rPr>
              <w:t xml:space="preserve">分） </w:t>
            </w:r>
          </w:p>
          <w:p w14:paraId="6F27675E">
            <w:pPr>
              <w:widowControl w:val="0"/>
              <w:spacing w:line="240" w:lineRule="auto"/>
              <w:jc w:val="both"/>
              <w:rPr>
                <w:rFonts w:hint="eastAsia" w:ascii="Arial"/>
                <w:sz w:val="18"/>
                <w:szCs w:val="18"/>
              </w:rPr>
            </w:pPr>
            <w:r>
              <w:rPr>
                <w:rFonts w:hint="eastAsia" w:ascii="Arial"/>
                <w:sz w:val="18"/>
                <w:szCs w:val="18"/>
              </w:rPr>
              <w:t>具备房屋建筑工程监理乙级及以上资质，得 2 分；资质不符合要求不得分。</w:t>
            </w:r>
          </w:p>
          <w:p w14:paraId="34048480">
            <w:pPr>
              <w:widowControl w:val="0"/>
              <w:spacing w:line="240" w:lineRule="auto"/>
              <w:jc w:val="both"/>
              <w:rPr>
                <w:rFonts w:hint="eastAsia"/>
                <w:b/>
                <w:bCs/>
                <w:spacing w:val="10"/>
                <w:sz w:val="18"/>
                <w:szCs w:val="18"/>
              </w:rPr>
            </w:pPr>
            <w:r>
              <w:rPr>
                <w:b/>
                <w:bCs/>
                <w:spacing w:val="10"/>
                <w:sz w:val="18"/>
                <w:szCs w:val="18"/>
              </w:rPr>
              <w:t>评审依据：</w:t>
            </w:r>
            <w:r>
              <w:rPr>
                <w:rFonts w:hint="eastAsia" w:ascii="宋体" w:hAnsi="宋体" w:eastAsia="宋体" w:cs="宋体"/>
                <w:b/>
                <w:bCs/>
                <w:spacing w:val="10"/>
                <w:sz w:val="18"/>
                <w:szCs w:val="18"/>
              </w:rPr>
              <w:t>提供</w:t>
            </w:r>
            <w:r>
              <w:rPr>
                <w:rFonts w:hint="eastAsia" w:ascii="宋体" w:hAnsi="宋体" w:eastAsia="宋体" w:cs="宋体"/>
                <w:b/>
                <w:bCs/>
                <w:spacing w:val="10"/>
                <w:sz w:val="18"/>
                <w:szCs w:val="18"/>
                <w:lang w:eastAsia="zh-CN"/>
              </w:rPr>
              <w:t>企业资质证书并加盖</w:t>
            </w:r>
            <w:r>
              <w:rPr>
                <w:rFonts w:hint="eastAsia"/>
                <w:b/>
                <w:bCs/>
                <w:spacing w:val="10"/>
                <w:sz w:val="18"/>
                <w:szCs w:val="18"/>
              </w:rPr>
              <w:t>应</w:t>
            </w:r>
            <w:r>
              <w:rPr>
                <w:rFonts w:hint="eastAsia" w:eastAsia="宋体"/>
                <w:b/>
                <w:bCs/>
                <w:spacing w:val="10"/>
                <w:sz w:val="18"/>
                <w:szCs w:val="18"/>
                <w:lang w:eastAsia="zh-CN"/>
              </w:rPr>
              <w:t>响应</w:t>
            </w:r>
            <w:r>
              <w:rPr>
                <w:rFonts w:hint="eastAsia"/>
                <w:b/>
                <w:bCs/>
                <w:spacing w:val="10"/>
                <w:sz w:val="18"/>
                <w:szCs w:val="18"/>
              </w:rPr>
              <w:t>供应商</w:t>
            </w:r>
            <w:r>
              <w:rPr>
                <w:rFonts w:hint="eastAsia" w:ascii="宋体" w:hAnsi="宋体" w:eastAsia="宋体" w:cs="宋体"/>
                <w:b/>
                <w:bCs/>
                <w:spacing w:val="10"/>
                <w:sz w:val="18"/>
                <w:szCs w:val="18"/>
                <w:lang w:eastAsia="zh-CN"/>
              </w:rPr>
              <w:t>公章</w:t>
            </w:r>
            <w:r>
              <w:rPr>
                <w:rFonts w:hint="eastAsia"/>
                <w:b/>
                <w:bCs/>
                <w:spacing w:val="10"/>
                <w:sz w:val="18"/>
                <w:szCs w:val="18"/>
              </w:rPr>
              <w:t>，未提供或提供无效者不得分。</w:t>
            </w:r>
          </w:p>
          <w:p w14:paraId="06ED71E3">
            <w:pPr>
              <w:widowControl w:val="0"/>
              <w:spacing w:line="240" w:lineRule="auto"/>
              <w:jc w:val="both"/>
              <w:rPr>
                <w:rFonts w:hint="default" w:ascii="Arial"/>
                <w:b/>
                <w:bCs/>
                <w:sz w:val="18"/>
                <w:szCs w:val="18"/>
                <w:lang w:val="en-US" w:eastAsia="zh-CN"/>
              </w:rPr>
            </w:pPr>
            <w:r>
              <w:rPr>
                <w:rFonts w:hint="eastAsia" w:ascii="Arial"/>
                <w:b/>
                <w:bCs/>
                <w:sz w:val="18"/>
                <w:szCs w:val="18"/>
                <w:lang w:eastAsia="zh-CN"/>
              </w:rPr>
              <w:t>（二）企业业绩（</w:t>
            </w:r>
            <w:r>
              <w:rPr>
                <w:rFonts w:hint="eastAsia" w:ascii="Arial"/>
                <w:b/>
                <w:bCs/>
                <w:sz w:val="18"/>
                <w:szCs w:val="18"/>
                <w:lang w:val="en-US" w:eastAsia="zh-CN"/>
              </w:rPr>
              <w:t>3分）</w:t>
            </w:r>
          </w:p>
          <w:p w14:paraId="7CDBC1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8" w:lineRule="atLeast"/>
              <w:ind w:left="0" w:right="0"/>
              <w:jc w:val="left"/>
              <w:rPr>
                <w:color w:val="1F2329"/>
                <w:sz w:val="19"/>
                <w:szCs w:val="19"/>
              </w:rPr>
            </w:pPr>
            <w:r>
              <w:rPr>
                <w:rFonts w:ascii="宋体" w:hAnsi="宋体" w:eastAsia="宋体" w:cs="宋体"/>
                <w:color w:val="1F2329"/>
                <w:kern w:val="0"/>
                <w:sz w:val="19"/>
                <w:szCs w:val="19"/>
                <w:lang w:val="en-US" w:eastAsia="zh-CN" w:bidi="ar"/>
              </w:rPr>
              <w:t>近 5 年内承接过</w:t>
            </w:r>
            <w:r>
              <w:rPr>
                <w:rStyle w:val="8"/>
                <w:rFonts w:ascii="宋体" w:hAnsi="宋体" w:eastAsia="宋体" w:cs="宋体"/>
                <w:color w:val="1F2329"/>
                <w:kern w:val="0"/>
                <w:sz w:val="19"/>
                <w:szCs w:val="19"/>
                <w:lang w:val="en-US" w:eastAsia="zh-CN" w:bidi="ar"/>
              </w:rPr>
              <w:t>房屋建筑公共建筑监理项目</w:t>
            </w:r>
            <w:r>
              <w:rPr>
                <w:rFonts w:ascii="宋体" w:hAnsi="宋体" w:eastAsia="宋体" w:cs="宋体"/>
                <w:color w:val="1F2329"/>
                <w:kern w:val="0"/>
                <w:sz w:val="19"/>
                <w:szCs w:val="19"/>
                <w:lang w:val="en-US" w:eastAsia="zh-CN" w:bidi="ar"/>
              </w:rPr>
              <w:t xml:space="preserve">，单项目建筑面积≥8000㎡或合同额≥2000 万元，每提供 1 个合规有效业绩得 1 分，最多得 3 分。 </w:t>
            </w:r>
            <w:r>
              <w:rPr>
                <w:rStyle w:val="8"/>
                <w:rFonts w:ascii="宋体" w:hAnsi="宋体" w:eastAsia="宋体" w:cs="宋体"/>
                <w:color w:val="1F2329"/>
                <w:kern w:val="0"/>
                <w:sz w:val="19"/>
                <w:szCs w:val="19"/>
                <w:lang w:val="en-US" w:eastAsia="zh-CN" w:bidi="ar"/>
              </w:rPr>
              <w:t>统一业绩认定标准（强制执行，杜绝自由裁量）</w:t>
            </w:r>
          </w:p>
          <w:p w14:paraId="78070652">
            <w:pPr>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line="288" w:lineRule="atLeast"/>
              <w:ind w:left="0" w:right="0" w:hanging="360"/>
              <w:jc w:val="left"/>
              <w:rPr>
                <w:color w:val="1F2329"/>
                <w:sz w:val="19"/>
                <w:szCs w:val="19"/>
              </w:rPr>
            </w:pPr>
            <w:r>
              <w:rPr>
                <w:color w:val="1F2329"/>
                <w:sz w:val="19"/>
                <w:szCs w:val="19"/>
              </w:rPr>
              <w:t>业绩时间：以</w:t>
            </w:r>
            <w:r>
              <w:rPr>
                <w:rStyle w:val="8"/>
                <w:color w:val="1F2329"/>
                <w:sz w:val="19"/>
                <w:szCs w:val="19"/>
              </w:rPr>
              <w:t>项目竣工验收日期</w:t>
            </w:r>
            <w:r>
              <w:rPr>
                <w:color w:val="1F2329"/>
                <w:sz w:val="19"/>
                <w:szCs w:val="19"/>
              </w:rPr>
              <w:t>为准；</w:t>
            </w:r>
          </w:p>
          <w:p w14:paraId="14A26F18">
            <w:pPr>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line="288" w:lineRule="atLeast"/>
              <w:ind w:left="0" w:right="0" w:hanging="360"/>
              <w:jc w:val="left"/>
              <w:rPr>
                <w:color w:val="1F2329"/>
                <w:sz w:val="19"/>
                <w:szCs w:val="19"/>
              </w:rPr>
            </w:pPr>
            <w:r>
              <w:rPr>
                <w:color w:val="1F2329"/>
                <w:sz w:val="19"/>
                <w:szCs w:val="19"/>
              </w:rPr>
              <w:t>有效佐证材料：①项目监理合同彩印件；②四方竣工验收记录表 / 竣工验收备案表（二者其一）；③可证明项目建筑面积 / 合同额的佐证材料（图纸、结算资料、验收报告等）；</w:t>
            </w:r>
          </w:p>
          <w:p w14:paraId="1DDCB768">
            <w:pPr>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line="288" w:lineRule="atLeast"/>
              <w:ind w:left="0" w:right="0" w:hanging="360"/>
              <w:jc w:val="left"/>
              <w:rPr>
                <w:color w:val="1F2329"/>
                <w:sz w:val="19"/>
                <w:szCs w:val="19"/>
              </w:rPr>
            </w:pPr>
            <w:r>
              <w:rPr>
                <w:color w:val="1F2329"/>
                <w:sz w:val="19"/>
                <w:szCs w:val="19"/>
              </w:rPr>
              <w:t>材料不全、业绩时间不符、规模不达标，均不计分。</w:t>
            </w:r>
          </w:p>
          <w:p w14:paraId="6D6D2468">
            <w:pPr>
              <w:widowControl w:val="0"/>
              <w:spacing w:line="240" w:lineRule="auto"/>
              <w:jc w:val="both"/>
              <w:rPr>
                <w:rFonts w:hint="eastAsia"/>
                <w:b/>
                <w:bCs/>
                <w:spacing w:val="10"/>
                <w:sz w:val="18"/>
                <w:szCs w:val="18"/>
              </w:rPr>
            </w:pPr>
            <w:r>
              <w:rPr>
                <w:rFonts w:hint="eastAsia"/>
                <w:b/>
                <w:bCs/>
                <w:spacing w:val="10"/>
                <w:sz w:val="18"/>
                <w:szCs w:val="18"/>
              </w:rPr>
              <w:t>评审依据：提供</w:t>
            </w:r>
            <w:r>
              <w:rPr>
                <w:rFonts w:hint="eastAsia"/>
                <w:b/>
                <w:bCs/>
                <w:spacing w:val="10"/>
                <w:sz w:val="18"/>
                <w:szCs w:val="18"/>
                <w:lang w:eastAsia="zh-CN"/>
              </w:rPr>
              <w:t>彩印</w:t>
            </w:r>
            <w:r>
              <w:rPr>
                <w:rFonts w:hint="eastAsia"/>
                <w:b/>
                <w:bCs/>
                <w:spacing w:val="10"/>
                <w:sz w:val="18"/>
                <w:szCs w:val="18"/>
              </w:rPr>
              <w:t>合同</w:t>
            </w:r>
            <w:r>
              <w:rPr>
                <w:rFonts w:hint="eastAsia"/>
                <w:b/>
                <w:bCs/>
                <w:spacing w:val="10"/>
                <w:sz w:val="18"/>
                <w:szCs w:val="18"/>
                <w:lang w:eastAsia="zh-CN"/>
              </w:rPr>
              <w:t>原件</w:t>
            </w:r>
            <w:r>
              <w:rPr>
                <w:rFonts w:hint="eastAsia"/>
                <w:b/>
                <w:bCs/>
                <w:spacing w:val="10"/>
                <w:sz w:val="18"/>
                <w:szCs w:val="18"/>
              </w:rPr>
              <w:t>、验收证明佐证，否则不计分。</w:t>
            </w:r>
          </w:p>
          <w:p w14:paraId="3B5BFA2E">
            <w:pPr>
              <w:widowControl w:val="0"/>
              <w:spacing w:line="240" w:lineRule="auto"/>
              <w:jc w:val="both"/>
              <w:rPr>
                <w:rFonts w:hint="eastAsia" w:ascii="Arial"/>
                <w:b/>
                <w:bCs/>
                <w:sz w:val="18"/>
                <w:szCs w:val="18"/>
              </w:rPr>
            </w:pPr>
            <w:r>
              <w:rPr>
                <w:rFonts w:hint="eastAsia" w:ascii="Arial"/>
                <w:b/>
                <w:bCs/>
                <w:sz w:val="18"/>
                <w:szCs w:val="18"/>
              </w:rPr>
              <w:t>（</w:t>
            </w:r>
            <w:r>
              <w:rPr>
                <w:rFonts w:hint="eastAsia" w:ascii="Arial"/>
                <w:b/>
                <w:bCs/>
                <w:sz w:val="18"/>
                <w:szCs w:val="18"/>
                <w:lang w:eastAsia="zh-CN"/>
              </w:rPr>
              <w:t>三</w:t>
            </w:r>
            <w:r>
              <w:rPr>
                <w:rFonts w:hint="eastAsia" w:ascii="Arial"/>
                <w:b/>
                <w:bCs/>
                <w:sz w:val="18"/>
                <w:szCs w:val="18"/>
              </w:rPr>
              <w:t>）履约保障及服务承诺（</w:t>
            </w:r>
            <w:r>
              <w:rPr>
                <w:rFonts w:hint="eastAsia" w:ascii="Arial"/>
                <w:b/>
                <w:bCs/>
                <w:sz w:val="18"/>
                <w:szCs w:val="18"/>
                <w:lang w:val="en-US" w:eastAsia="zh-CN"/>
              </w:rPr>
              <w:t>5</w:t>
            </w:r>
            <w:r>
              <w:rPr>
                <w:rFonts w:hint="eastAsia" w:ascii="Arial"/>
                <w:b/>
                <w:bCs/>
                <w:sz w:val="18"/>
                <w:szCs w:val="18"/>
              </w:rPr>
              <w:t xml:space="preserve">分） </w:t>
            </w:r>
          </w:p>
          <w:p w14:paraId="5365281A">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line="288" w:lineRule="atLeast"/>
              <w:ind w:left="0" w:right="0" w:hanging="360"/>
              <w:jc w:val="left"/>
              <w:rPr>
                <w:color w:val="1F2329"/>
                <w:sz w:val="19"/>
                <w:szCs w:val="19"/>
              </w:rPr>
            </w:pPr>
            <w:r>
              <w:rPr>
                <w:rStyle w:val="8"/>
                <w:color w:val="1F2329"/>
                <w:sz w:val="19"/>
                <w:szCs w:val="19"/>
              </w:rPr>
              <w:t>人员履约承诺（1 分）</w:t>
            </w:r>
            <w:r>
              <w:rPr>
                <w:color w:val="1F2329"/>
                <w:sz w:val="19"/>
                <w:szCs w:val="19"/>
              </w:rPr>
              <w:t>：提供人员全程驻场、人脸考勤、不擅自更换岗位人员的书面承诺，得 1 分；未承诺不得分。</w:t>
            </w:r>
          </w:p>
          <w:p w14:paraId="629FCC0D">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line="288" w:lineRule="atLeast"/>
              <w:ind w:left="0" w:right="0" w:hanging="360"/>
              <w:jc w:val="left"/>
              <w:rPr>
                <w:color w:val="1F2329"/>
                <w:sz w:val="19"/>
                <w:szCs w:val="19"/>
              </w:rPr>
            </w:pPr>
            <w:r>
              <w:rPr>
                <w:rStyle w:val="8"/>
                <w:color w:val="1F2329"/>
                <w:sz w:val="19"/>
                <w:szCs w:val="19"/>
              </w:rPr>
              <w:t>质量安全隐患整改及应急处置预案（2 分）</w:t>
            </w:r>
            <w:r>
              <w:rPr>
                <w:color w:val="1F2329"/>
                <w:sz w:val="19"/>
                <w:szCs w:val="19"/>
              </w:rPr>
              <w:t>：预案完整、包含校园施工突发事件处置流程，得 2 分；预案内容简单，得 1 分；未提供不得分。</w:t>
            </w:r>
          </w:p>
          <w:p w14:paraId="2F9CEBF1">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line="288" w:lineRule="atLeast"/>
              <w:ind w:left="0" w:right="0" w:hanging="360"/>
              <w:jc w:val="left"/>
              <w:rPr>
                <w:color w:val="1F2329"/>
                <w:sz w:val="19"/>
                <w:szCs w:val="19"/>
              </w:rPr>
            </w:pPr>
            <w:r>
              <w:rPr>
                <w:rStyle w:val="8"/>
                <w:color w:val="1F2329"/>
                <w:sz w:val="19"/>
                <w:szCs w:val="19"/>
              </w:rPr>
              <w:t>验收及移交服务承诺（2 分）</w:t>
            </w:r>
            <w:r>
              <w:rPr>
                <w:color w:val="1F2329"/>
                <w:sz w:val="19"/>
                <w:szCs w:val="19"/>
              </w:rPr>
              <w:t>：承诺全程配合竣工验收、消防验收、档案备案、结算审计等工作，方案完整，得 2 分；方案简单，得 1 分；未提供不得分。</w:t>
            </w:r>
          </w:p>
          <w:p w14:paraId="10211467">
            <w:pPr>
              <w:widowControl w:val="0"/>
              <w:spacing w:line="472" w:lineRule="auto"/>
              <w:jc w:val="both"/>
              <w:rPr>
                <w:rFonts w:hint="eastAsia" w:ascii="Arial"/>
                <w:sz w:val="18"/>
                <w:szCs w:val="18"/>
              </w:rPr>
            </w:pPr>
            <w:r>
              <w:rPr>
                <w:b/>
                <w:bCs/>
                <w:spacing w:val="10"/>
                <w:sz w:val="18"/>
                <w:szCs w:val="18"/>
              </w:rPr>
              <w:t>评审依据：</w:t>
            </w:r>
            <w:r>
              <w:rPr>
                <w:rFonts w:hint="eastAsia" w:ascii="宋体" w:hAnsi="宋体" w:eastAsia="宋体" w:cs="宋体"/>
                <w:b/>
                <w:bCs/>
                <w:spacing w:val="10"/>
                <w:sz w:val="18"/>
                <w:szCs w:val="18"/>
              </w:rPr>
              <w:t>提供</w:t>
            </w:r>
            <w:r>
              <w:rPr>
                <w:rFonts w:hint="eastAsia" w:ascii="宋体" w:hAnsi="宋体" w:eastAsia="宋体" w:cs="宋体"/>
                <w:b/>
                <w:bCs/>
                <w:spacing w:val="10"/>
                <w:sz w:val="18"/>
                <w:szCs w:val="18"/>
                <w:lang w:eastAsia="zh-CN"/>
              </w:rPr>
              <w:t>履约保障及服务承诺</w:t>
            </w:r>
            <w:r>
              <w:rPr>
                <w:rFonts w:hint="eastAsia" w:cs="宋体"/>
                <w:b/>
                <w:bCs/>
                <w:spacing w:val="10"/>
                <w:sz w:val="18"/>
                <w:szCs w:val="18"/>
                <w:lang w:eastAsia="zh-CN"/>
              </w:rPr>
              <w:t>并加盖</w:t>
            </w:r>
            <w:r>
              <w:rPr>
                <w:rFonts w:hint="eastAsia" w:eastAsia="宋体"/>
                <w:b/>
                <w:bCs/>
                <w:spacing w:val="10"/>
                <w:sz w:val="18"/>
                <w:szCs w:val="18"/>
                <w:lang w:eastAsia="zh-CN"/>
              </w:rPr>
              <w:t>响应</w:t>
            </w:r>
            <w:r>
              <w:rPr>
                <w:rFonts w:hint="eastAsia"/>
                <w:b/>
                <w:bCs/>
                <w:spacing w:val="10"/>
                <w:sz w:val="18"/>
                <w:szCs w:val="18"/>
              </w:rPr>
              <w:t>供应商</w:t>
            </w:r>
            <w:r>
              <w:rPr>
                <w:rFonts w:hint="eastAsia" w:ascii="宋体" w:hAnsi="宋体" w:eastAsia="宋体" w:cs="宋体"/>
                <w:b/>
                <w:bCs/>
                <w:spacing w:val="10"/>
                <w:sz w:val="18"/>
                <w:szCs w:val="18"/>
                <w:lang w:eastAsia="zh-CN"/>
              </w:rPr>
              <w:t>公章</w:t>
            </w:r>
            <w:r>
              <w:rPr>
                <w:rFonts w:hint="eastAsia" w:ascii="宋体" w:hAnsi="宋体" w:eastAsia="宋体" w:cs="宋体"/>
                <w:b/>
                <w:bCs/>
                <w:spacing w:val="10"/>
                <w:sz w:val="18"/>
                <w:szCs w:val="18"/>
              </w:rPr>
              <w:t>。</w:t>
            </w:r>
          </w:p>
        </w:tc>
      </w:tr>
    </w:tbl>
    <w:p w14:paraId="6DA3AA7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349266"/>
    <w:multiLevelType w:val="singleLevel"/>
    <w:tmpl w:val="8C349266"/>
    <w:lvl w:ilvl="0" w:tentative="0">
      <w:start w:val="2"/>
      <w:numFmt w:val="decimal"/>
      <w:suff w:val="space"/>
      <w:lvlText w:val="%1."/>
      <w:lvlJc w:val="left"/>
    </w:lvl>
  </w:abstractNum>
  <w:abstractNum w:abstractNumId="1">
    <w:nsid w:val="9E9C776D"/>
    <w:multiLevelType w:val="multilevel"/>
    <w:tmpl w:val="9E9C776D"/>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2">
    <w:nsid w:val="D2985AED"/>
    <w:multiLevelType w:val="multilevel"/>
    <w:tmpl w:val="D2985AED"/>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AC77AF"/>
    <w:rsid w:val="01625C1E"/>
    <w:rsid w:val="02717AA2"/>
    <w:rsid w:val="040B6D08"/>
    <w:rsid w:val="196E63C8"/>
    <w:rsid w:val="1AAC77AF"/>
    <w:rsid w:val="1FAA78AD"/>
    <w:rsid w:val="21423D0B"/>
    <w:rsid w:val="21765162"/>
    <w:rsid w:val="26E53821"/>
    <w:rsid w:val="28A219F3"/>
    <w:rsid w:val="29B834D9"/>
    <w:rsid w:val="2F0F463D"/>
    <w:rsid w:val="380224E8"/>
    <w:rsid w:val="403E14A2"/>
    <w:rsid w:val="41492110"/>
    <w:rsid w:val="43334D67"/>
    <w:rsid w:val="44250560"/>
    <w:rsid w:val="44E81CBA"/>
    <w:rsid w:val="474A3097"/>
    <w:rsid w:val="488C5052"/>
    <w:rsid w:val="4D5266C3"/>
    <w:rsid w:val="4E8D3A8D"/>
    <w:rsid w:val="4E975330"/>
    <w:rsid w:val="4F6D66D3"/>
    <w:rsid w:val="50817E96"/>
    <w:rsid w:val="52040914"/>
    <w:rsid w:val="5E5B2DF6"/>
    <w:rsid w:val="603447D6"/>
    <w:rsid w:val="623F3A42"/>
    <w:rsid w:val="66DC6450"/>
    <w:rsid w:val="68262364"/>
    <w:rsid w:val="6D597A48"/>
    <w:rsid w:val="78F66093"/>
    <w:rsid w:val="79464C25"/>
    <w:rsid w:val="79A803FE"/>
    <w:rsid w:val="7A9E45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Strong"/>
    <w:basedOn w:val="7"/>
    <w:qFormat/>
    <w:uiPriority w:val="0"/>
    <w:rPr>
      <w:b/>
    </w:rPr>
  </w:style>
  <w:style w:type="paragraph" w:customStyle="1" w:styleId="9">
    <w:name w:val="Table Text"/>
    <w:basedOn w:val="1"/>
    <w:semiHidden/>
    <w:qFormat/>
    <w:uiPriority w:val="0"/>
    <w:rPr>
      <w:rFonts w:ascii="宋体" w:hAnsi="宋体" w:eastAsia="宋体" w:cs="宋体"/>
      <w:sz w:val="24"/>
      <w:szCs w:val="24"/>
      <w:lang w:val="en-US" w:eastAsia="en-US"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3118</Words>
  <Characters>3201</Characters>
  <Lines>0</Lines>
  <Paragraphs>0</Paragraphs>
  <TotalTime>1</TotalTime>
  <ScaleCrop>false</ScaleCrop>
  <LinksUpToDate>false</LinksUpToDate>
  <CharactersWithSpaces>3223</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2026-06-03T06:58:00Z</dcterms:created>
  <dc:creator>四只Y</dc:creator>
  <cp:lastModifiedBy>Administrator</cp:lastModifiedBy>
  <cp:lastPrinted>2026-06-16T07:12:45Z</cp:lastPrinted>
  <dcterms:modified xsi:type="dcterms:W3CDTF">2026-06-16T07:14:15Z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657208A32C65487FA60B81060B2D49EA_13</vt:lpwstr>
  </property>
  <property fmtid="{D5CDD505-2E9C-101B-9397-08002B2CF9AE}" pid="4" name="KSOTemplateDocerSaveRecord">
    <vt:lpwstr>eyJoZGlkIjoiNTdmNjgzM2I0NzM3NmFjMjY1YzkyZDZhNjdmMjc5MWMiLCJ1c2VySWQiOiI4ODA1NjU0MDMifQ==</vt:lpwstr>
  </property>
</Properties>
</file>