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48EBB8">
      <w:pPr>
        <w:pageBreakBefore w:val="0"/>
        <w:widowControl w:val="0"/>
        <w:wordWrap/>
        <w:overflowPunct/>
        <w:topLinePunct w:val="0"/>
        <w:bidi w:val="0"/>
        <w:spacing w:before="63" w:line="224" w:lineRule="auto"/>
        <w:jc w:val="center"/>
        <w:outlineLvl w:val="0"/>
        <w:rPr>
          <w:rFonts w:ascii="宋体" w:hAnsi="宋体" w:eastAsia="宋体" w:cs="宋体"/>
          <w:color w:val="auto"/>
          <w:sz w:val="31"/>
          <w:szCs w:val="31"/>
          <w:highlight w:val="none"/>
          <w:lang w:eastAsia="zh-CN"/>
        </w:rPr>
      </w:pPr>
      <w:bookmarkStart w:id="0" w:name="_Toc29564"/>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End w:id="0"/>
    </w:p>
    <w:p w14:paraId="6A245CDF">
      <w:pPr>
        <w:pageBreakBefore w:val="0"/>
        <w:widowControl w:val="0"/>
        <w:wordWrap/>
        <w:overflowPunct/>
        <w:topLinePunct w:val="0"/>
        <w:bidi w:val="0"/>
        <w:spacing w:line="309" w:lineRule="auto"/>
        <w:jc w:val="center"/>
        <w:rPr>
          <w:color w:val="auto"/>
          <w:highlight w:val="none"/>
          <w:lang w:eastAsia="zh-CN"/>
        </w:rPr>
      </w:pPr>
    </w:p>
    <w:p w14:paraId="0F6F0227">
      <w:pPr>
        <w:pageBreakBefore w:val="0"/>
        <w:widowControl w:val="0"/>
        <w:wordWrap/>
        <w:overflowPunct/>
        <w:topLinePunct w:val="0"/>
        <w:bidi w:val="0"/>
        <w:spacing w:before="78" w:line="220" w:lineRule="auto"/>
        <w:outlineLvl w:val="9"/>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108B2999">
      <w:pPr>
        <w:pageBreakBefore w:val="0"/>
        <w:widowControl w:val="0"/>
        <w:numPr>
          <w:ilvl w:val="0"/>
          <w:numId w:val="0"/>
        </w:numPr>
        <w:wordWrap/>
        <w:overflowPunct/>
        <w:topLinePunct w:val="0"/>
        <w:bidi w:val="0"/>
        <w:spacing w:before="78" w:after="315" w:afterLines="100" w:afterAutospacing="0" w:line="220" w:lineRule="auto"/>
        <w:jc w:val="both"/>
        <w:outlineLvl w:val="1"/>
        <w:rPr>
          <w:color w:val="auto"/>
        </w:rPr>
      </w:pPr>
      <w:bookmarkStart w:id="1" w:name="_Toc6636"/>
      <w:bookmarkStart w:id="2" w:name="_Toc16054"/>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采购需求一览表</w:t>
      </w:r>
      <w:bookmarkEnd w:id="1"/>
      <w:bookmarkEnd w:id="2"/>
    </w:p>
    <w:tbl>
      <w:tblPr>
        <w:tblStyle w:val="5"/>
        <w:tblpPr w:leftFromText="180" w:rightFromText="180" w:vertAnchor="text" w:tblpX="1" w:tblpY="1"/>
        <w:tblOverlap w:val="never"/>
        <w:tblW w:w="92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68"/>
      </w:tblGrid>
      <w:tr w14:paraId="4B89F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835" w:type="dxa"/>
            <w:tcBorders>
              <w:top w:val="single" w:color="auto" w:sz="4" w:space="0"/>
              <w:left w:val="single" w:color="auto" w:sz="4" w:space="0"/>
              <w:tl2br w:val="single" w:color="auto" w:sz="4" w:space="0"/>
            </w:tcBorders>
          </w:tcPr>
          <w:p w14:paraId="2C2ED428">
            <w:pPr>
              <w:spacing w:beforeAutospacing="0" w:line="360" w:lineRule="auto"/>
              <w:ind w:firstLine="465"/>
              <w:rPr>
                <w:rFonts w:asciiTheme="minorEastAsia" w:hAnsiTheme="minorEastAsia" w:eastAsiaTheme="minorEastAsia" w:cstheme="minorEastAsia"/>
                <w:color w:val="auto"/>
                <w:sz w:val="24"/>
                <w:highlight w:val="none"/>
              </w:rPr>
            </w:pPr>
          </w:p>
          <w:p w14:paraId="3FA05506">
            <w:pPr>
              <w:spacing w:line="360" w:lineRule="auto"/>
              <w:ind w:firstLine="1300" w:firstLineChars="542"/>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采购名称</w:t>
            </w:r>
          </w:p>
          <w:p w14:paraId="6B791F90">
            <w:pPr>
              <w:spacing w:line="360" w:lineRule="auto"/>
              <w:ind w:firstLine="465"/>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内容</w:t>
            </w:r>
          </w:p>
        </w:tc>
        <w:tc>
          <w:tcPr>
            <w:tcW w:w="6368" w:type="dxa"/>
            <w:tcBorders>
              <w:top w:val="single" w:color="auto" w:sz="4" w:space="0"/>
              <w:right w:val="single" w:color="auto" w:sz="4" w:space="0"/>
            </w:tcBorders>
            <w:vAlign w:val="center"/>
          </w:tcPr>
          <w:p w14:paraId="4B7A234C">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详见“第一章谈判邀请”</w:t>
            </w:r>
          </w:p>
        </w:tc>
      </w:tr>
      <w:tr w14:paraId="61474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15AAECBA">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数量</w:t>
            </w:r>
          </w:p>
        </w:tc>
        <w:tc>
          <w:tcPr>
            <w:tcW w:w="6368" w:type="dxa"/>
            <w:tcBorders>
              <w:right w:val="single" w:color="auto" w:sz="4" w:space="0"/>
            </w:tcBorders>
            <w:vAlign w:val="center"/>
          </w:tcPr>
          <w:p w14:paraId="75CDD2B0">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详见第五章中的“采购要求”</w:t>
            </w:r>
          </w:p>
        </w:tc>
      </w:tr>
      <w:tr w14:paraId="30A21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05EE40D9">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交货期（工期）</w:t>
            </w:r>
          </w:p>
        </w:tc>
        <w:tc>
          <w:tcPr>
            <w:tcW w:w="6368" w:type="dxa"/>
            <w:tcBorders>
              <w:right w:val="single" w:color="auto" w:sz="4" w:space="0"/>
            </w:tcBorders>
            <w:vAlign w:val="center"/>
          </w:tcPr>
          <w:p w14:paraId="2EF7DE62">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7709F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75279752">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交货地点</w:t>
            </w:r>
          </w:p>
        </w:tc>
        <w:tc>
          <w:tcPr>
            <w:tcW w:w="6368" w:type="dxa"/>
            <w:tcBorders>
              <w:right w:val="single" w:color="auto" w:sz="4" w:space="0"/>
            </w:tcBorders>
            <w:vAlign w:val="center"/>
          </w:tcPr>
          <w:p w14:paraId="6DE624FF">
            <w:pPr>
              <w:spacing w:line="440" w:lineRule="exact"/>
              <w:ind w:left="480" w:hanging="480" w:hangingChars="200"/>
              <w:jc w:val="center"/>
              <w:rPr>
                <w:rFonts w:asciiTheme="minorEastAsia" w:hAnsiTheme="minorEastAsia" w:eastAsiaTheme="minorEastAsia" w:cstheme="minorEastAsia"/>
                <w:bCs/>
                <w:color w:val="auto"/>
                <w:sz w:val="24"/>
                <w:szCs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31A6A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82" w:hRule="atLeast"/>
        </w:trPr>
        <w:tc>
          <w:tcPr>
            <w:tcW w:w="2835" w:type="dxa"/>
            <w:tcBorders>
              <w:left w:val="single" w:color="auto" w:sz="4" w:space="0"/>
              <w:bottom w:val="single" w:color="auto" w:sz="4" w:space="0"/>
            </w:tcBorders>
            <w:vAlign w:val="center"/>
          </w:tcPr>
          <w:p w14:paraId="4A735178">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备注</w:t>
            </w:r>
          </w:p>
        </w:tc>
        <w:tc>
          <w:tcPr>
            <w:tcW w:w="6368" w:type="dxa"/>
            <w:tcBorders>
              <w:bottom w:val="single" w:color="auto" w:sz="4" w:space="0"/>
              <w:right w:val="single" w:color="auto" w:sz="4" w:space="0"/>
            </w:tcBorders>
            <w:vAlign w:val="center"/>
          </w:tcPr>
          <w:p w14:paraId="640B8FF2">
            <w:pPr>
              <w:spacing w:line="440" w:lineRule="exact"/>
              <w:ind w:left="216" w:leftChars="103" w:firstLine="420" w:firstLineChars="175"/>
              <w:jc w:val="center"/>
              <w:rPr>
                <w:rFonts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color w:val="auto"/>
                <w:sz w:val="24"/>
                <w:highlight w:val="none"/>
              </w:rPr>
              <w:t>谈判报价包含谈判文件所约定的范围内全部内容价格体现的“交钥匙工程”。谈判报价包括但不限于施工机械、劳务、材料(包括供应商所供材料的运输、到现场的卸力及采购保管费用等)、利润、保险、税金等各项直接、间接费用等完成本项目所需的一切相关费用。</w:t>
            </w:r>
          </w:p>
        </w:tc>
      </w:tr>
    </w:tbl>
    <w:p w14:paraId="583DC4A3">
      <w:pPr>
        <w:rPr>
          <w:rFonts w:hint="eastAsia"/>
          <w:b/>
          <w:bCs/>
          <w:color w:val="auto"/>
          <w:sz w:val="28"/>
          <w:szCs w:val="28"/>
          <w:lang w:val="en-US" w:eastAsia="zh-CN"/>
        </w:rPr>
      </w:pPr>
      <w:r>
        <w:rPr>
          <w:rFonts w:hint="eastAsia"/>
          <w:b/>
          <w:bCs/>
          <w:color w:val="auto"/>
          <w:sz w:val="28"/>
          <w:szCs w:val="28"/>
          <w:lang w:val="en-US" w:eastAsia="zh-CN"/>
        </w:rPr>
        <w:br w:type="page"/>
      </w:r>
    </w:p>
    <w:p w14:paraId="6E0AF9B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b/>
          <w:bCs/>
          <w:color w:val="auto"/>
          <w:sz w:val="28"/>
          <w:szCs w:val="28"/>
          <w:lang w:val="en-US" w:eastAsia="zh-CN"/>
        </w:rPr>
      </w:pPr>
      <w:r>
        <w:rPr>
          <w:rFonts w:hint="eastAsia"/>
          <w:b/>
          <w:bCs/>
          <w:color w:val="auto"/>
          <w:sz w:val="28"/>
          <w:szCs w:val="28"/>
          <w:lang w:val="en-US" w:eastAsia="zh-CN"/>
        </w:rPr>
        <w:t>二、采购要求</w:t>
      </w:r>
    </w:p>
    <w:p w14:paraId="16EE8B4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both"/>
        <w:textAlignment w:val="baseline"/>
        <w:rPr>
          <w:rFonts w:hint="default"/>
          <w:b/>
          <w:bCs/>
          <w:color w:val="auto"/>
          <w:sz w:val="28"/>
          <w:szCs w:val="28"/>
          <w:lang w:val="en-US" w:eastAsia="zh-CN"/>
        </w:rPr>
      </w:pPr>
      <w:r>
        <w:rPr>
          <w:rFonts w:hint="eastAsia"/>
          <w:b/>
          <w:bCs/>
          <w:color w:val="auto"/>
          <w:sz w:val="28"/>
          <w:szCs w:val="28"/>
          <w:lang w:val="en-US" w:eastAsia="zh-CN"/>
        </w:rPr>
        <w:t>（一）技术要求</w:t>
      </w:r>
    </w:p>
    <w:p w14:paraId="3841140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default" w:ascii="宋体" w:hAnsi="宋体" w:eastAsia="宋体" w:cs="宋体"/>
          <w:b/>
          <w:bCs/>
          <w:color w:val="auto"/>
          <w:kern w:val="0"/>
          <w:sz w:val="28"/>
          <w:szCs w:val="28"/>
          <w:lang w:val="en-US" w:eastAsia="zh-CN" w:bidi="ar"/>
        </w:rPr>
      </w:pPr>
      <w:r>
        <w:rPr>
          <w:rFonts w:hint="eastAsia" w:ascii="宋体" w:hAnsi="宋体" w:eastAsia="宋体" w:cs="宋体"/>
          <w:b/>
          <w:bCs/>
          <w:color w:val="auto"/>
          <w:kern w:val="0"/>
          <w:sz w:val="28"/>
          <w:szCs w:val="28"/>
          <w:lang w:val="en-US" w:eastAsia="zh-CN" w:bidi="ar"/>
        </w:rPr>
        <w:t>1、总体目标</w:t>
      </w:r>
    </w:p>
    <w:p w14:paraId="70AB5EA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60" w:firstLineChars="200"/>
        <w:jc w:val="left"/>
        <w:textAlignment w:val="baseline"/>
        <w:rPr>
          <w:rFonts w:hint="eastAsia" w:ascii="宋体" w:hAnsi="宋体" w:eastAsia="宋体" w:cs="宋体"/>
          <w:color w:val="auto"/>
          <w:kern w:val="0"/>
          <w:sz w:val="28"/>
          <w:szCs w:val="28"/>
          <w:lang w:val="en-US" w:eastAsia="zh-CN" w:bidi="ar"/>
        </w:rPr>
      </w:pPr>
      <w:r>
        <w:rPr>
          <w:rFonts w:hint="eastAsia" w:ascii="宋体" w:hAnsi="宋体" w:eastAsia="宋体" w:cs="宋体"/>
          <w:color w:val="auto"/>
          <w:kern w:val="0"/>
          <w:sz w:val="28"/>
          <w:szCs w:val="28"/>
          <w:lang w:val="en-US" w:eastAsia="zh-CN" w:bidi="ar"/>
        </w:rPr>
        <w:t>通过系统推进农业用水计量设施建设，综合运用物联网、大数据分析和云计算等现代信息技术与先进管理理念，构建完善的农业取用水计量监测体系与智慧水管理体系，为灌溉用水户水权确权登记、用水权回购、水权市场化交易、交易模式创新、强化交易监管及信息化支撑等重点工作筑牢坚实基础。积极推动用水权市场化交易，加快构建归属清晰、权责明确、流转顺畅、监管有效的用水权制度体系，不断优化水资源配置与提升水资源集约节约水平。着力打造与区域经济社会发展相适配的灌区长效管理机制，为灌区现代化建设夯实根基，助力吉安市农业高质量发展，促进水资源可持续利用与经济社会发展协同共进。</w:t>
      </w:r>
    </w:p>
    <w:p w14:paraId="5AC6BFCC">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color w:val="auto"/>
          <w:kern w:val="0"/>
          <w:sz w:val="28"/>
          <w:szCs w:val="28"/>
          <w:lang w:val="en-US" w:eastAsia="zh-CN" w:bidi="ar"/>
        </w:rPr>
      </w:pPr>
      <w:r>
        <w:rPr>
          <w:rFonts w:hint="eastAsia" w:ascii="宋体" w:hAnsi="宋体" w:eastAsia="宋体" w:cs="宋体"/>
          <w:b/>
          <w:bCs/>
          <w:color w:val="auto"/>
          <w:kern w:val="0"/>
          <w:sz w:val="28"/>
          <w:szCs w:val="28"/>
          <w:lang w:val="en-US" w:eastAsia="zh-CN" w:bidi="ar"/>
        </w:rPr>
        <w:t>2、布设原则</w:t>
      </w:r>
    </w:p>
    <w:p w14:paraId="711278A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60" w:firstLineChars="200"/>
        <w:jc w:val="left"/>
        <w:textAlignment w:val="baseline"/>
        <w:rPr>
          <w:color w:val="auto"/>
        </w:rPr>
      </w:pPr>
      <w:r>
        <w:rPr>
          <w:rFonts w:hint="eastAsia" w:ascii="宋体" w:hAnsi="宋体" w:eastAsia="宋体" w:cs="宋体"/>
          <w:color w:val="auto"/>
          <w:kern w:val="0"/>
          <w:sz w:val="28"/>
          <w:szCs w:val="28"/>
          <w:lang w:val="en-US" w:eastAsia="zh-CN" w:bidi="ar"/>
        </w:rPr>
        <w:t xml:space="preserve">量水测站布点应根据其规模、渠系布局以及管理任务布设量水站网，量水站网布局应满足水量调配、用水管理要求，量水测站宜设在渠系建筑物和水流交接处。应遵循下列原则： </w:t>
      </w:r>
    </w:p>
    <w:p w14:paraId="31E7D10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color w:val="auto"/>
        </w:rPr>
      </w:pPr>
      <w:r>
        <w:rPr>
          <w:rFonts w:hint="eastAsia" w:ascii="宋体" w:hAnsi="宋体" w:eastAsia="宋体" w:cs="宋体"/>
          <w:color w:val="auto"/>
          <w:kern w:val="0"/>
          <w:sz w:val="28"/>
          <w:szCs w:val="28"/>
          <w:lang w:val="en-US" w:eastAsia="zh-CN" w:bidi="ar"/>
        </w:rPr>
        <w:t>（</w:t>
      </w:r>
      <w:r>
        <w:rPr>
          <w:rFonts w:hint="default" w:ascii="Times New Roman" w:hAnsi="Times New Roman" w:eastAsia="宋体" w:cs="Times New Roman"/>
          <w:color w:val="auto"/>
          <w:kern w:val="0"/>
          <w:sz w:val="28"/>
          <w:szCs w:val="28"/>
          <w:lang w:val="en-US" w:eastAsia="zh-CN" w:bidi="ar"/>
        </w:rPr>
        <w:t>1</w:t>
      </w:r>
      <w:r>
        <w:rPr>
          <w:rFonts w:hint="eastAsia" w:ascii="宋体" w:hAnsi="宋体" w:eastAsia="宋体" w:cs="宋体"/>
          <w:color w:val="auto"/>
          <w:kern w:val="0"/>
          <w:sz w:val="28"/>
          <w:szCs w:val="28"/>
          <w:lang w:val="en-US" w:eastAsia="zh-CN" w:bidi="ar"/>
        </w:rPr>
        <w:t xml:space="preserve">）基础条件：渠道顺直、渠基稳固、断面规则，便于布置测流断面和安装量水设备，交通便利、通讯顺畅，便于信息传输。 </w:t>
      </w:r>
    </w:p>
    <w:p w14:paraId="62B3575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color w:val="auto"/>
        </w:rPr>
      </w:pPr>
      <w:r>
        <w:rPr>
          <w:rFonts w:hint="eastAsia" w:ascii="宋体" w:hAnsi="宋体" w:eastAsia="宋体" w:cs="宋体"/>
          <w:color w:val="auto"/>
          <w:kern w:val="0"/>
          <w:sz w:val="28"/>
          <w:szCs w:val="28"/>
          <w:lang w:val="en-US" w:eastAsia="zh-CN" w:bidi="ar"/>
        </w:rPr>
        <w:t>（</w:t>
      </w:r>
      <w:r>
        <w:rPr>
          <w:rFonts w:hint="default" w:ascii="Times New Roman" w:hAnsi="Times New Roman" w:eastAsia="宋体" w:cs="Times New Roman"/>
          <w:color w:val="auto"/>
          <w:kern w:val="0"/>
          <w:sz w:val="28"/>
          <w:szCs w:val="28"/>
          <w:lang w:val="en-US" w:eastAsia="zh-CN" w:bidi="ar"/>
        </w:rPr>
        <w:t>2</w:t>
      </w:r>
      <w:r>
        <w:rPr>
          <w:rFonts w:hint="eastAsia" w:ascii="宋体" w:hAnsi="宋体" w:eastAsia="宋体" w:cs="宋体"/>
          <w:color w:val="auto"/>
          <w:kern w:val="0"/>
          <w:sz w:val="28"/>
          <w:szCs w:val="28"/>
          <w:lang w:val="en-US" w:eastAsia="zh-CN" w:bidi="ar"/>
        </w:rPr>
        <w:t xml:space="preserve">）布设方式：充分利用现有建筑物量水，并视实际需求与可能逐步 布设量水设备。 </w:t>
      </w:r>
    </w:p>
    <w:p w14:paraId="0E30E61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color w:val="auto"/>
        </w:rPr>
      </w:pPr>
      <w:r>
        <w:rPr>
          <w:rFonts w:hint="eastAsia" w:ascii="宋体" w:hAnsi="宋体" w:eastAsia="宋体" w:cs="宋体"/>
          <w:color w:val="auto"/>
          <w:kern w:val="0"/>
          <w:sz w:val="28"/>
          <w:szCs w:val="28"/>
          <w:lang w:val="en-US" w:eastAsia="zh-CN" w:bidi="ar"/>
        </w:rPr>
        <w:t>（</w:t>
      </w:r>
      <w:r>
        <w:rPr>
          <w:rFonts w:hint="default" w:ascii="Times New Roman" w:hAnsi="Times New Roman" w:eastAsia="宋体" w:cs="Times New Roman"/>
          <w:color w:val="auto"/>
          <w:kern w:val="0"/>
          <w:sz w:val="28"/>
          <w:szCs w:val="28"/>
          <w:lang w:val="en-US" w:eastAsia="zh-CN" w:bidi="ar"/>
        </w:rPr>
        <w:t>3</w:t>
      </w:r>
      <w:r>
        <w:rPr>
          <w:rFonts w:hint="eastAsia" w:ascii="宋体" w:hAnsi="宋体" w:eastAsia="宋体" w:cs="宋体"/>
          <w:color w:val="auto"/>
          <w:kern w:val="0"/>
          <w:sz w:val="28"/>
          <w:szCs w:val="28"/>
          <w:lang w:val="en-US" w:eastAsia="zh-CN" w:bidi="ar"/>
        </w:rPr>
        <w:t>）布设顺序：量水测站布点顺序及控制范围应遵循“由上到</w:t>
      </w:r>
      <w:r>
        <w:rPr>
          <w:rFonts w:ascii="Calibri" w:hAnsi="Calibri" w:eastAsia="宋体" w:cs="Calibri"/>
          <w:color w:val="auto"/>
          <w:kern w:val="0"/>
          <w:sz w:val="18"/>
          <w:szCs w:val="18"/>
          <w:lang w:val="en-US" w:eastAsia="zh-CN" w:bidi="ar"/>
        </w:rPr>
        <w:t>45</w:t>
      </w:r>
      <w:r>
        <w:rPr>
          <w:rFonts w:hint="eastAsia" w:ascii="宋体" w:hAnsi="宋体" w:eastAsia="宋体" w:cs="宋体"/>
          <w:color w:val="auto"/>
          <w:kern w:val="0"/>
          <w:sz w:val="28"/>
          <w:szCs w:val="28"/>
          <w:lang w:val="en-US" w:eastAsia="zh-CN" w:bidi="ar"/>
        </w:rPr>
        <w:t xml:space="preserve">下”和“先 粗后细”，逐级延伸，优先保证用水单元分界点的计量和满足特定目的及需求。 </w:t>
      </w:r>
    </w:p>
    <w:p w14:paraId="121CAB6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color w:val="auto"/>
        </w:rPr>
      </w:pPr>
      <w:r>
        <w:rPr>
          <w:rFonts w:hint="eastAsia" w:ascii="宋体" w:hAnsi="宋体" w:eastAsia="宋体" w:cs="宋体"/>
          <w:color w:val="auto"/>
          <w:kern w:val="0"/>
          <w:sz w:val="28"/>
          <w:szCs w:val="28"/>
          <w:lang w:val="en-US" w:eastAsia="zh-CN" w:bidi="ar"/>
        </w:rPr>
        <w:t>（</w:t>
      </w:r>
      <w:r>
        <w:rPr>
          <w:rFonts w:hint="default" w:ascii="Times New Roman" w:hAnsi="Times New Roman" w:eastAsia="宋体" w:cs="Times New Roman"/>
          <w:color w:val="auto"/>
          <w:kern w:val="0"/>
          <w:sz w:val="28"/>
          <w:szCs w:val="28"/>
          <w:lang w:val="en-US" w:eastAsia="zh-CN" w:bidi="ar"/>
        </w:rPr>
        <w:t>4</w:t>
      </w:r>
      <w:r>
        <w:rPr>
          <w:rFonts w:hint="eastAsia" w:ascii="宋体" w:hAnsi="宋体" w:eastAsia="宋体" w:cs="宋体"/>
          <w:color w:val="auto"/>
          <w:kern w:val="0"/>
          <w:sz w:val="28"/>
          <w:szCs w:val="28"/>
          <w:lang w:val="en-US" w:eastAsia="zh-CN" w:bidi="ar"/>
        </w:rPr>
        <w:t xml:space="preserve">）单元划分：条件有限时，适当放大用水单元，单元内部分摊，条件成熟，可缩小计量单元。 </w:t>
      </w:r>
    </w:p>
    <w:p w14:paraId="5B951B2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kern w:val="0"/>
          <w:sz w:val="28"/>
          <w:szCs w:val="28"/>
          <w:lang w:val="en-US" w:eastAsia="zh-CN" w:bidi="ar"/>
        </w:rPr>
      </w:pPr>
      <w:r>
        <w:rPr>
          <w:rFonts w:hint="eastAsia" w:ascii="宋体" w:hAnsi="宋体" w:eastAsia="宋体" w:cs="宋体"/>
          <w:color w:val="auto"/>
          <w:kern w:val="0"/>
          <w:sz w:val="28"/>
          <w:szCs w:val="28"/>
          <w:lang w:val="en-US" w:eastAsia="zh-CN" w:bidi="ar"/>
        </w:rPr>
        <w:t>（</w:t>
      </w:r>
      <w:r>
        <w:rPr>
          <w:rFonts w:hint="default" w:ascii="Times New Roman" w:hAnsi="Times New Roman" w:eastAsia="宋体" w:cs="Times New Roman"/>
          <w:color w:val="auto"/>
          <w:kern w:val="0"/>
          <w:sz w:val="28"/>
          <w:szCs w:val="28"/>
          <w:lang w:val="en-US" w:eastAsia="zh-CN" w:bidi="ar"/>
        </w:rPr>
        <w:t>5</w:t>
      </w:r>
      <w:r>
        <w:rPr>
          <w:rFonts w:hint="eastAsia" w:ascii="宋体" w:hAnsi="宋体" w:eastAsia="宋体" w:cs="宋体"/>
          <w:color w:val="auto"/>
          <w:kern w:val="0"/>
          <w:sz w:val="28"/>
          <w:szCs w:val="28"/>
          <w:lang w:val="en-US" w:eastAsia="zh-CN" w:bidi="ar"/>
        </w:rPr>
        <w:t xml:space="preserve">）精度要求：一般仪表量水误差不超过 </w:t>
      </w:r>
      <w:r>
        <w:rPr>
          <w:rFonts w:hint="default" w:ascii="Times New Roman" w:hAnsi="Times New Roman" w:eastAsia="宋体" w:cs="Times New Roman"/>
          <w:color w:val="auto"/>
          <w:kern w:val="0"/>
          <w:sz w:val="28"/>
          <w:szCs w:val="28"/>
          <w:lang w:val="en-US" w:eastAsia="zh-CN" w:bidi="ar"/>
        </w:rPr>
        <w:t xml:space="preserve">5% </w:t>
      </w:r>
      <w:r>
        <w:rPr>
          <w:rFonts w:hint="eastAsia" w:ascii="宋体" w:hAnsi="宋体" w:eastAsia="宋体" w:cs="宋体"/>
          <w:color w:val="auto"/>
          <w:kern w:val="0"/>
          <w:sz w:val="28"/>
          <w:szCs w:val="28"/>
          <w:lang w:val="en-US" w:eastAsia="zh-CN" w:bidi="ar"/>
        </w:rPr>
        <w:t xml:space="preserve">，特设量水设备不超过 </w:t>
      </w:r>
      <w:r>
        <w:rPr>
          <w:rFonts w:hint="default" w:ascii="Times New Roman" w:hAnsi="Times New Roman" w:eastAsia="宋体" w:cs="Times New Roman"/>
          <w:color w:val="auto"/>
          <w:kern w:val="0"/>
          <w:sz w:val="28"/>
          <w:szCs w:val="28"/>
          <w:lang w:val="en-US" w:eastAsia="zh-CN" w:bidi="ar"/>
        </w:rPr>
        <w:t xml:space="preserve">8% </w:t>
      </w:r>
      <w:r>
        <w:rPr>
          <w:rFonts w:hint="eastAsia" w:ascii="宋体" w:hAnsi="宋体" w:eastAsia="宋体" w:cs="宋体"/>
          <w:color w:val="auto"/>
          <w:kern w:val="0"/>
          <w:sz w:val="28"/>
          <w:szCs w:val="28"/>
          <w:lang w:val="en-US" w:eastAsia="zh-CN" w:bidi="ar"/>
        </w:rPr>
        <w:t xml:space="preserve">，水工建筑物量水不超过 </w:t>
      </w:r>
      <w:r>
        <w:rPr>
          <w:rFonts w:hint="default" w:ascii="Times New Roman" w:hAnsi="Times New Roman" w:eastAsia="宋体" w:cs="Times New Roman"/>
          <w:color w:val="auto"/>
          <w:kern w:val="0"/>
          <w:sz w:val="28"/>
          <w:szCs w:val="28"/>
          <w:lang w:val="en-US" w:eastAsia="zh-CN" w:bidi="ar"/>
        </w:rPr>
        <w:t>10%</w:t>
      </w:r>
      <w:r>
        <w:rPr>
          <w:rFonts w:hint="eastAsia" w:ascii="宋体" w:hAnsi="宋体" w:eastAsia="宋体" w:cs="宋体"/>
          <w:color w:val="auto"/>
          <w:kern w:val="0"/>
          <w:sz w:val="28"/>
          <w:szCs w:val="28"/>
          <w:lang w:val="en-US" w:eastAsia="zh-CN" w:bidi="ar"/>
        </w:rPr>
        <w:t>。</w:t>
      </w:r>
    </w:p>
    <w:p w14:paraId="6A255ED9">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leftChars="0"/>
        <w:jc w:val="left"/>
        <w:textAlignment w:val="baseline"/>
        <w:rPr>
          <w:color w:val="auto"/>
        </w:rPr>
      </w:pPr>
      <w:r>
        <w:rPr>
          <w:rFonts w:hint="eastAsia" w:ascii="宋体" w:hAnsi="宋体" w:eastAsia="宋体" w:cs="宋体"/>
          <w:b/>
          <w:bCs/>
          <w:color w:val="auto"/>
          <w:kern w:val="0"/>
          <w:sz w:val="28"/>
          <w:szCs w:val="28"/>
          <w:lang w:val="en-US" w:eastAsia="zh-CN" w:bidi="ar"/>
        </w:rPr>
        <w:t>3、计量设施建设</w:t>
      </w:r>
    </w:p>
    <w:p w14:paraId="4CF8AF29">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leftChars="0" w:firstLine="560" w:firstLineChars="200"/>
        <w:jc w:val="left"/>
        <w:textAlignment w:val="baseline"/>
        <w:rPr>
          <w:color w:val="auto"/>
        </w:rPr>
      </w:pPr>
      <w:r>
        <w:rPr>
          <w:rFonts w:hint="eastAsia" w:ascii="宋体" w:hAnsi="宋体" w:eastAsia="宋体" w:cs="宋体"/>
          <w:color w:val="auto"/>
          <w:kern w:val="0"/>
          <w:sz w:val="28"/>
          <w:szCs w:val="28"/>
          <w:lang w:val="en-US" w:eastAsia="zh-CN" w:bidi="ar"/>
        </w:rPr>
        <w:t xml:space="preserve">监测系统 </w:t>
      </w:r>
    </w:p>
    <w:p w14:paraId="13308E1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60" w:firstLineChars="200"/>
        <w:jc w:val="left"/>
        <w:textAlignment w:val="baseline"/>
        <w:rPr>
          <w:color w:val="auto"/>
        </w:rPr>
      </w:pPr>
      <w:r>
        <w:rPr>
          <w:rFonts w:hint="eastAsia" w:ascii="宋体" w:hAnsi="宋体" w:eastAsia="宋体" w:cs="宋体"/>
          <w:color w:val="auto"/>
          <w:kern w:val="0"/>
          <w:sz w:val="28"/>
          <w:szCs w:val="28"/>
          <w:lang w:val="en-US" w:eastAsia="zh-CN" w:bidi="ar"/>
        </w:rPr>
        <w:t>系统构成：管道监测系统由前端感知设备与后端监控设备组成。前端按管径选型部署管段式</w:t>
      </w:r>
      <w:r>
        <w:rPr>
          <w:rFonts w:hint="default" w:ascii="Times New Roman" w:hAnsi="Times New Roman" w:eastAsia="宋体" w:cs="Times New Roman"/>
          <w:color w:val="auto"/>
          <w:kern w:val="0"/>
          <w:sz w:val="28"/>
          <w:szCs w:val="28"/>
          <w:lang w:val="en-US" w:eastAsia="zh-CN" w:bidi="ar"/>
        </w:rPr>
        <w:t>/</w:t>
      </w:r>
      <w:r>
        <w:rPr>
          <w:rFonts w:hint="eastAsia" w:ascii="宋体" w:hAnsi="宋体" w:eastAsia="宋体" w:cs="宋体"/>
          <w:color w:val="auto"/>
          <w:kern w:val="0"/>
          <w:sz w:val="28"/>
          <w:szCs w:val="28"/>
          <w:lang w:val="en-US" w:eastAsia="zh-CN" w:bidi="ar"/>
        </w:rPr>
        <w:t xml:space="preserve">插入式电磁流量计，将所有监测点流量 </w:t>
      </w:r>
    </w:p>
    <w:p w14:paraId="096E64D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color w:val="auto"/>
        </w:rPr>
      </w:pPr>
      <w:r>
        <w:rPr>
          <w:rFonts w:hint="eastAsia" w:ascii="宋体" w:hAnsi="宋体" w:eastAsia="宋体" w:cs="宋体"/>
          <w:color w:val="auto"/>
          <w:kern w:val="0"/>
          <w:sz w:val="28"/>
          <w:szCs w:val="28"/>
          <w:lang w:val="en-US" w:eastAsia="zh-CN" w:bidi="ar"/>
        </w:rPr>
        <w:t xml:space="preserve">计整合连接，形成一体式管网监测网络，实现各节点流量数据同步采集；后端配置数据接收与处理设备，保障数据传输稳定。 </w:t>
      </w:r>
    </w:p>
    <w:p w14:paraId="49F5E59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kern w:val="0"/>
          <w:sz w:val="28"/>
          <w:szCs w:val="28"/>
          <w:lang w:val="en-US" w:eastAsia="zh-CN" w:bidi="ar"/>
        </w:rPr>
      </w:pPr>
      <w:r>
        <w:rPr>
          <w:rFonts w:hint="eastAsia" w:ascii="宋体" w:hAnsi="宋体" w:eastAsia="宋体" w:cs="宋体"/>
          <w:color w:val="auto"/>
          <w:kern w:val="0"/>
          <w:sz w:val="28"/>
          <w:szCs w:val="28"/>
          <w:lang w:val="en-US" w:eastAsia="zh-CN" w:bidi="ar"/>
        </w:rPr>
        <w:t xml:space="preserve">供电保障：考虑灌区野外部署场景，前端监测设备统一采用太阳能供电模式，适配无稳定市电供应的环境，确保设备 </w:t>
      </w:r>
      <w:r>
        <w:rPr>
          <w:rFonts w:hint="default" w:ascii="Times New Roman" w:hAnsi="Times New Roman" w:eastAsia="宋体" w:cs="Times New Roman"/>
          <w:color w:val="auto"/>
          <w:kern w:val="0"/>
          <w:sz w:val="28"/>
          <w:szCs w:val="28"/>
          <w:lang w:val="en-US" w:eastAsia="zh-CN" w:bidi="ar"/>
        </w:rPr>
        <w:t xml:space="preserve">24 </w:t>
      </w:r>
      <w:r>
        <w:rPr>
          <w:rFonts w:hint="eastAsia" w:ascii="宋体" w:hAnsi="宋体" w:eastAsia="宋体" w:cs="宋体"/>
          <w:color w:val="auto"/>
          <w:kern w:val="0"/>
          <w:sz w:val="28"/>
          <w:szCs w:val="28"/>
          <w:lang w:val="en-US" w:eastAsia="zh-CN" w:bidi="ar"/>
        </w:rPr>
        <w:t xml:space="preserve">小时连续运行。 </w:t>
      </w:r>
    </w:p>
    <w:p w14:paraId="014E7C8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60" w:firstLineChars="200"/>
        <w:jc w:val="left"/>
        <w:textAlignment w:val="baseline"/>
        <w:rPr>
          <w:color w:val="auto"/>
        </w:rPr>
      </w:pPr>
      <w:r>
        <w:rPr>
          <w:rFonts w:hint="eastAsia" w:ascii="宋体" w:hAnsi="宋体" w:eastAsia="宋体" w:cs="宋体"/>
          <w:color w:val="auto"/>
          <w:kern w:val="0"/>
          <w:sz w:val="28"/>
          <w:szCs w:val="28"/>
          <w:lang w:val="en-US" w:eastAsia="zh-CN" w:bidi="ar"/>
        </w:rPr>
        <w:t xml:space="preserve">数据传输与应用：前端流量计采集的实时流量数据，通过无线通信方式传输至灌区信息化管理平台。工程管理人员可通过信息化平台或移动 </w:t>
      </w:r>
      <w:r>
        <w:rPr>
          <w:rFonts w:hint="default" w:ascii="Times New Roman" w:hAnsi="Times New Roman" w:eastAsia="宋体" w:cs="Times New Roman"/>
          <w:color w:val="auto"/>
          <w:kern w:val="0"/>
          <w:sz w:val="28"/>
          <w:szCs w:val="28"/>
          <w:lang w:val="en-US" w:eastAsia="zh-CN" w:bidi="ar"/>
        </w:rPr>
        <w:t>APP</w:t>
      </w:r>
      <w:r>
        <w:rPr>
          <w:rFonts w:hint="eastAsia" w:ascii="宋体" w:hAnsi="宋体" w:eastAsia="宋体" w:cs="宋体"/>
          <w:color w:val="auto"/>
          <w:kern w:val="0"/>
          <w:sz w:val="28"/>
          <w:szCs w:val="28"/>
          <w:lang w:val="en-US" w:eastAsia="zh-CN" w:bidi="ar"/>
        </w:rPr>
        <w:t xml:space="preserve">，实时查看各监测点流量数据、设备运行状态，实现量测水数据的远程掌控与集中管理，为灌溉用水调度、水资源核算提供精准数据支撑。 </w:t>
      </w:r>
    </w:p>
    <w:p w14:paraId="4B61BD5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60" w:firstLineChars="200"/>
        <w:jc w:val="left"/>
        <w:textAlignment w:val="baseline"/>
        <w:rPr>
          <w:color w:val="auto"/>
        </w:rPr>
      </w:pPr>
      <w:r>
        <w:rPr>
          <w:rFonts w:hint="eastAsia" w:ascii="宋体" w:hAnsi="宋体" w:eastAsia="宋体" w:cs="宋体"/>
          <w:color w:val="auto"/>
          <w:kern w:val="0"/>
          <w:sz w:val="28"/>
          <w:szCs w:val="28"/>
          <w:lang w:val="en-US" w:eastAsia="zh-CN" w:bidi="ar"/>
        </w:rPr>
        <w:t xml:space="preserve">拟在井冈山市拿山灌区新建 </w:t>
      </w:r>
      <w:r>
        <w:rPr>
          <w:rFonts w:hint="default" w:ascii="Times New Roman" w:hAnsi="Times New Roman" w:eastAsia="宋体" w:cs="Times New Roman"/>
          <w:color w:val="auto"/>
          <w:kern w:val="0"/>
          <w:sz w:val="28"/>
          <w:szCs w:val="28"/>
          <w:lang w:val="en-US" w:eastAsia="zh-CN" w:bidi="ar"/>
        </w:rPr>
        <w:t xml:space="preserve">22 </w:t>
      </w:r>
      <w:r>
        <w:rPr>
          <w:rFonts w:hint="eastAsia" w:ascii="宋体" w:hAnsi="宋体" w:eastAsia="宋体" w:cs="宋体"/>
          <w:color w:val="auto"/>
          <w:kern w:val="0"/>
          <w:sz w:val="28"/>
          <w:szCs w:val="28"/>
          <w:lang w:val="en-US" w:eastAsia="zh-CN" w:bidi="ar"/>
        </w:rPr>
        <w:t xml:space="preserve">处明渠量测水设施，选用雷达明渠流量计，并建设流量监测系统，将监测数据传输至信息化平台，工程管理人员可通过信息化平台或移动 </w:t>
      </w:r>
      <w:r>
        <w:rPr>
          <w:rFonts w:hint="default" w:ascii="Times New Roman" w:hAnsi="Times New Roman" w:eastAsia="宋体" w:cs="Times New Roman"/>
          <w:color w:val="auto"/>
          <w:kern w:val="0"/>
          <w:sz w:val="28"/>
          <w:szCs w:val="28"/>
          <w:lang w:val="en-US" w:eastAsia="zh-CN" w:bidi="ar"/>
        </w:rPr>
        <w:t xml:space="preserve">APP </w:t>
      </w:r>
      <w:r>
        <w:rPr>
          <w:rFonts w:hint="eastAsia" w:ascii="宋体" w:hAnsi="宋体" w:eastAsia="宋体" w:cs="宋体"/>
          <w:color w:val="auto"/>
          <w:kern w:val="0"/>
          <w:sz w:val="28"/>
          <w:szCs w:val="28"/>
          <w:lang w:val="en-US" w:eastAsia="zh-CN" w:bidi="ar"/>
        </w:rPr>
        <w:t>实时查看监测信息。</w:t>
      </w:r>
    </w:p>
    <w:p w14:paraId="023D16F7">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leftChars="0"/>
        <w:jc w:val="left"/>
        <w:textAlignment w:val="baseline"/>
        <w:rPr>
          <w:rFonts w:hint="eastAsia" w:ascii="宋体" w:hAnsi="宋体" w:eastAsia="宋体" w:cs="宋体"/>
          <w:b/>
          <w:bCs/>
          <w:color w:val="auto"/>
          <w:kern w:val="0"/>
          <w:sz w:val="28"/>
          <w:szCs w:val="28"/>
          <w:lang w:val="en-US" w:eastAsia="zh-CN" w:bidi="ar"/>
        </w:rPr>
      </w:pPr>
      <w:r>
        <w:rPr>
          <w:rFonts w:hint="eastAsia" w:ascii="宋体" w:hAnsi="宋体" w:eastAsia="宋体" w:cs="宋体"/>
          <w:b/>
          <w:bCs/>
          <w:color w:val="auto"/>
          <w:kern w:val="0"/>
          <w:sz w:val="28"/>
          <w:szCs w:val="28"/>
          <w:lang w:val="en-US" w:eastAsia="zh-CN" w:bidi="ar"/>
        </w:rPr>
        <w:t>4、计量设施建设情况表</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832"/>
        <w:gridCol w:w="583"/>
        <w:gridCol w:w="1095"/>
        <w:gridCol w:w="833"/>
        <w:gridCol w:w="833"/>
        <w:gridCol w:w="1836"/>
        <w:gridCol w:w="1061"/>
        <w:gridCol w:w="606"/>
      </w:tblGrid>
      <w:tr w14:paraId="294C6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restart"/>
            <w:vAlign w:val="center"/>
          </w:tcPr>
          <w:p w14:paraId="5E189A5D">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bCs/>
                <w:color w:val="auto"/>
                <w:kern w:val="0"/>
                <w:sz w:val="24"/>
                <w:szCs w:val="24"/>
                <w:vertAlign w:val="baseline"/>
                <w:lang w:val="en-US" w:eastAsia="zh-CN" w:bidi="ar"/>
              </w:rPr>
            </w:pPr>
            <w:r>
              <w:rPr>
                <w:rFonts w:hint="eastAsia" w:ascii="宋体" w:hAnsi="宋体" w:eastAsia="宋体" w:cs="宋体"/>
                <w:b/>
                <w:bCs/>
                <w:color w:val="auto"/>
                <w:kern w:val="0"/>
                <w:sz w:val="24"/>
                <w:szCs w:val="24"/>
                <w:vertAlign w:val="baseline"/>
                <w:lang w:val="en-US" w:eastAsia="zh-CN" w:bidi="ar"/>
              </w:rPr>
              <w:t>井冈山市</w:t>
            </w:r>
          </w:p>
        </w:tc>
        <w:tc>
          <w:tcPr>
            <w:tcW w:w="865" w:type="dxa"/>
            <w:vMerge w:val="restart"/>
            <w:vAlign w:val="center"/>
          </w:tcPr>
          <w:p w14:paraId="1AA3A79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b w:val="0"/>
                <w:bCs w:val="0"/>
                <w:color w:val="auto"/>
                <w:sz w:val="24"/>
                <w:szCs w:val="24"/>
              </w:rPr>
            </w:pPr>
            <w:r>
              <w:rPr>
                <w:rFonts w:hint="eastAsia" w:ascii="宋体" w:hAnsi="宋体" w:eastAsia="宋体" w:cs="宋体"/>
                <w:b w:val="0"/>
                <w:bCs w:val="0"/>
                <w:color w:val="auto"/>
                <w:kern w:val="0"/>
                <w:sz w:val="24"/>
                <w:szCs w:val="24"/>
                <w:lang w:val="en-US" w:eastAsia="zh-CN" w:bidi="ar"/>
              </w:rPr>
              <w:t>拿山灌区</w:t>
            </w:r>
          </w:p>
          <w:p w14:paraId="251E8E03">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10328EBA">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bCs/>
                <w:color w:val="auto"/>
                <w:kern w:val="0"/>
                <w:sz w:val="24"/>
                <w:szCs w:val="24"/>
                <w:vertAlign w:val="baseline"/>
                <w:lang w:val="en-US" w:eastAsia="zh-CN" w:bidi="ar"/>
              </w:rPr>
            </w:pPr>
            <w:r>
              <w:rPr>
                <w:rFonts w:hint="eastAsia" w:ascii="宋体" w:hAnsi="宋体" w:eastAsia="宋体" w:cs="宋体"/>
                <w:b/>
                <w:bCs/>
                <w:color w:val="auto"/>
                <w:kern w:val="0"/>
                <w:sz w:val="24"/>
                <w:szCs w:val="24"/>
                <w:vertAlign w:val="baseline"/>
                <w:lang w:val="en-US" w:eastAsia="zh-CN" w:bidi="ar"/>
              </w:rPr>
              <w:t>序号</w:t>
            </w:r>
          </w:p>
        </w:tc>
        <w:tc>
          <w:tcPr>
            <w:tcW w:w="1152" w:type="dxa"/>
            <w:vAlign w:val="center"/>
          </w:tcPr>
          <w:p w14:paraId="0BFC6BA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b/>
                <w:bCs/>
                <w:color w:val="auto"/>
                <w:kern w:val="0"/>
                <w:sz w:val="24"/>
                <w:szCs w:val="24"/>
                <w:lang w:val="en-US" w:eastAsia="zh-CN" w:bidi="ar"/>
              </w:rPr>
              <w:t>所在渠道</w:t>
            </w:r>
          </w:p>
        </w:tc>
        <w:tc>
          <w:tcPr>
            <w:tcW w:w="867" w:type="dxa"/>
            <w:vAlign w:val="center"/>
          </w:tcPr>
          <w:p w14:paraId="164039B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b/>
                <w:bCs/>
                <w:color w:val="auto"/>
                <w:kern w:val="0"/>
                <w:sz w:val="24"/>
                <w:szCs w:val="24"/>
                <w:lang w:val="en-US" w:eastAsia="zh-CN" w:bidi="ar"/>
              </w:rPr>
              <w:t>渠道形状</w:t>
            </w:r>
          </w:p>
        </w:tc>
        <w:tc>
          <w:tcPr>
            <w:tcW w:w="867" w:type="dxa"/>
            <w:vAlign w:val="center"/>
          </w:tcPr>
          <w:p w14:paraId="12061FB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b/>
                <w:bCs/>
                <w:color w:val="auto"/>
                <w:kern w:val="0"/>
                <w:sz w:val="24"/>
                <w:szCs w:val="24"/>
                <w:lang w:val="en-US" w:eastAsia="zh-CN" w:bidi="ar"/>
              </w:rPr>
              <w:t>所在行政区划</w:t>
            </w:r>
          </w:p>
        </w:tc>
        <w:tc>
          <w:tcPr>
            <w:tcW w:w="1566" w:type="dxa"/>
            <w:vAlign w:val="center"/>
          </w:tcPr>
          <w:p w14:paraId="2489287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b/>
                <w:bCs/>
                <w:color w:val="auto"/>
                <w:kern w:val="0"/>
                <w:sz w:val="24"/>
                <w:szCs w:val="24"/>
                <w:lang w:val="en-US" w:eastAsia="zh-CN" w:bidi="ar"/>
              </w:rPr>
              <w:t>坐标位置</w:t>
            </w:r>
          </w:p>
        </w:tc>
        <w:tc>
          <w:tcPr>
            <w:tcW w:w="1115" w:type="dxa"/>
            <w:vAlign w:val="center"/>
          </w:tcPr>
          <w:p w14:paraId="36CFC53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b/>
                <w:bCs/>
                <w:color w:val="auto"/>
                <w:kern w:val="0"/>
                <w:sz w:val="24"/>
                <w:szCs w:val="24"/>
                <w:lang w:val="en-US" w:eastAsia="zh-CN" w:bidi="ar"/>
              </w:rPr>
              <w:t>计量类型</w:t>
            </w:r>
          </w:p>
        </w:tc>
        <w:tc>
          <w:tcPr>
            <w:tcW w:w="619" w:type="dxa"/>
            <w:vAlign w:val="center"/>
          </w:tcPr>
          <w:p w14:paraId="5F4760F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b/>
                <w:bCs/>
                <w:color w:val="auto"/>
                <w:kern w:val="0"/>
                <w:sz w:val="24"/>
                <w:szCs w:val="24"/>
                <w:lang w:val="en-US" w:eastAsia="zh-CN" w:bidi="ar"/>
              </w:rPr>
              <w:t>建设情况</w:t>
            </w:r>
          </w:p>
        </w:tc>
      </w:tr>
      <w:tr w14:paraId="17AF9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continue"/>
            <w:vAlign w:val="center"/>
          </w:tcPr>
          <w:p w14:paraId="25E3993A">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5" w:type="dxa"/>
            <w:vMerge w:val="continue"/>
            <w:vAlign w:val="center"/>
          </w:tcPr>
          <w:p w14:paraId="36DEAE65">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4ED38928">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val="0"/>
                <w:bCs w:val="0"/>
                <w:color w:val="auto"/>
                <w:kern w:val="0"/>
                <w:sz w:val="24"/>
                <w:szCs w:val="24"/>
                <w:vertAlign w:val="baseline"/>
                <w:lang w:val="en-US" w:eastAsia="zh-CN" w:bidi="ar"/>
              </w:rPr>
            </w:pPr>
            <w:r>
              <w:rPr>
                <w:rFonts w:hint="eastAsia" w:ascii="宋体" w:hAnsi="宋体" w:eastAsia="宋体" w:cs="宋体"/>
                <w:b w:val="0"/>
                <w:bCs w:val="0"/>
                <w:color w:val="auto"/>
                <w:kern w:val="0"/>
                <w:sz w:val="24"/>
                <w:szCs w:val="24"/>
                <w:vertAlign w:val="baseline"/>
                <w:lang w:val="en-US" w:eastAsia="zh-CN" w:bidi="ar"/>
              </w:rPr>
              <w:t>1</w:t>
            </w:r>
          </w:p>
        </w:tc>
        <w:tc>
          <w:tcPr>
            <w:tcW w:w="1152" w:type="dxa"/>
            <w:vAlign w:val="center"/>
          </w:tcPr>
          <w:p w14:paraId="5B43982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 xml:space="preserve">水文支渠水陂 </w:t>
            </w:r>
            <w:r>
              <w:rPr>
                <w:rFonts w:hint="default" w:ascii="Times New Roman" w:hAnsi="Times New Roman" w:eastAsia="宋体" w:cs="Times New Roman"/>
                <w:color w:val="auto"/>
                <w:kern w:val="0"/>
                <w:sz w:val="24"/>
                <w:szCs w:val="24"/>
                <w:lang w:val="en-US" w:eastAsia="zh-CN" w:bidi="ar"/>
              </w:rPr>
              <w:t xml:space="preserve">1 </w:t>
            </w:r>
            <w:r>
              <w:rPr>
                <w:rFonts w:hint="eastAsia" w:ascii="宋体" w:hAnsi="宋体" w:eastAsia="宋体" w:cs="宋体"/>
                <w:color w:val="auto"/>
                <w:kern w:val="0"/>
                <w:sz w:val="24"/>
                <w:szCs w:val="24"/>
                <w:lang w:val="en-US" w:eastAsia="zh-CN" w:bidi="ar"/>
              </w:rPr>
              <w:t>干渠</w:t>
            </w:r>
          </w:p>
        </w:tc>
        <w:tc>
          <w:tcPr>
            <w:tcW w:w="867" w:type="dxa"/>
            <w:vAlign w:val="center"/>
          </w:tcPr>
          <w:p w14:paraId="75052643">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矩形渠道</w:t>
            </w:r>
          </w:p>
        </w:tc>
        <w:tc>
          <w:tcPr>
            <w:tcW w:w="867" w:type="dxa"/>
            <w:vAlign w:val="center"/>
          </w:tcPr>
          <w:p w14:paraId="4DFB53F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夏坪镇文泉村</w:t>
            </w:r>
          </w:p>
        </w:tc>
        <w:tc>
          <w:tcPr>
            <w:tcW w:w="1566" w:type="dxa"/>
            <w:vAlign w:val="center"/>
          </w:tcPr>
          <w:p w14:paraId="62F0317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114.24719280</w:t>
            </w:r>
            <w:r>
              <w:rPr>
                <w:rFonts w:hint="eastAsia" w:ascii="宋体" w:hAnsi="宋体" w:eastAsia="宋体" w:cs="宋体"/>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26.66859762</w:t>
            </w:r>
          </w:p>
        </w:tc>
        <w:tc>
          <w:tcPr>
            <w:tcW w:w="1115" w:type="dxa"/>
            <w:vAlign w:val="center"/>
          </w:tcPr>
          <w:p w14:paraId="05012299">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雷达明渠流量计</w:t>
            </w:r>
          </w:p>
        </w:tc>
        <w:tc>
          <w:tcPr>
            <w:tcW w:w="619" w:type="dxa"/>
            <w:vAlign w:val="center"/>
          </w:tcPr>
          <w:p w14:paraId="6F23A3A1">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新建</w:t>
            </w:r>
          </w:p>
        </w:tc>
      </w:tr>
      <w:tr w14:paraId="6700F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continue"/>
            <w:vAlign w:val="center"/>
          </w:tcPr>
          <w:p w14:paraId="19A6D494">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5" w:type="dxa"/>
            <w:vMerge w:val="continue"/>
            <w:vAlign w:val="center"/>
          </w:tcPr>
          <w:p w14:paraId="01B74296">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7015AA13">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val="0"/>
                <w:bCs w:val="0"/>
                <w:color w:val="auto"/>
                <w:kern w:val="0"/>
                <w:sz w:val="24"/>
                <w:szCs w:val="24"/>
                <w:vertAlign w:val="baseline"/>
                <w:lang w:val="en-US" w:eastAsia="zh-CN" w:bidi="ar"/>
              </w:rPr>
            </w:pPr>
            <w:r>
              <w:rPr>
                <w:rFonts w:hint="eastAsia" w:ascii="宋体" w:hAnsi="宋体" w:eastAsia="宋体" w:cs="宋体"/>
                <w:b w:val="0"/>
                <w:bCs w:val="0"/>
                <w:color w:val="auto"/>
                <w:kern w:val="0"/>
                <w:sz w:val="24"/>
                <w:szCs w:val="24"/>
                <w:vertAlign w:val="baseline"/>
                <w:lang w:val="en-US" w:eastAsia="zh-CN" w:bidi="ar"/>
              </w:rPr>
              <w:t>2</w:t>
            </w:r>
          </w:p>
        </w:tc>
        <w:tc>
          <w:tcPr>
            <w:tcW w:w="1152" w:type="dxa"/>
            <w:vAlign w:val="center"/>
          </w:tcPr>
          <w:p w14:paraId="4A980DD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 xml:space="preserve">水文支渠水陂 </w:t>
            </w:r>
            <w:r>
              <w:rPr>
                <w:rFonts w:hint="default" w:ascii="Times New Roman" w:hAnsi="Times New Roman" w:eastAsia="宋体" w:cs="Times New Roman"/>
                <w:color w:val="auto"/>
                <w:kern w:val="0"/>
                <w:sz w:val="24"/>
                <w:szCs w:val="24"/>
                <w:lang w:val="en-US" w:eastAsia="zh-CN" w:bidi="ar"/>
              </w:rPr>
              <w:t xml:space="preserve">2 </w:t>
            </w:r>
            <w:r>
              <w:rPr>
                <w:rFonts w:hint="eastAsia" w:ascii="宋体" w:hAnsi="宋体" w:eastAsia="宋体" w:cs="宋体"/>
                <w:color w:val="auto"/>
                <w:kern w:val="0"/>
                <w:sz w:val="24"/>
                <w:szCs w:val="24"/>
                <w:lang w:val="en-US" w:eastAsia="zh-CN" w:bidi="ar"/>
              </w:rPr>
              <w:t>干渠</w:t>
            </w:r>
          </w:p>
        </w:tc>
        <w:tc>
          <w:tcPr>
            <w:tcW w:w="867" w:type="dxa"/>
            <w:vAlign w:val="center"/>
          </w:tcPr>
          <w:p w14:paraId="113C8CBB">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矩形渠道</w:t>
            </w:r>
          </w:p>
        </w:tc>
        <w:tc>
          <w:tcPr>
            <w:tcW w:w="867" w:type="dxa"/>
            <w:vAlign w:val="center"/>
          </w:tcPr>
          <w:p w14:paraId="5936C06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夏坪镇文泉村</w:t>
            </w:r>
          </w:p>
        </w:tc>
        <w:tc>
          <w:tcPr>
            <w:tcW w:w="1566" w:type="dxa"/>
            <w:vAlign w:val="center"/>
          </w:tcPr>
          <w:p w14:paraId="2B7A32B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114.24973078</w:t>
            </w:r>
            <w:r>
              <w:rPr>
                <w:rFonts w:hint="eastAsia" w:ascii="宋体" w:hAnsi="宋体" w:eastAsia="宋体" w:cs="宋体"/>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26.67189254</w:t>
            </w:r>
          </w:p>
        </w:tc>
        <w:tc>
          <w:tcPr>
            <w:tcW w:w="1115" w:type="dxa"/>
            <w:vAlign w:val="center"/>
          </w:tcPr>
          <w:p w14:paraId="299726BF">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雷达明渠流量计</w:t>
            </w:r>
          </w:p>
        </w:tc>
        <w:tc>
          <w:tcPr>
            <w:tcW w:w="619" w:type="dxa"/>
            <w:vAlign w:val="center"/>
          </w:tcPr>
          <w:p w14:paraId="2F0B8168">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新建</w:t>
            </w:r>
          </w:p>
        </w:tc>
      </w:tr>
      <w:tr w14:paraId="6E2B6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continue"/>
            <w:vAlign w:val="center"/>
          </w:tcPr>
          <w:p w14:paraId="2E2F5681">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5" w:type="dxa"/>
            <w:vMerge w:val="continue"/>
            <w:vAlign w:val="center"/>
          </w:tcPr>
          <w:p w14:paraId="0C4F2087">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17869238">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val="0"/>
                <w:bCs w:val="0"/>
                <w:color w:val="auto"/>
                <w:kern w:val="0"/>
                <w:sz w:val="24"/>
                <w:szCs w:val="24"/>
                <w:vertAlign w:val="baseline"/>
                <w:lang w:val="en-US" w:eastAsia="zh-CN" w:bidi="ar"/>
              </w:rPr>
            </w:pPr>
            <w:r>
              <w:rPr>
                <w:rFonts w:hint="eastAsia" w:ascii="宋体" w:hAnsi="宋体" w:eastAsia="宋体" w:cs="宋体"/>
                <w:b w:val="0"/>
                <w:bCs w:val="0"/>
                <w:color w:val="auto"/>
                <w:kern w:val="0"/>
                <w:sz w:val="24"/>
                <w:szCs w:val="24"/>
                <w:vertAlign w:val="baseline"/>
                <w:lang w:val="en-US" w:eastAsia="zh-CN" w:bidi="ar"/>
              </w:rPr>
              <w:t>3</w:t>
            </w:r>
          </w:p>
        </w:tc>
        <w:tc>
          <w:tcPr>
            <w:tcW w:w="1152" w:type="dxa"/>
            <w:vAlign w:val="center"/>
          </w:tcPr>
          <w:p w14:paraId="244E4B4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牛吼江垇下陂干渠</w:t>
            </w:r>
          </w:p>
        </w:tc>
        <w:tc>
          <w:tcPr>
            <w:tcW w:w="867" w:type="dxa"/>
            <w:vAlign w:val="center"/>
          </w:tcPr>
          <w:p w14:paraId="777C7BC3">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矩形渠道</w:t>
            </w:r>
          </w:p>
        </w:tc>
        <w:tc>
          <w:tcPr>
            <w:tcW w:w="867" w:type="dxa"/>
            <w:vAlign w:val="center"/>
          </w:tcPr>
          <w:p w14:paraId="71A0353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夏坪镇文泉村</w:t>
            </w:r>
          </w:p>
        </w:tc>
        <w:tc>
          <w:tcPr>
            <w:tcW w:w="1566" w:type="dxa"/>
            <w:vAlign w:val="center"/>
          </w:tcPr>
          <w:p w14:paraId="18C4CC2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114.25166607</w:t>
            </w:r>
            <w:r>
              <w:rPr>
                <w:rFonts w:hint="eastAsia" w:ascii="宋体" w:hAnsi="宋体" w:eastAsia="宋体" w:cs="宋体"/>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26.67614635</w:t>
            </w:r>
          </w:p>
        </w:tc>
        <w:tc>
          <w:tcPr>
            <w:tcW w:w="1115" w:type="dxa"/>
            <w:vAlign w:val="center"/>
          </w:tcPr>
          <w:p w14:paraId="6431F08A">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雷达明渠流量计</w:t>
            </w:r>
          </w:p>
        </w:tc>
        <w:tc>
          <w:tcPr>
            <w:tcW w:w="619" w:type="dxa"/>
            <w:vAlign w:val="center"/>
          </w:tcPr>
          <w:p w14:paraId="77591BCC">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新建</w:t>
            </w:r>
          </w:p>
        </w:tc>
      </w:tr>
      <w:tr w14:paraId="72013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continue"/>
            <w:vAlign w:val="center"/>
          </w:tcPr>
          <w:p w14:paraId="38CAB92A">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5" w:type="dxa"/>
            <w:vMerge w:val="continue"/>
            <w:vAlign w:val="center"/>
          </w:tcPr>
          <w:p w14:paraId="1C27A70C">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78071A71">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val="0"/>
                <w:bCs w:val="0"/>
                <w:color w:val="auto"/>
                <w:kern w:val="0"/>
                <w:sz w:val="24"/>
                <w:szCs w:val="24"/>
                <w:vertAlign w:val="baseline"/>
                <w:lang w:val="en-US" w:eastAsia="zh-CN" w:bidi="ar"/>
              </w:rPr>
            </w:pPr>
            <w:r>
              <w:rPr>
                <w:rFonts w:hint="eastAsia" w:ascii="宋体" w:hAnsi="宋体" w:eastAsia="宋体" w:cs="宋体"/>
                <w:b w:val="0"/>
                <w:bCs w:val="0"/>
                <w:color w:val="auto"/>
                <w:kern w:val="0"/>
                <w:sz w:val="24"/>
                <w:szCs w:val="24"/>
                <w:vertAlign w:val="baseline"/>
                <w:lang w:val="en-US" w:eastAsia="zh-CN" w:bidi="ar"/>
              </w:rPr>
              <w:t>4</w:t>
            </w:r>
          </w:p>
        </w:tc>
        <w:tc>
          <w:tcPr>
            <w:tcW w:w="1152" w:type="dxa"/>
            <w:vAlign w:val="center"/>
          </w:tcPr>
          <w:p w14:paraId="1D6587B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渊泉支渠</w:t>
            </w:r>
          </w:p>
        </w:tc>
        <w:tc>
          <w:tcPr>
            <w:tcW w:w="867" w:type="dxa"/>
            <w:vAlign w:val="center"/>
          </w:tcPr>
          <w:p w14:paraId="4825CB22">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矩形渠道</w:t>
            </w:r>
          </w:p>
        </w:tc>
        <w:tc>
          <w:tcPr>
            <w:tcW w:w="867" w:type="dxa"/>
            <w:vAlign w:val="center"/>
          </w:tcPr>
          <w:p w14:paraId="5110E91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夏坪镇文泉村</w:t>
            </w:r>
          </w:p>
        </w:tc>
        <w:tc>
          <w:tcPr>
            <w:tcW w:w="1566" w:type="dxa"/>
            <w:vAlign w:val="center"/>
          </w:tcPr>
          <w:p w14:paraId="1637744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114.24709176</w:t>
            </w:r>
            <w:r>
              <w:rPr>
                <w:rFonts w:hint="eastAsia" w:ascii="宋体" w:hAnsi="宋体" w:eastAsia="宋体" w:cs="宋体"/>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26.68095145</w:t>
            </w:r>
          </w:p>
        </w:tc>
        <w:tc>
          <w:tcPr>
            <w:tcW w:w="1115" w:type="dxa"/>
            <w:vAlign w:val="center"/>
          </w:tcPr>
          <w:p w14:paraId="7277BFF7">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雷达明渠流量计</w:t>
            </w:r>
          </w:p>
        </w:tc>
        <w:tc>
          <w:tcPr>
            <w:tcW w:w="619" w:type="dxa"/>
            <w:vAlign w:val="center"/>
          </w:tcPr>
          <w:p w14:paraId="1D2C3457">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新建</w:t>
            </w:r>
          </w:p>
        </w:tc>
      </w:tr>
      <w:tr w14:paraId="6F9D2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continue"/>
            <w:vAlign w:val="center"/>
          </w:tcPr>
          <w:p w14:paraId="4FAB9F5C">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5" w:type="dxa"/>
            <w:vMerge w:val="continue"/>
            <w:vAlign w:val="center"/>
          </w:tcPr>
          <w:p w14:paraId="588277AD">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0D8F25DE">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val="0"/>
                <w:bCs w:val="0"/>
                <w:color w:val="auto"/>
                <w:kern w:val="0"/>
                <w:sz w:val="24"/>
                <w:szCs w:val="24"/>
                <w:vertAlign w:val="baseline"/>
                <w:lang w:val="en-US" w:eastAsia="zh-CN" w:bidi="ar"/>
              </w:rPr>
            </w:pPr>
            <w:r>
              <w:rPr>
                <w:rFonts w:hint="eastAsia" w:ascii="宋体" w:hAnsi="宋体" w:eastAsia="宋体" w:cs="宋体"/>
                <w:b w:val="0"/>
                <w:bCs w:val="0"/>
                <w:color w:val="auto"/>
                <w:kern w:val="0"/>
                <w:sz w:val="24"/>
                <w:szCs w:val="24"/>
                <w:vertAlign w:val="baseline"/>
                <w:lang w:val="en-US" w:eastAsia="zh-CN" w:bidi="ar"/>
              </w:rPr>
              <w:t>5</w:t>
            </w:r>
          </w:p>
        </w:tc>
        <w:tc>
          <w:tcPr>
            <w:tcW w:w="1152" w:type="dxa"/>
            <w:vAlign w:val="center"/>
          </w:tcPr>
          <w:p w14:paraId="0727A0D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竹湖支渠</w:t>
            </w:r>
          </w:p>
        </w:tc>
        <w:tc>
          <w:tcPr>
            <w:tcW w:w="867" w:type="dxa"/>
            <w:vAlign w:val="center"/>
          </w:tcPr>
          <w:p w14:paraId="1E7BCED4">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矩形渠道</w:t>
            </w:r>
          </w:p>
        </w:tc>
        <w:tc>
          <w:tcPr>
            <w:tcW w:w="867" w:type="dxa"/>
            <w:vAlign w:val="center"/>
          </w:tcPr>
          <w:p w14:paraId="61B5B27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夏坪镇丰田村</w:t>
            </w:r>
          </w:p>
        </w:tc>
        <w:tc>
          <w:tcPr>
            <w:tcW w:w="1566" w:type="dxa"/>
            <w:vAlign w:val="center"/>
          </w:tcPr>
          <w:p w14:paraId="2F3D47E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114.24073781</w:t>
            </w:r>
            <w:r>
              <w:rPr>
                <w:rFonts w:hint="eastAsia" w:ascii="宋体" w:hAnsi="宋体" w:eastAsia="宋体" w:cs="宋体"/>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26.69377700</w:t>
            </w:r>
          </w:p>
        </w:tc>
        <w:tc>
          <w:tcPr>
            <w:tcW w:w="1115" w:type="dxa"/>
            <w:vAlign w:val="center"/>
          </w:tcPr>
          <w:p w14:paraId="696B46B0">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雷达明渠流量计</w:t>
            </w:r>
          </w:p>
        </w:tc>
        <w:tc>
          <w:tcPr>
            <w:tcW w:w="619" w:type="dxa"/>
            <w:vAlign w:val="center"/>
          </w:tcPr>
          <w:p w14:paraId="6C96F1AB">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新建</w:t>
            </w:r>
          </w:p>
        </w:tc>
      </w:tr>
      <w:tr w14:paraId="0903A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continue"/>
            <w:vAlign w:val="center"/>
          </w:tcPr>
          <w:p w14:paraId="33FF4490">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5" w:type="dxa"/>
            <w:vMerge w:val="continue"/>
            <w:vAlign w:val="center"/>
          </w:tcPr>
          <w:p w14:paraId="00119269">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74EA82A9">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val="0"/>
                <w:bCs w:val="0"/>
                <w:color w:val="auto"/>
                <w:kern w:val="0"/>
                <w:sz w:val="24"/>
                <w:szCs w:val="24"/>
                <w:vertAlign w:val="baseline"/>
                <w:lang w:val="en-US" w:eastAsia="zh-CN" w:bidi="ar"/>
              </w:rPr>
            </w:pPr>
            <w:r>
              <w:rPr>
                <w:rFonts w:hint="eastAsia" w:ascii="宋体" w:hAnsi="宋体" w:eastAsia="宋体" w:cs="宋体"/>
                <w:b w:val="0"/>
                <w:bCs w:val="0"/>
                <w:color w:val="auto"/>
                <w:kern w:val="0"/>
                <w:sz w:val="24"/>
                <w:szCs w:val="24"/>
                <w:vertAlign w:val="baseline"/>
                <w:lang w:val="en-US" w:eastAsia="zh-CN" w:bidi="ar"/>
              </w:rPr>
              <w:t>6</w:t>
            </w:r>
          </w:p>
        </w:tc>
        <w:tc>
          <w:tcPr>
            <w:tcW w:w="1152" w:type="dxa"/>
            <w:vAlign w:val="center"/>
          </w:tcPr>
          <w:p w14:paraId="7E63481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color w:val="auto"/>
                <w:sz w:val="24"/>
                <w:szCs w:val="24"/>
              </w:rPr>
            </w:pPr>
            <w:r>
              <w:rPr>
                <w:rFonts w:hint="eastAsia" w:ascii="宋体" w:hAnsi="宋体" w:eastAsia="宋体" w:cs="宋体"/>
                <w:color w:val="auto"/>
                <w:kern w:val="0"/>
                <w:sz w:val="24"/>
                <w:szCs w:val="24"/>
                <w:lang w:val="en-US" w:eastAsia="zh-CN" w:bidi="ar"/>
              </w:rPr>
              <w:t>焦塘支渠</w:t>
            </w:r>
          </w:p>
          <w:p w14:paraId="732BB2CE">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7" w:type="dxa"/>
            <w:vAlign w:val="center"/>
          </w:tcPr>
          <w:p w14:paraId="215BE0BD">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矩形渠道</w:t>
            </w:r>
          </w:p>
        </w:tc>
        <w:tc>
          <w:tcPr>
            <w:tcW w:w="867" w:type="dxa"/>
            <w:vAlign w:val="center"/>
          </w:tcPr>
          <w:p w14:paraId="11E452C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夏坪镇复兴村</w:t>
            </w:r>
          </w:p>
        </w:tc>
        <w:tc>
          <w:tcPr>
            <w:tcW w:w="1566" w:type="dxa"/>
            <w:vAlign w:val="center"/>
          </w:tcPr>
          <w:p w14:paraId="1CED6E3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114.24384649</w:t>
            </w:r>
            <w:r>
              <w:rPr>
                <w:rFonts w:hint="eastAsia" w:ascii="宋体" w:hAnsi="宋体" w:eastAsia="宋体" w:cs="宋体"/>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26.70858548</w:t>
            </w:r>
          </w:p>
        </w:tc>
        <w:tc>
          <w:tcPr>
            <w:tcW w:w="1115" w:type="dxa"/>
            <w:vAlign w:val="center"/>
          </w:tcPr>
          <w:p w14:paraId="2FE2FF47">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雷达明渠流量计</w:t>
            </w:r>
          </w:p>
        </w:tc>
        <w:tc>
          <w:tcPr>
            <w:tcW w:w="619" w:type="dxa"/>
            <w:vAlign w:val="center"/>
          </w:tcPr>
          <w:p w14:paraId="45318E5D">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新建</w:t>
            </w:r>
          </w:p>
        </w:tc>
      </w:tr>
      <w:tr w14:paraId="6FFFD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continue"/>
            <w:vAlign w:val="center"/>
          </w:tcPr>
          <w:p w14:paraId="44594979">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5" w:type="dxa"/>
            <w:vMerge w:val="continue"/>
            <w:vAlign w:val="center"/>
          </w:tcPr>
          <w:p w14:paraId="047821CB">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5BD7145E">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val="0"/>
                <w:bCs w:val="0"/>
                <w:color w:val="auto"/>
                <w:kern w:val="0"/>
                <w:sz w:val="24"/>
                <w:szCs w:val="24"/>
                <w:vertAlign w:val="baseline"/>
                <w:lang w:val="en-US" w:eastAsia="zh-CN" w:bidi="ar"/>
              </w:rPr>
            </w:pPr>
            <w:r>
              <w:rPr>
                <w:rFonts w:hint="eastAsia" w:ascii="宋体" w:hAnsi="宋体" w:eastAsia="宋体" w:cs="宋体"/>
                <w:b w:val="0"/>
                <w:bCs w:val="0"/>
                <w:color w:val="auto"/>
                <w:kern w:val="0"/>
                <w:sz w:val="24"/>
                <w:szCs w:val="24"/>
                <w:vertAlign w:val="baseline"/>
                <w:lang w:val="en-US" w:eastAsia="zh-CN" w:bidi="ar"/>
              </w:rPr>
              <w:t>7</w:t>
            </w:r>
          </w:p>
        </w:tc>
        <w:tc>
          <w:tcPr>
            <w:tcW w:w="1152" w:type="dxa"/>
            <w:vAlign w:val="center"/>
          </w:tcPr>
          <w:p w14:paraId="5257F60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官陂支渠</w:t>
            </w:r>
          </w:p>
        </w:tc>
        <w:tc>
          <w:tcPr>
            <w:tcW w:w="867" w:type="dxa"/>
            <w:vAlign w:val="center"/>
          </w:tcPr>
          <w:p w14:paraId="4FE3B588">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矩形渠道</w:t>
            </w:r>
          </w:p>
        </w:tc>
        <w:tc>
          <w:tcPr>
            <w:tcW w:w="867" w:type="dxa"/>
            <w:vAlign w:val="center"/>
          </w:tcPr>
          <w:p w14:paraId="2CC9C2E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夏坪镇复兴村</w:t>
            </w:r>
          </w:p>
        </w:tc>
        <w:tc>
          <w:tcPr>
            <w:tcW w:w="1566" w:type="dxa"/>
            <w:vAlign w:val="center"/>
          </w:tcPr>
          <w:p w14:paraId="3914C3B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114.26282565</w:t>
            </w:r>
            <w:r>
              <w:rPr>
                <w:rFonts w:hint="eastAsia" w:ascii="宋体" w:hAnsi="宋体" w:eastAsia="宋体" w:cs="宋体"/>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26.70577859</w:t>
            </w:r>
          </w:p>
        </w:tc>
        <w:tc>
          <w:tcPr>
            <w:tcW w:w="1115" w:type="dxa"/>
            <w:vAlign w:val="center"/>
          </w:tcPr>
          <w:p w14:paraId="40B0ED4C">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雷达明渠流量计</w:t>
            </w:r>
          </w:p>
        </w:tc>
        <w:tc>
          <w:tcPr>
            <w:tcW w:w="619" w:type="dxa"/>
            <w:vAlign w:val="center"/>
          </w:tcPr>
          <w:p w14:paraId="65DA3A2F">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新建</w:t>
            </w:r>
          </w:p>
        </w:tc>
      </w:tr>
      <w:tr w14:paraId="61E1C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continue"/>
            <w:vAlign w:val="center"/>
          </w:tcPr>
          <w:p w14:paraId="263D907D">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5" w:type="dxa"/>
            <w:vMerge w:val="continue"/>
            <w:vAlign w:val="center"/>
          </w:tcPr>
          <w:p w14:paraId="1BDD0218">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3EF0F2DB">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val="0"/>
                <w:bCs w:val="0"/>
                <w:color w:val="auto"/>
                <w:kern w:val="0"/>
                <w:sz w:val="24"/>
                <w:szCs w:val="24"/>
                <w:vertAlign w:val="baseline"/>
                <w:lang w:val="en-US" w:eastAsia="zh-CN" w:bidi="ar"/>
              </w:rPr>
            </w:pPr>
            <w:r>
              <w:rPr>
                <w:rFonts w:hint="eastAsia" w:ascii="宋体" w:hAnsi="宋体" w:eastAsia="宋体" w:cs="宋体"/>
                <w:b w:val="0"/>
                <w:bCs w:val="0"/>
                <w:color w:val="auto"/>
                <w:kern w:val="0"/>
                <w:sz w:val="24"/>
                <w:szCs w:val="24"/>
                <w:vertAlign w:val="baseline"/>
                <w:lang w:val="en-US" w:eastAsia="zh-CN" w:bidi="ar"/>
              </w:rPr>
              <w:t>8</w:t>
            </w:r>
          </w:p>
        </w:tc>
        <w:tc>
          <w:tcPr>
            <w:tcW w:w="1152" w:type="dxa"/>
            <w:vAlign w:val="center"/>
          </w:tcPr>
          <w:p w14:paraId="3247BCB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马形岭陂干渠</w:t>
            </w:r>
          </w:p>
        </w:tc>
        <w:tc>
          <w:tcPr>
            <w:tcW w:w="867" w:type="dxa"/>
            <w:vAlign w:val="center"/>
          </w:tcPr>
          <w:p w14:paraId="55A72833">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矩形渠道</w:t>
            </w:r>
          </w:p>
        </w:tc>
        <w:tc>
          <w:tcPr>
            <w:tcW w:w="867" w:type="dxa"/>
            <w:vAlign w:val="center"/>
          </w:tcPr>
          <w:p w14:paraId="723C774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夏坪镇复兴村</w:t>
            </w:r>
          </w:p>
        </w:tc>
        <w:tc>
          <w:tcPr>
            <w:tcW w:w="1566" w:type="dxa"/>
            <w:vAlign w:val="center"/>
          </w:tcPr>
          <w:p w14:paraId="632F132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114.24526974</w:t>
            </w:r>
            <w:r>
              <w:rPr>
                <w:rFonts w:hint="eastAsia" w:ascii="宋体" w:hAnsi="宋体" w:eastAsia="宋体" w:cs="宋体"/>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26.71591666</w:t>
            </w:r>
          </w:p>
        </w:tc>
        <w:tc>
          <w:tcPr>
            <w:tcW w:w="1115" w:type="dxa"/>
            <w:vAlign w:val="center"/>
          </w:tcPr>
          <w:p w14:paraId="1ACE0FD9">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雷达明渠流量计</w:t>
            </w:r>
          </w:p>
        </w:tc>
        <w:tc>
          <w:tcPr>
            <w:tcW w:w="619" w:type="dxa"/>
            <w:vAlign w:val="center"/>
          </w:tcPr>
          <w:p w14:paraId="44C261C8">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新建</w:t>
            </w:r>
          </w:p>
        </w:tc>
      </w:tr>
      <w:tr w14:paraId="03E0F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continue"/>
            <w:vAlign w:val="center"/>
          </w:tcPr>
          <w:p w14:paraId="15DAAC60">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5" w:type="dxa"/>
            <w:vMerge w:val="continue"/>
            <w:vAlign w:val="center"/>
          </w:tcPr>
          <w:p w14:paraId="6D8B3508">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703B9672">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val="0"/>
                <w:bCs w:val="0"/>
                <w:color w:val="auto"/>
                <w:kern w:val="0"/>
                <w:sz w:val="24"/>
                <w:szCs w:val="24"/>
                <w:vertAlign w:val="baseline"/>
                <w:lang w:val="en-US" w:eastAsia="zh-CN" w:bidi="ar"/>
              </w:rPr>
            </w:pPr>
            <w:r>
              <w:rPr>
                <w:rFonts w:hint="eastAsia" w:ascii="宋体" w:hAnsi="宋体" w:eastAsia="宋体" w:cs="宋体"/>
                <w:b w:val="0"/>
                <w:bCs w:val="0"/>
                <w:color w:val="auto"/>
                <w:kern w:val="0"/>
                <w:sz w:val="24"/>
                <w:szCs w:val="24"/>
                <w:vertAlign w:val="baseline"/>
                <w:lang w:val="en-US" w:eastAsia="zh-CN" w:bidi="ar"/>
              </w:rPr>
              <w:t>9</w:t>
            </w:r>
          </w:p>
        </w:tc>
        <w:tc>
          <w:tcPr>
            <w:tcW w:w="1152" w:type="dxa"/>
            <w:vAlign w:val="center"/>
          </w:tcPr>
          <w:p w14:paraId="6E9B035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井山支渠</w:t>
            </w:r>
          </w:p>
        </w:tc>
        <w:tc>
          <w:tcPr>
            <w:tcW w:w="867" w:type="dxa"/>
            <w:vAlign w:val="center"/>
          </w:tcPr>
          <w:p w14:paraId="58515278">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矩形渠道</w:t>
            </w:r>
          </w:p>
        </w:tc>
        <w:tc>
          <w:tcPr>
            <w:tcW w:w="867" w:type="dxa"/>
            <w:vAlign w:val="center"/>
          </w:tcPr>
          <w:p w14:paraId="30E33E5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夏坪镇沉塘村</w:t>
            </w:r>
          </w:p>
        </w:tc>
        <w:tc>
          <w:tcPr>
            <w:tcW w:w="1566" w:type="dxa"/>
            <w:vAlign w:val="center"/>
          </w:tcPr>
          <w:p w14:paraId="0A8A653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114.24540428</w:t>
            </w:r>
            <w:r>
              <w:rPr>
                <w:rFonts w:hint="eastAsia" w:ascii="宋体" w:hAnsi="宋体" w:eastAsia="宋体" w:cs="宋体"/>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26.72198075</w:t>
            </w:r>
          </w:p>
        </w:tc>
        <w:tc>
          <w:tcPr>
            <w:tcW w:w="1115" w:type="dxa"/>
            <w:vAlign w:val="center"/>
          </w:tcPr>
          <w:p w14:paraId="0C0B934E">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雷达明渠流量计</w:t>
            </w:r>
          </w:p>
        </w:tc>
        <w:tc>
          <w:tcPr>
            <w:tcW w:w="619" w:type="dxa"/>
            <w:vAlign w:val="center"/>
          </w:tcPr>
          <w:p w14:paraId="1E9FA270">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新建</w:t>
            </w:r>
          </w:p>
        </w:tc>
      </w:tr>
      <w:tr w14:paraId="18EB2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continue"/>
            <w:vAlign w:val="center"/>
          </w:tcPr>
          <w:p w14:paraId="386C0511">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5" w:type="dxa"/>
            <w:vMerge w:val="continue"/>
            <w:vAlign w:val="center"/>
          </w:tcPr>
          <w:p w14:paraId="58B9A330">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5C692A71">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val="0"/>
                <w:bCs w:val="0"/>
                <w:color w:val="auto"/>
                <w:kern w:val="0"/>
                <w:sz w:val="24"/>
                <w:szCs w:val="24"/>
                <w:vertAlign w:val="baseline"/>
                <w:lang w:val="en-US" w:eastAsia="zh-CN" w:bidi="ar"/>
              </w:rPr>
            </w:pPr>
            <w:r>
              <w:rPr>
                <w:rFonts w:hint="eastAsia" w:ascii="宋体" w:hAnsi="宋体" w:eastAsia="宋体" w:cs="宋体"/>
                <w:b w:val="0"/>
                <w:bCs w:val="0"/>
                <w:color w:val="auto"/>
                <w:kern w:val="0"/>
                <w:sz w:val="24"/>
                <w:szCs w:val="24"/>
                <w:vertAlign w:val="baseline"/>
                <w:lang w:val="en-US" w:eastAsia="zh-CN" w:bidi="ar"/>
              </w:rPr>
              <w:t>10</w:t>
            </w:r>
          </w:p>
        </w:tc>
        <w:tc>
          <w:tcPr>
            <w:tcW w:w="1152" w:type="dxa"/>
            <w:vAlign w:val="center"/>
          </w:tcPr>
          <w:p w14:paraId="41CD8DA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新居支渠</w:t>
            </w:r>
          </w:p>
        </w:tc>
        <w:tc>
          <w:tcPr>
            <w:tcW w:w="867" w:type="dxa"/>
            <w:vAlign w:val="center"/>
          </w:tcPr>
          <w:p w14:paraId="6F26847E">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矩形渠道</w:t>
            </w:r>
          </w:p>
        </w:tc>
        <w:tc>
          <w:tcPr>
            <w:tcW w:w="867" w:type="dxa"/>
            <w:vAlign w:val="center"/>
          </w:tcPr>
          <w:p w14:paraId="196473A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夏坪镇沉塘村</w:t>
            </w:r>
          </w:p>
        </w:tc>
        <w:tc>
          <w:tcPr>
            <w:tcW w:w="1566" w:type="dxa"/>
            <w:vAlign w:val="center"/>
          </w:tcPr>
          <w:p w14:paraId="54A8BF3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114.25249160</w:t>
            </w:r>
            <w:r>
              <w:rPr>
                <w:rFonts w:hint="eastAsia" w:ascii="宋体" w:hAnsi="宋体" w:eastAsia="宋体" w:cs="宋体"/>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26.72711333</w:t>
            </w:r>
          </w:p>
        </w:tc>
        <w:tc>
          <w:tcPr>
            <w:tcW w:w="1115" w:type="dxa"/>
            <w:vAlign w:val="center"/>
          </w:tcPr>
          <w:p w14:paraId="7D504D8D">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雷达明渠流量计</w:t>
            </w:r>
          </w:p>
        </w:tc>
        <w:tc>
          <w:tcPr>
            <w:tcW w:w="619" w:type="dxa"/>
            <w:vAlign w:val="center"/>
          </w:tcPr>
          <w:p w14:paraId="4E36330D">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新建</w:t>
            </w:r>
          </w:p>
        </w:tc>
      </w:tr>
      <w:tr w14:paraId="0C850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continue"/>
            <w:vAlign w:val="center"/>
          </w:tcPr>
          <w:p w14:paraId="0F9B56E0">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5" w:type="dxa"/>
            <w:vMerge w:val="continue"/>
            <w:vAlign w:val="center"/>
          </w:tcPr>
          <w:p w14:paraId="37A92FBA">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345E1D9E">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val="0"/>
                <w:bCs w:val="0"/>
                <w:color w:val="auto"/>
                <w:kern w:val="0"/>
                <w:sz w:val="24"/>
                <w:szCs w:val="24"/>
                <w:vertAlign w:val="baseline"/>
                <w:lang w:val="en-US" w:eastAsia="zh-CN" w:bidi="ar"/>
              </w:rPr>
            </w:pPr>
            <w:r>
              <w:rPr>
                <w:rFonts w:hint="eastAsia" w:ascii="宋体" w:hAnsi="宋体" w:eastAsia="宋体" w:cs="宋体"/>
                <w:b w:val="0"/>
                <w:bCs w:val="0"/>
                <w:color w:val="auto"/>
                <w:kern w:val="0"/>
                <w:sz w:val="24"/>
                <w:szCs w:val="24"/>
                <w:vertAlign w:val="baseline"/>
                <w:lang w:val="en-US" w:eastAsia="zh-CN" w:bidi="ar"/>
              </w:rPr>
              <w:t>11</w:t>
            </w:r>
          </w:p>
        </w:tc>
        <w:tc>
          <w:tcPr>
            <w:tcW w:w="1152" w:type="dxa"/>
            <w:vAlign w:val="center"/>
          </w:tcPr>
          <w:p w14:paraId="55AB6A3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昌蒲支渠</w:t>
            </w:r>
          </w:p>
        </w:tc>
        <w:tc>
          <w:tcPr>
            <w:tcW w:w="867" w:type="dxa"/>
            <w:vAlign w:val="center"/>
          </w:tcPr>
          <w:p w14:paraId="323E0A23">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矩形渠道</w:t>
            </w:r>
          </w:p>
        </w:tc>
        <w:tc>
          <w:tcPr>
            <w:tcW w:w="867" w:type="dxa"/>
            <w:vAlign w:val="center"/>
          </w:tcPr>
          <w:p w14:paraId="39DC46C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夏坪镇田头村</w:t>
            </w:r>
          </w:p>
        </w:tc>
        <w:tc>
          <w:tcPr>
            <w:tcW w:w="1566" w:type="dxa"/>
            <w:vAlign w:val="center"/>
          </w:tcPr>
          <w:p w14:paraId="4A28181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114.25782244</w:t>
            </w:r>
            <w:r>
              <w:rPr>
                <w:rFonts w:hint="eastAsia" w:ascii="宋体" w:hAnsi="宋体" w:eastAsia="宋体" w:cs="宋体"/>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26.68217269</w:t>
            </w:r>
          </w:p>
        </w:tc>
        <w:tc>
          <w:tcPr>
            <w:tcW w:w="1115" w:type="dxa"/>
            <w:vAlign w:val="center"/>
          </w:tcPr>
          <w:p w14:paraId="12B0CA65">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雷达明渠流量计</w:t>
            </w:r>
          </w:p>
        </w:tc>
        <w:tc>
          <w:tcPr>
            <w:tcW w:w="619" w:type="dxa"/>
            <w:vAlign w:val="center"/>
          </w:tcPr>
          <w:p w14:paraId="07BA7023">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新建</w:t>
            </w:r>
          </w:p>
        </w:tc>
      </w:tr>
      <w:tr w14:paraId="69D30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continue"/>
            <w:vAlign w:val="center"/>
          </w:tcPr>
          <w:p w14:paraId="0734CEB5">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5" w:type="dxa"/>
            <w:vMerge w:val="continue"/>
            <w:vAlign w:val="center"/>
          </w:tcPr>
          <w:p w14:paraId="30775B56">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5A5F9C50">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val="0"/>
                <w:bCs w:val="0"/>
                <w:color w:val="auto"/>
                <w:kern w:val="0"/>
                <w:sz w:val="24"/>
                <w:szCs w:val="24"/>
                <w:vertAlign w:val="baseline"/>
                <w:lang w:val="en-US" w:eastAsia="zh-CN" w:bidi="ar"/>
              </w:rPr>
            </w:pPr>
            <w:r>
              <w:rPr>
                <w:rFonts w:hint="eastAsia" w:ascii="宋体" w:hAnsi="宋体" w:eastAsia="宋体" w:cs="宋体"/>
                <w:b w:val="0"/>
                <w:bCs w:val="0"/>
                <w:color w:val="auto"/>
                <w:kern w:val="0"/>
                <w:sz w:val="24"/>
                <w:szCs w:val="24"/>
                <w:vertAlign w:val="baseline"/>
                <w:lang w:val="en-US" w:eastAsia="zh-CN" w:bidi="ar"/>
              </w:rPr>
              <w:t>12</w:t>
            </w:r>
          </w:p>
        </w:tc>
        <w:tc>
          <w:tcPr>
            <w:tcW w:w="1152" w:type="dxa"/>
            <w:vAlign w:val="center"/>
          </w:tcPr>
          <w:p w14:paraId="3A3E65D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老江口水陂左干渠</w:t>
            </w:r>
          </w:p>
        </w:tc>
        <w:tc>
          <w:tcPr>
            <w:tcW w:w="867" w:type="dxa"/>
            <w:vAlign w:val="center"/>
          </w:tcPr>
          <w:p w14:paraId="30BE53E2">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矩形渠道</w:t>
            </w:r>
          </w:p>
        </w:tc>
        <w:tc>
          <w:tcPr>
            <w:tcW w:w="867" w:type="dxa"/>
            <w:vAlign w:val="center"/>
          </w:tcPr>
          <w:p w14:paraId="642FDCC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夏坪镇田头村</w:t>
            </w:r>
          </w:p>
        </w:tc>
        <w:tc>
          <w:tcPr>
            <w:tcW w:w="1566" w:type="dxa"/>
            <w:vAlign w:val="center"/>
          </w:tcPr>
          <w:p w14:paraId="6FCD6FA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114.25921013</w:t>
            </w:r>
            <w:r>
              <w:rPr>
                <w:rFonts w:hint="eastAsia" w:ascii="宋体" w:hAnsi="宋体" w:eastAsia="宋体" w:cs="宋体"/>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26.68897276</w:t>
            </w:r>
          </w:p>
        </w:tc>
        <w:tc>
          <w:tcPr>
            <w:tcW w:w="1115" w:type="dxa"/>
            <w:vAlign w:val="center"/>
          </w:tcPr>
          <w:p w14:paraId="52A57BD9">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雷达明渠流量计</w:t>
            </w:r>
          </w:p>
        </w:tc>
        <w:tc>
          <w:tcPr>
            <w:tcW w:w="619" w:type="dxa"/>
            <w:vAlign w:val="center"/>
          </w:tcPr>
          <w:p w14:paraId="43B702D2">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新建</w:t>
            </w:r>
          </w:p>
        </w:tc>
      </w:tr>
      <w:tr w14:paraId="64AAA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continue"/>
            <w:vAlign w:val="center"/>
          </w:tcPr>
          <w:p w14:paraId="07904D53">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5" w:type="dxa"/>
            <w:vMerge w:val="continue"/>
            <w:vAlign w:val="center"/>
          </w:tcPr>
          <w:p w14:paraId="0E7A714D">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4C09C5C1">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val="0"/>
                <w:bCs w:val="0"/>
                <w:color w:val="auto"/>
                <w:kern w:val="0"/>
                <w:sz w:val="24"/>
                <w:szCs w:val="24"/>
                <w:vertAlign w:val="baseline"/>
                <w:lang w:val="en-US" w:eastAsia="zh-CN" w:bidi="ar"/>
              </w:rPr>
            </w:pPr>
            <w:r>
              <w:rPr>
                <w:rFonts w:hint="eastAsia" w:ascii="宋体" w:hAnsi="宋体" w:eastAsia="宋体" w:cs="宋体"/>
                <w:b w:val="0"/>
                <w:bCs w:val="0"/>
                <w:color w:val="auto"/>
                <w:kern w:val="0"/>
                <w:sz w:val="24"/>
                <w:szCs w:val="24"/>
                <w:vertAlign w:val="baseline"/>
                <w:lang w:val="en-US" w:eastAsia="zh-CN" w:bidi="ar"/>
              </w:rPr>
              <w:t>13</w:t>
            </w:r>
          </w:p>
        </w:tc>
        <w:tc>
          <w:tcPr>
            <w:tcW w:w="1152" w:type="dxa"/>
            <w:vAlign w:val="center"/>
          </w:tcPr>
          <w:p w14:paraId="4451D8C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老江口水陂右干渠</w:t>
            </w:r>
          </w:p>
        </w:tc>
        <w:tc>
          <w:tcPr>
            <w:tcW w:w="867" w:type="dxa"/>
            <w:vAlign w:val="center"/>
          </w:tcPr>
          <w:p w14:paraId="2D77C1D2">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矩形渠道</w:t>
            </w:r>
          </w:p>
        </w:tc>
        <w:tc>
          <w:tcPr>
            <w:tcW w:w="867" w:type="dxa"/>
            <w:vAlign w:val="center"/>
          </w:tcPr>
          <w:p w14:paraId="024C7A6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夏坪镇田头村</w:t>
            </w:r>
          </w:p>
        </w:tc>
        <w:tc>
          <w:tcPr>
            <w:tcW w:w="1566" w:type="dxa"/>
            <w:vAlign w:val="center"/>
          </w:tcPr>
          <w:p w14:paraId="13BD03E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114.25858483</w:t>
            </w:r>
            <w:r>
              <w:rPr>
                <w:rFonts w:hint="eastAsia" w:ascii="宋体" w:hAnsi="宋体" w:eastAsia="宋体" w:cs="宋体"/>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26.68934327</w:t>
            </w:r>
          </w:p>
        </w:tc>
        <w:tc>
          <w:tcPr>
            <w:tcW w:w="1115" w:type="dxa"/>
            <w:vAlign w:val="center"/>
          </w:tcPr>
          <w:p w14:paraId="1F89E3F0">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雷达明渠流量计</w:t>
            </w:r>
          </w:p>
        </w:tc>
        <w:tc>
          <w:tcPr>
            <w:tcW w:w="619" w:type="dxa"/>
            <w:vAlign w:val="center"/>
          </w:tcPr>
          <w:p w14:paraId="43DB5AAE">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新建</w:t>
            </w:r>
          </w:p>
        </w:tc>
      </w:tr>
      <w:tr w14:paraId="50644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continue"/>
            <w:vAlign w:val="center"/>
          </w:tcPr>
          <w:p w14:paraId="3BA8EF7F">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5" w:type="dxa"/>
            <w:vMerge w:val="continue"/>
            <w:vAlign w:val="center"/>
          </w:tcPr>
          <w:p w14:paraId="3C475472">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2B77A7F0">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val="0"/>
                <w:bCs w:val="0"/>
                <w:color w:val="auto"/>
                <w:kern w:val="0"/>
                <w:sz w:val="24"/>
                <w:szCs w:val="24"/>
                <w:vertAlign w:val="baseline"/>
                <w:lang w:val="en-US" w:eastAsia="zh-CN" w:bidi="ar"/>
              </w:rPr>
            </w:pPr>
            <w:r>
              <w:rPr>
                <w:rFonts w:hint="eastAsia" w:ascii="宋体" w:hAnsi="宋体" w:eastAsia="宋体" w:cs="宋体"/>
                <w:b w:val="0"/>
                <w:bCs w:val="0"/>
                <w:color w:val="auto"/>
                <w:kern w:val="0"/>
                <w:sz w:val="24"/>
                <w:szCs w:val="24"/>
                <w:vertAlign w:val="baseline"/>
                <w:lang w:val="en-US" w:eastAsia="zh-CN" w:bidi="ar"/>
              </w:rPr>
              <w:t>14</w:t>
            </w:r>
          </w:p>
        </w:tc>
        <w:tc>
          <w:tcPr>
            <w:tcW w:w="1152" w:type="dxa"/>
            <w:vAlign w:val="center"/>
          </w:tcPr>
          <w:p w14:paraId="5A517B5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菖蒲支渠</w:t>
            </w:r>
          </w:p>
        </w:tc>
        <w:tc>
          <w:tcPr>
            <w:tcW w:w="867" w:type="dxa"/>
            <w:vAlign w:val="center"/>
          </w:tcPr>
          <w:p w14:paraId="2B639ABF">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矩形渠道</w:t>
            </w:r>
          </w:p>
        </w:tc>
        <w:tc>
          <w:tcPr>
            <w:tcW w:w="867" w:type="dxa"/>
            <w:vAlign w:val="center"/>
          </w:tcPr>
          <w:p w14:paraId="60E0E24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夏坪镇菖蒲村</w:t>
            </w:r>
          </w:p>
        </w:tc>
        <w:tc>
          <w:tcPr>
            <w:tcW w:w="1566" w:type="dxa"/>
            <w:vAlign w:val="center"/>
          </w:tcPr>
          <w:p w14:paraId="30B8C31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114.26965326</w:t>
            </w:r>
            <w:r>
              <w:rPr>
                <w:rFonts w:hint="eastAsia" w:ascii="宋体" w:hAnsi="宋体" w:eastAsia="宋体" w:cs="宋体"/>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26.70201240</w:t>
            </w:r>
          </w:p>
        </w:tc>
        <w:tc>
          <w:tcPr>
            <w:tcW w:w="1115" w:type="dxa"/>
            <w:vAlign w:val="center"/>
          </w:tcPr>
          <w:p w14:paraId="035E9704">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雷达明渠流量计</w:t>
            </w:r>
          </w:p>
        </w:tc>
        <w:tc>
          <w:tcPr>
            <w:tcW w:w="619" w:type="dxa"/>
            <w:vAlign w:val="center"/>
          </w:tcPr>
          <w:p w14:paraId="7B636FC7">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新建</w:t>
            </w:r>
          </w:p>
        </w:tc>
      </w:tr>
      <w:tr w14:paraId="7EFB3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continue"/>
            <w:vAlign w:val="center"/>
          </w:tcPr>
          <w:p w14:paraId="0E0D0E58">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5" w:type="dxa"/>
            <w:vMerge w:val="continue"/>
            <w:vAlign w:val="center"/>
          </w:tcPr>
          <w:p w14:paraId="40ABA12B">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4F90B6F7">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val="0"/>
                <w:bCs w:val="0"/>
                <w:color w:val="auto"/>
                <w:kern w:val="0"/>
                <w:sz w:val="24"/>
                <w:szCs w:val="24"/>
                <w:vertAlign w:val="baseline"/>
                <w:lang w:val="en-US" w:eastAsia="zh-CN" w:bidi="ar"/>
              </w:rPr>
            </w:pPr>
            <w:r>
              <w:rPr>
                <w:rFonts w:hint="eastAsia" w:ascii="宋体" w:hAnsi="宋体" w:eastAsia="宋体" w:cs="宋体"/>
                <w:b w:val="0"/>
                <w:bCs w:val="0"/>
                <w:color w:val="auto"/>
                <w:kern w:val="0"/>
                <w:sz w:val="24"/>
                <w:szCs w:val="24"/>
                <w:vertAlign w:val="baseline"/>
                <w:lang w:val="en-US" w:eastAsia="zh-CN" w:bidi="ar"/>
              </w:rPr>
              <w:t>15</w:t>
            </w:r>
          </w:p>
        </w:tc>
        <w:tc>
          <w:tcPr>
            <w:tcW w:w="1152" w:type="dxa"/>
            <w:vAlign w:val="center"/>
          </w:tcPr>
          <w:p w14:paraId="1099D42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菖蒲洲陂干渠</w:t>
            </w:r>
          </w:p>
        </w:tc>
        <w:tc>
          <w:tcPr>
            <w:tcW w:w="867" w:type="dxa"/>
            <w:vAlign w:val="center"/>
          </w:tcPr>
          <w:p w14:paraId="0F610C36">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矩形渠道</w:t>
            </w:r>
          </w:p>
        </w:tc>
        <w:tc>
          <w:tcPr>
            <w:tcW w:w="867" w:type="dxa"/>
            <w:vAlign w:val="center"/>
          </w:tcPr>
          <w:p w14:paraId="5260C59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夏坪镇菖蒲村</w:t>
            </w:r>
          </w:p>
        </w:tc>
        <w:tc>
          <w:tcPr>
            <w:tcW w:w="1566" w:type="dxa"/>
            <w:vAlign w:val="center"/>
          </w:tcPr>
          <w:p w14:paraId="030F875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114.26963211</w:t>
            </w:r>
            <w:r>
              <w:rPr>
                <w:rFonts w:hint="eastAsia" w:ascii="宋体" w:hAnsi="宋体" w:eastAsia="宋体" w:cs="宋体"/>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26.70623439</w:t>
            </w:r>
          </w:p>
        </w:tc>
        <w:tc>
          <w:tcPr>
            <w:tcW w:w="1115" w:type="dxa"/>
            <w:vAlign w:val="center"/>
          </w:tcPr>
          <w:p w14:paraId="59D8E603">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雷达明渠流量计</w:t>
            </w:r>
          </w:p>
        </w:tc>
        <w:tc>
          <w:tcPr>
            <w:tcW w:w="619" w:type="dxa"/>
            <w:vAlign w:val="center"/>
          </w:tcPr>
          <w:p w14:paraId="0D841CB6">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新建</w:t>
            </w:r>
          </w:p>
        </w:tc>
      </w:tr>
      <w:tr w14:paraId="56DA3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continue"/>
            <w:vAlign w:val="center"/>
          </w:tcPr>
          <w:p w14:paraId="3EA727FC">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5" w:type="dxa"/>
            <w:vMerge w:val="continue"/>
            <w:vAlign w:val="center"/>
          </w:tcPr>
          <w:p w14:paraId="1FA588BE">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14B2683E">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val="0"/>
                <w:bCs w:val="0"/>
                <w:color w:val="auto"/>
                <w:kern w:val="0"/>
                <w:sz w:val="24"/>
                <w:szCs w:val="24"/>
                <w:vertAlign w:val="baseline"/>
                <w:lang w:val="en-US" w:eastAsia="zh-CN" w:bidi="ar"/>
              </w:rPr>
            </w:pPr>
            <w:r>
              <w:rPr>
                <w:rFonts w:hint="eastAsia" w:ascii="宋体" w:hAnsi="宋体" w:eastAsia="宋体" w:cs="宋体"/>
                <w:b w:val="0"/>
                <w:bCs w:val="0"/>
                <w:color w:val="auto"/>
                <w:kern w:val="0"/>
                <w:sz w:val="24"/>
                <w:szCs w:val="24"/>
                <w:vertAlign w:val="baseline"/>
                <w:lang w:val="en-US" w:eastAsia="zh-CN" w:bidi="ar"/>
              </w:rPr>
              <w:t>16</w:t>
            </w:r>
          </w:p>
        </w:tc>
        <w:tc>
          <w:tcPr>
            <w:tcW w:w="1152" w:type="dxa"/>
            <w:vAlign w:val="center"/>
          </w:tcPr>
          <w:p w14:paraId="270217A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青坑陂干渠</w:t>
            </w:r>
          </w:p>
        </w:tc>
        <w:tc>
          <w:tcPr>
            <w:tcW w:w="867" w:type="dxa"/>
            <w:vAlign w:val="center"/>
          </w:tcPr>
          <w:p w14:paraId="74AAB023">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矩形渠道</w:t>
            </w:r>
          </w:p>
        </w:tc>
        <w:tc>
          <w:tcPr>
            <w:tcW w:w="867" w:type="dxa"/>
            <w:vAlign w:val="center"/>
          </w:tcPr>
          <w:p w14:paraId="2C186B3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夏坪镇口前山村</w:t>
            </w:r>
          </w:p>
        </w:tc>
        <w:tc>
          <w:tcPr>
            <w:tcW w:w="1566" w:type="dxa"/>
            <w:vAlign w:val="center"/>
          </w:tcPr>
          <w:p w14:paraId="66A1E03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114.28300541</w:t>
            </w:r>
            <w:r>
              <w:rPr>
                <w:rFonts w:hint="eastAsia" w:ascii="宋体" w:hAnsi="宋体" w:eastAsia="宋体" w:cs="宋体"/>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26.72870410</w:t>
            </w:r>
          </w:p>
        </w:tc>
        <w:tc>
          <w:tcPr>
            <w:tcW w:w="1115" w:type="dxa"/>
            <w:vAlign w:val="center"/>
          </w:tcPr>
          <w:p w14:paraId="37595AF5">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雷达明渠流量计</w:t>
            </w:r>
          </w:p>
        </w:tc>
        <w:tc>
          <w:tcPr>
            <w:tcW w:w="619" w:type="dxa"/>
            <w:vAlign w:val="center"/>
          </w:tcPr>
          <w:p w14:paraId="12F52B7E">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新建</w:t>
            </w:r>
          </w:p>
        </w:tc>
      </w:tr>
      <w:tr w14:paraId="327A4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continue"/>
            <w:vAlign w:val="center"/>
          </w:tcPr>
          <w:p w14:paraId="6F72F317">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5" w:type="dxa"/>
            <w:vMerge w:val="continue"/>
            <w:vAlign w:val="center"/>
          </w:tcPr>
          <w:p w14:paraId="7B5E3FC1">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6A56BC88">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val="0"/>
                <w:bCs w:val="0"/>
                <w:color w:val="auto"/>
                <w:kern w:val="0"/>
                <w:sz w:val="24"/>
                <w:szCs w:val="24"/>
                <w:vertAlign w:val="baseline"/>
                <w:lang w:val="en-US" w:eastAsia="zh-CN" w:bidi="ar"/>
              </w:rPr>
            </w:pPr>
            <w:r>
              <w:rPr>
                <w:rFonts w:hint="eastAsia" w:ascii="宋体" w:hAnsi="宋体" w:eastAsia="宋体" w:cs="宋体"/>
                <w:b w:val="0"/>
                <w:bCs w:val="0"/>
                <w:color w:val="auto"/>
                <w:kern w:val="0"/>
                <w:sz w:val="24"/>
                <w:szCs w:val="24"/>
                <w:vertAlign w:val="baseline"/>
                <w:lang w:val="en-US" w:eastAsia="zh-CN" w:bidi="ar"/>
              </w:rPr>
              <w:t>17</w:t>
            </w:r>
          </w:p>
        </w:tc>
        <w:tc>
          <w:tcPr>
            <w:tcW w:w="1152" w:type="dxa"/>
            <w:vAlign w:val="center"/>
          </w:tcPr>
          <w:p w14:paraId="67768CC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 xml:space="preserve">3 </w:t>
            </w:r>
            <w:r>
              <w:rPr>
                <w:rFonts w:hint="eastAsia" w:ascii="宋体" w:hAnsi="宋体" w:eastAsia="宋体" w:cs="宋体"/>
                <w:color w:val="auto"/>
                <w:kern w:val="0"/>
                <w:sz w:val="24"/>
                <w:szCs w:val="24"/>
                <w:lang w:val="en-US" w:eastAsia="zh-CN" w:bidi="ar"/>
              </w:rPr>
              <w:t>号坝左干渠</w:t>
            </w:r>
          </w:p>
        </w:tc>
        <w:tc>
          <w:tcPr>
            <w:tcW w:w="867" w:type="dxa"/>
            <w:vAlign w:val="center"/>
          </w:tcPr>
          <w:p w14:paraId="51B326BB">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矩形渠道</w:t>
            </w:r>
          </w:p>
        </w:tc>
        <w:tc>
          <w:tcPr>
            <w:tcW w:w="867" w:type="dxa"/>
            <w:vAlign w:val="center"/>
          </w:tcPr>
          <w:p w14:paraId="5EAE36B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拿山镇胜利村</w:t>
            </w:r>
          </w:p>
        </w:tc>
        <w:tc>
          <w:tcPr>
            <w:tcW w:w="1566" w:type="dxa"/>
            <w:vAlign w:val="center"/>
          </w:tcPr>
          <w:p w14:paraId="32CA1DD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114.30626598</w:t>
            </w:r>
            <w:r>
              <w:rPr>
                <w:rFonts w:hint="eastAsia" w:ascii="宋体" w:hAnsi="宋体" w:eastAsia="宋体" w:cs="宋体"/>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26.74041156</w:t>
            </w:r>
          </w:p>
        </w:tc>
        <w:tc>
          <w:tcPr>
            <w:tcW w:w="1115" w:type="dxa"/>
            <w:vAlign w:val="center"/>
          </w:tcPr>
          <w:p w14:paraId="05F28D36">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雷达明渠流量计</w:t>
            </w:r>
          </w:p>
        </w:tc>
        <w:tc>
          <w:tcPr>
            <w:tcW w:w="619" w:type="dxa"/>
            <w:vAlign w:val="center"/>
          </w:tcPr>
          <w:p w14:paraId="62989691">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新建</w:t>
            </w:r>
          </w:p>
        </w:tc>
      </w:tr>
      <w:tr w14:paraId="3488F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continue"/>
            <w:vAlign w:val="center"/>
          </w:tcPr>
          <w:p w14:paraId="146856B3">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5" w:type="dxa"/>
            <w:vMerge w:val="continue"/>
            <w:vAlign w:val="center"/>
          </w:tcPr>
          <w:p w14:paraId="7F372ACB">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3A9039DD">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val="0"/>
                <w:bCs w:val="0"/>
                <w:color w:val="auto"/>
                <w:kern w:val="0"/>
                <w:sz w:val="24"/>
                <w:szCs w:val="24"/>
                <w:vertAlign w:val="baseline"/>
                <w:lang w:val="en-US" w:eastAsia="zh-CN" w:bidi="ar"/>
              </w:rPr>
            </w:pPr>
            <w:r>
              <w:rPr>
                <w:rFonts w:hint="eastAsia" w:ascii="宋体" w:hAnsi="宋体" w:eastAsia="宋体" w:cs="宋体"/>
                <w:b w:val="0"/>
                <w:bCs w:val="0"/>
                <w:color w:val="auto"/>
                <w:kern w:val="0"/>
                <w:sz w:val="24"/>
                <w:szCs w:val="24"/>
                <w:vertAlign w:val="baseline"/>
                <w:lang w:val="en-US" w:eastAsia="zh-CN" w:bidi="ar"/>
              </w:rPr>
              <w:t>18</w:t>
            </w:r>
          </w:p>
        </w:tc>
        <w:tc>
          <w:tcPr>
            <w:tcW w:w="1152" w:type="dxa"/>
            <w:vAlign w:val="center"/>
          </w:tcPr>
          <w:p w14:paraId="084F67A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 xml:space="preserve">3 </w:t>
            </w:r>
            <w:r>
              <w:rPr>
                <w:rFonts w:hint="eastAsia" w:ascii="宋体" w:hAnsi="宋体" w:eastAsia="宋体" w:cs="宋体"/>
                <w:color w:val="auto"/>
                <w:kern w:val="0"/>
                <w:sz w:val="24"/>
                <w:szCs w:val="24"/>
                <w:lang w:val="en-US" w:eastAsia="zh-CN" w:bidi="ar"/>
              </w:rPr>
              <w:t>号坝右干渠</w:t>
            </w:r>
          </w:p>
        </w:tc>
        <w:tc>
          <w:tcPr>
            <w:tcW w:w="867" w:type="dxa"/>
            <w:vAlign w:val="center"/>
          </w:tcPr>
          <w:p w14:paraId="3E859142">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矩形渠道</w:t>
            </w:r>
          </w:p>
        </w:tc>
        <w:tc>
          <w:tcPr>
            <w:tcW w:w="867" w:type="dxa"/>
            <w:vAlign w:val="center"/>
          </w:tcPr>
          <w:p w14:paraId="70A1B99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拿山镇胜利村</w:t>
            </w:r>
          </w:p>
        </w:tc>
        <w:tc>
          <w:tcPr>
            <w:tcW w:w="1566" w:type="dxa"/>
            <w:vAlign w:val="center"/>
          </w:tcPr>
          <w:p w14:paraId="6D2ADD7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114.30580400</w:t>
            </w:r>
            <w:r>
              <w:rPr>
                <w:rFonts w:hint="eastAsia" w:ascii="宋体" w:hAnsi="宋体" w:eastAsia="宋体" w:cs="宋体"/>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26.73949813</w:t>
            </w:r>
          </w:p>
        </w:tc>
        <w:tc>
          <w:tcPr>
            <w:tcW w:w="1115" w:type="dxa"/>
            <w:vAlign w:val="center"/>
          </w:tcPr>
          <w:p w14:paraId="41060D54">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雷达明渠流量计</w:t>
            </w:r>
          </w:p>
        </w:tc>
        <w:tc>
          <w:tcPr>
            <w:tcW w:w="619" w:type="dxa"/>
            <w:vAlign w:val="center"/>
          </w:tcPr>
          <w:p w14:paraId="7BE832E7">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新建</w:t>
            </w:r>
          </w:p>
        </w:tc>
      </w:tr>
      <w:tr w14:paraId="18B34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continue"/>
            <w:vAlign w:val="center"/>
          </w:tcPr>
          <w:p w14:paraId="21C25E2E">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5" w:type="dxa"/>
            <w:vMerge w:val="continue"/>
            <w:vAlign w:val="center"/>
          </w:tcPr>
          <w:p w14:paraId="1BBCECB4">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6C2F4880">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val="0"/>
                <w:bCs w:val="0"/>
                <w:color w:val="auto"/>
                <w:kern w:val="0"/>
                <w:sz w:val="24"/>
                <w:szCs w:val="24"/>
                <w:vertAlign w:val="baseline"/>
                <w:lang w:val="en-US" w:eastAsia="zh-CN" w:bidi="ar"/>
              </w:rPr>
            </w:pPr>
            <w:r>
              <w:rPr>
                <w:rFonts w:hint="eastAsia" w:ascii="宋体" w:hAnsi="宋体" w:eastAsia="宋体" w:cs="宋体"/>
                <w:b w:val="0"/>
                <w:bCs w:val="0"/>
                <w:color w:val="auto"/>
                <w:kern w:val="0"/>
                <w:sz w:val="24"/>
                <w:szCs w:val="24"/>
                <w:vertAlign w:val="baseline"/>
                <w:lang w:val="en-US" w:eastAsia="zh-CN" w:bidi="ar"/>
              </w:rPr>
              <w:t>19</w:t>
            </w:r>
          </w:p>
        </w:tc>
        <w:tc>
          <w:tcPr>
            <w:tcW w:w="1152" w:type="dxa"/>
            <w:vAlign w:val="center"/>
          </w:tcPr>
          <w:p w14:paraId="505607D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 xml:space="preserve">贵溪 </w:t>
            </w:r>
            <w:r>
              <w:rPr>
                <w:rFonts w:hint="default" w:ascii="Times New Roman" w:hAnsi="Times New Roman" w:eastAsia="宋体" w:cs="Times New Roman"/>
                <w:color w:val="auto"/>
                <w:kern w:val="0"/>
                <w:sz w:val="24"/>
                <w:szCs w:val="24"/>
                <w:lang w:val="en-US" w:eastAsia="zh-CN" w:bidi="ar"/>
              </w:rPr>
              <w:t xml:space="preserve">3 </w:t>
            </w:r>
            <w:r>
              <w:rPr>
                <w:rFonts w:hint="eastAsia" w:ascii="宋体" w:hAnsi="宋体" w:eastAsia="宋体" w:cs="宋体"/>
                <w:color w:val="auto"/>
                <w:kern w:val="0"/>
                <w:sz w:val="24"/>
                <w:szCs w:val="24"/>
                <w:lang w:val="en-US" w:eastAsia="zh-CN" w:bidi="ar"/>
              </w:rPr>
              <w:t>号坝干渠</w:t>
            </w:r>
          </w:p>
        </w:tc>
        <w:tc>
          <w:tcPr>
            <w:tcW w:w="867" w:type="dxa"/>
            <w:vAlign w:val="center"/>
          </w:tcPr>
          <w:p w14:paraId="39E37735">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矩形渠道</w:t>
            </w:r>
          </w:p>
        </w:tc>
        <w:tc>
          <w:tcPr>
            <w:tcW w:w="867" w:type="dxa"/>
            <w:vAlign w:val="center"/>
          </w:tcPr>
          <w:p w14:paraId="1ED6E46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拿山镇贵溪村</w:t>
            </w:r>
          </w:p>
        </w:tc>
        <w:tc>
          <w:tcPr>
            <w:tcW w:w="1566" w:type="dxa"/>
            <w:vAlign w:val="center"/>
          </w:tcPr>
          <w:p w14:paraId="3FFD75A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114.31370321</w:t>
            </w:r>
            <w:r>
              <w:rPr>
                <w:rFonts w:hint="eastAsia" w:ascii="宋体" w:hAnsi="宋体" w:eastAsia="宋体" w:cs="宋体"/>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26.75205362</w:t>
            </w:r>
          </w:p>
        </w:tc>
        <w:tc>
          <w:tcPr>
            <w:tcW w:w="1115" w:type="dxa"/>
            <w:vAlign w:val="center"/>
          </w:tcPr>
          <w:p w14:paraId="6067AB8F">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雷达明渠流量计</w:t>
            </w:r>
          </w:p>
        </w:tc>
        <w:tc>
          <w:tcPr>
            <w:tcW w:w="619" w:type="dxa"/>
            <w:vAlign w:val="center"/>
          </w:tcPr>
          <w:p w14:paraId="5DC5875D">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新建</w:t>
            </w:r>
          </w:p>
        </w:tc>
      </w:tr>
      <w:tr w14:paraId="78191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continue"/>
            <w:vAlign w:val="center"/>
          </w:tcPr>
          <w:p w14:paraId="4FF51A44">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5" w:type="dxa"/>
            <w:vMerge w:val="continue"/>
            <w:vAlign w:val="center"/>
          </w:tcPr>
          <w:p w14:paraId="758FD3D9">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39961859">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val="0"/>
                <w:bCs w:val="0"/>
                <w:color w:val="auto"/>
                <w:kern w:val="0"/>
                <w:sz w:val="24"/>
                <w:szCs w:val="24"/>
                <w:vertAlign w:val="baseline"/>
                <w:lang w:val="en-US" w:eastAsia="zh-CN" w:bidi="ar"/>
              </w:rPr>
            </w:pPr>
            <w:r>
              <w:rPr>
                <w:rFonts w:hint="eastAsia" w:ascii="宋体" w:hAnsi="宋体" w:eastAsia="宋体" w:cs="宋体"/>
                <w:b w:val="0"/>
                <w:bCs w:val="0"/>
                <w:color w:val="auto"/>
                <w:kern w:val="0"/>
                <w:sz w:val="24"/>
                <w:szCs w:val="24"/>
                <w:vertAlign w:val="baseline"/>
                <w:lang w:val="en-US" w:eastAsia="zh-CN" w:bidi="ar"/>
              </w:rPr>
              <w:t>20</w:t>
            </w:r>
          </w:p>
        </w:tc>
        <w:tc>
          <w:tcPr>
            <w:tcW w:w="1152" w:type="dxa"/>
            <w:vAlign w:val="center"/>
          </w:tcPr>
          <w:p w14:paraId="6123720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 xml:space="preserve">贵溪 </w:t>
            </w:r>
            <w:r>
              <w:rPr>
                <w:rFonts w:hint="default" w:ascii="Times New Roman" w:hAnsi="Times New Roman" w:eastAsia="宋体" w:cs="Times New Roman"/>
                <w:color w:val="auto"/>
                <w:kern w:val="0"/>
                <w:sz w:val="24"/>
                <w:szCs w:val="24"/>
                <w:lang w:val="en-US" w:eastAsia="zh-CN" w:bidi="ar"/>
              </w:rPr>
              <w:t xml:space="preserve">2 </w:t>
            </w:r>
            <w:r>
              <w:rPr>
                <w:rFonts w:hint="eastAsia" w:ascii="宋体" w:hAnsi="宋体" w:eastAsia="宋体" w:cs="宋体"/>
                <w:color w:val="auto"/>
                <w:kern w:val="0"/>
                <w:sz w:val="24"/>
                <w:szCs w:val="24"/>
                <w:lang w:val="en-US" w:eastAsia="zh-CN" w:bidi="ar"/>
              </w:rPr>
              <w:t>号坝干渠</w:t>
            </w:r>
          </w:p>
        </w:tc>
        <w:tc>
          <w:tcPr>
            <w:tcW w:w="867" w:type="dxa"/>
            <w:vAlign w:val="center"/>
          </w:tcPr>
          <w:p w14:paraId="1A0D67A8">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矩形渠道</w:t>
            </w:r>
          </w:p>
        </w:tc>
        <w:tc>
          <w:tcPr>
            <w:tcW w:w="867" w:type="dxa"/>
            <w:vAlign w:val="center"/>
          </w:tcPr>
          <w:p w14:paraId="573C310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拿山镇贵溪村</w:t>
            </w:r>
          </w:p>
        </w:tc>
        <w:tc>
          <w:tcPr>
            <w:tcW w:w="1566" w:type="dxa"/>
            <w:vAlign w:val="center"/>
          </w:tcPr>
          <w:p w14:paraId="426F401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114.31291154</w:t>
            </w:r>
            <w:r>
              <w:rPr>
                <w:rFonts w:hint="eastAsia" w:ascii="宋体" w:hAnsi="宋体" w:eastAsia="宋体" w:cs="宋体"/>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26.75532183</w:t>
            </w:r>
          </w:p>
        </w:tc>
        <w:tc>
          <w:tcPr>
            <w:tcW w:w="1115" w:type="dxa"/>
            <w:vAlign w:val="center"/>
          </w:tcPr>
          <w:p w14:paraId="750CDA5E">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雷达明渠流量计</w:t>
            </w:r>
          </w:p>
        </w:tc>
        <w:tc>
          <w:tcPr>
            <w:tcW w:w="619" w:type="dxa"/>
            <w:vAlign w:val="center"/>
          </w:tcPr>
          <w:p w14:paraId="72F7335A">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新建</w:t>
            </w:r>
          </w:p>
        </w:tc>
      </w:tr>
      <w:tr w14:paraId="38A71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continue"/>
            <w:vAlign w:val="center"/>
          </w:tcPr>
          <w:p w14:paraId="259AB7C7">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5" w:type="dxa"/>
            <w:vMerge w:val="continue"/>
            <w:vAlign w:val="center"/>
          </w:tcPr>
          <w:p w14:paraId="23D3888D">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7779C4D1">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val="0"/>
                <w:bCs w:val="0"/>
                <w:color w:val="auto"/>
                <w:kern w:val="0"/>
                <w:sz w:val="24"/>
                <w:szCs w:val="24"/>
                <w:vertAlign w:val="baseline"/>
                <w:lang w:val="en-US" w:eastAsia="zh-CN" w:bidi="ar"/>
              </w:rPr>
            </w:pPr>
            <w:r>
              <w:rPr>
                <w:rFonts w:hint="eastAsia" w:ascii="宋体" w:hAnsi="宋体" w:eastAsia="宋体" w:cs="宋体"/>
                <w:b w:val="0"/>
                <w:bCs w:val="0"/>
                <w:color w:val="auto"/>
                <w:kern w:val="0"/>
                <w:sz w:val="24"/>
                <w:szCs w:val="24"/>
                <w:vertAlign w:val="baseline"/>
                <w:lang w:val="en-US" w:eastAsia="zh-CN" w:bidi="ar"/>
              </w:rPr>
              <w:t>21</w:t>
            </w:r>
          </w:p>
        </w:tc>
        <w:tc>
          <w:tcPr>
            <w:tcW w:w="1152" w:type="dxa"/>
            <w:vAlign w:val="center"/>
          </w:tcPr>
          <w:p w14:paraId="433CA69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 xml:space="preserve">贵溪 </w:t>
            </w:r>
            <w:r>
              <w:rPr>
                <w:rFonts w:hint="default" w:ascii="Times New Roman" w:hAnsi="Times New Roman" w:eastAsia="宋体" w:cs="Times New Roman"/>
                <w:color w:val="auto"/>
                <w:kern w:val="0"/>
                <w:sz w:val="24"/>
                <w:szCs w:val="24"/>
                <w:lang w:val="en-US" w:eastAsia="zh-CN" w:bidi="ar"/>
              </w:rPr>
              <w:t xml:space="preserve">1 </w:t>
            </w:r>
            <w:r>
              <w:rPr>
                <w:rFonts w:hint="eastAsia" w:ascii="宋体" w:hAnsi="宋体" w:eastAsia="宋体" w:cs="宋体"/>
                <w:color w:val="auto"/>
                <w:kern w:val="0"/>
                <w:sz w:val="24"/>
                <w:szCs w:val="24"/>
                <w:lang w:val="en-US" w:eastAsia="zh-CN" w:bidi="ar"/>
              </w:rPr>
              <w:t>号坝干渠</w:t>
            </w:r>
          </w:p>
        </w:tc>
        <w:tc>
          <w:tcPr>
            <w:tcW w:w="867" w:type="dxa"/>
            <w:vAlign w:val="center"/>
          </w:tcPr>
          <w:p w14:paraId="7ED6479E">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矩形渠道</w:t>
            </w:r>
          </w:p>
        </w:tc>
        <w:tc>
          <w:tcPr>
            <w:tcW w:w="867" w:type="dxa"/>
            <w:vAlign w:val="center"/>
          </w:tcPr>
          <w:p w14:paraId="7E374CC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拿山镇贵溪村</w:t>
            </w:r>
          </w:p>
        </w:tc>
        <w:tc>
          <w:tcPr>
            <w:tcW w:w="1566" w:type="dxa"/>
            <w:vAlign w:val="center"/>
          </w:tcPr>
          <w:p w14:paraId="137D2B8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114.31034810</w:t>
            </w:r>
            <w:r>
              <w:rPr>
                <w:rFonts w:hint="eastAsia" w:ascii="宋体" w:hAnsi="宋体" w:eastAsia="宋体" w:cs="宋体"/>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26.75989573</w:t>
            </w:r>
          </w:p>
        </w:tc>
        <w:tc>
          <w:tcPr>
            <w:tcW w:w="1115" w:type="dxa"/>
            <w:vAlign w:val="center"/>
          </w:tcPr>
          <w:p w14:paraId="133D3817">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雷达明渠流量计</w:t>
            </w:r>
          </w:p>
        </w:tc>
        <w:tc>
          <w:tcPr>
            <w:tcW w:w="619" w:type="dxa"/>
            <w:vAlign w:val="center"/>
          </w:tcPr>
          <w:p w14:paraId="3B44818D">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新建</w:t>
            </w:r>
          </w:p>
        </w:tc>
      </w:tr>
      <w:tr w14:paraId="32216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7" w:type="dxa"/>
            <w:vMerge w:val="continue"/>
            <w:vAlign w:val="center"/>
          </w:tcPr>
          <w:p w14:paraId="71BEF31E">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865" w:type="dxa"/>
            <w:vMerge w:val="continue"/>
            <w:vAlign w:val="center"/>
          </w:tcPr>
          <w:p w14:paraId="292E2F20">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p>
        </w:tc>
        <w:tc>
          <w:tcPr>
            <w:tcW w:w="594" w:type="dxa"/>
            <w:vAlign w:val="center"/>
          </w:tcPr>
          <w:p w14:paraId="57CE5278">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default" w:ascii="宋体" w:hAnsi="宋体" w:eastAsia="宋体" w:cs="宋体"/>
                <w:b w:val="0"/>
                <w:bCs w:val="0"/>
                <w:color w:val="auto"/>
                <w:kern w:val="0"/>
                <w:sz w:val="24"/>
                <w:szCs w:val="24"/>
                <w:vertAlign w:val="baseline"/>
                <w:lang w:val="en-US" w:eastAsia="zh-CN" w:bidi="ar"/>
              </w:rPr>
            </w:pPr>
            <w:r>
              <w:rPr>
                <w:rFonts w:hint="eastAsia" w:ascii="宋体" w:hAnsi="宋体" w:eastAsia="宋体" w:cs="宋体"/>
                <w:b w:val="0"/>
                <w:bCs w:val="0"/>
                <w:color w:val="auto"/>
                <w:kern w:val="0"/>
                <w:sz w:val="24"/>
                <w:szCs w:val="24"/>
                <w:vertAlign w:val="baseline"/>
                <w:lang w:val="en-US" w:eastAsia="zh-CN" w:bidi="ar"/>
              </w:rPr>
              <w:t>22</w:t>
            </w:r>
          </w:p>
        </w:tc>
        <w:tc>
          <w:tcPr>
            <w:tcW w:w="1152" w:type="dxa"/>
            <w:vAlign w:val="center"/>
          </w:tcPr>
          <w:p w14:paraId="1D8AD2C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桃源水库干渠</w:t>
            </w:r>
          </w:p>
        </w:tc>
        <w:tc>
          <w:tcPr>
            <w:tcW w:w="867" w:type="dxa"/>
            <w:vAlign w:val="center"/>
          </w:tcPr>
          <w:p w14:paraId="3283CC25">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矩形渠道</w:t>
            </w:r>
          </w:p>
        </w:tc>
        <w:tc>
          <w:tcPr>
            <w:tcW w:w="867" w:type="dxa"/>
            <w:vAlign w:val="center"/>
          </w:tcPr>
          <w:p w14:paraId="577C348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拿山镇江边村</w:t>
            </w:r>
          </w:p>
        </w:tc>
        <w:tc>
          <w:tcPr>
            <w:tcW w:w="1566" w:type="dxa"/>
            <w:vAlign w:val="center"/>
          </w:tcPr>
          <w:p w14:paraId="445CA2D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default" w:ascii="Times New Roman" w:hAnsi="Times New Roman" w:eastAsia="宋体" w:cs="Times New Roman"/>
                <w:color w:val="auto"/>
                <w:kern w:val="0"/>
                <w:sz w:val="24"/>
                <w:szCs w:val="24"/>
                <w:lang w:val="en-US" w:eastAsia="zh-CN" w:bidi="ar"/>
              </w:rPr>
              <w:t>114.33060846</w:t>
            </w:r>
            <w:r>
              <w:rPr>
                <w:rFonts w:hint="eastAsia" w:ascii="宋体" w:hAnsi="宋体" w:eastAsia="宋体" w:cs="宋体"/>
                <w:color w:val="auto"/>
                <w:kern w:val="0"/>
                <w:sz w:val="24"/>
                <w:szCs w:val="24"/>
                <w:lang w:val="en-US" w:eastAsia="zh-CN" w:bidi="ar"/>
              </w:rPr>
              <w:t>，</w:t>
            </w:r>
            <w:r>
              <w:rPr>
                <w:rFonts w:hint="default" w:ascii="Times New Roman" w:hAnsi="Times New Roman" w:eastAsia="宋体" w:cs="Times New Roman"/>
                <w:color w:val="auto"/>
                <w:kern w:val="0"/>
                <w:sz w:val="24"/>
                <w:szCs w:val="24"/>
                <w:lang w:val="en-US" w:eastAsia="zh-CN" w:bidi="ar"/>
              </w:rPr>
              <w:t>26.75747186</w:t>
            </w:r>
          </w:p>
        </w:tc>
        <w:tc>
          <w:tcPr>
            <w:tcW w:w="1115" w:type="dxa"/>
            <w:vAlign w:val="center"/>
          </w:tcPr>
          <w:p w14:paraId="3079FF76">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雷达明渠流量计</w:t>
            </w:r>
          </w:p>
        </w:tc>
        <w:tc>
          <w:tcPr>
            <w:tcW w:w="619" w:type="dxa"/>
            <w:vAlign w:val="center"/>
          </w:tcPr>
          <w:p w14:paraId="47FE29F6">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b/>
                <w:bCs/>
                <w:color w:val="auto"/>
                <w:kern w:val="0"/>
                <w:sz w:val="24"/>
                <w:szCs w:val="24"/>
                <w:vertAlign w:val="baseline"/>
                <w:lang w:val="en-US" w:eastAsia="zh-CN" w:bidi="ar"/>
              </w:rPr>
            </w:pPr>
            <w:r>
              <w:rPr>
                <w:rFonts w:hint="eastAsia" w:ascii="宋体" w:hAnsi="宋体" w:eastAsia="宋体" w:cs="宋体"/>
                <w:color w:val="auto"/>
                <w:kern w:val="0"/>
                <w:sz w:val="24"/>
                <w:szCs w:val="24"/>
                <w:lang w:val="en-US" w:eastAsia="zh-CN" w:bidi="ar"/>
              </w:rPr>
              <w:t>新建</w:t>
            </w:r>
          </w:p>
        </w:tc>
      </w:tr>
    </w:tbl>
    <w:p w14:paraId="27B9A989">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Chars="0"/>
        <w:jc w:val="left"/>
        <w:textAlignment w:val="auto"/>
        <w:rPr>
          <w:rFonts w:hint="eastAsia" w:ascii="宋体" w:hAnsi="宋体" w:eastAsia="宋体" w:cs="宋体"/>
          <w:b/>
          <w:bCs/>
          <w:color w:val="auto"/>
          <w:kern w:val="0"/>
          <w:sz w:val="28"/>
          <w:szCs w:val="28"/>
          <w:lang w:val="en-US" w:eastAsia="zh-CN" w:bidi="ar"/>
        </w:rPr>
      </w:pPr>
      <w:r>
        <w:rPr>
          <w:rFonts w:hint="eastAsia" w:ascii="宋体" w:hAnsi="宋体" w:eastAsia="宋体" w:cs="宋体"/>
          <w:b/>
          <w:bCs/>
          <w:color w:val="auto"/>
          <w:kern w:val="0"/>
          <w:sz w:val="28"/>
          <w:szCs w:val="28"/>
          <w:lang w:val="en-US" w:eastAsia="zh-CN" w:bidi="ar"/>
        </w:rPr>
        <w:t>5、雷达明渠流量计</w:t>
      </w:r>
    </w:p>
    <w:p w14:paraId="07D34178">
      <w:pPr>
        <w:keepNext w:val="0"/>
        <w:keepLines w:val="0"/>
        <w:pageBreakBefore w:val="0"/>
        <w:widowControl/>
        <w:numPr>
          <w:ilvl w:val="0"/>
          <w:numId w:val="0"/>
        </w:numPr>
        <w:suppressLineNumbers w:val="0"/>
        <w:wordWrap/>
        <w:overflowPunct/>
        <w:topLinePunct w:val="0"/>
        <w:bidi w:val="0"/>
        <w:spacing w:line="360" w:lineRule="auto"/>
        <w:ind w:firstLine="560" w:firstLineChars="200"/>
        <w:jc w:val="left"/>
        <w:rPr>
          <w:rFonts w:hint="eastAsia" w:ascii="宋体" w:hAnsi="宋体" w:eastAsia="宋体" w:cs="宋体"/>
          <w:color w:val="auto"/>
          <w:kern w:val="0"/>
          <w:sz w:val="28"/>
          <w:szCs w:val="28"/>
          <w:lang w:val="en-US" w:eastAsia="zh-CN" w:bidi="ar"/>
        </w:rPr>
      </w:pPr>
      <w:r>
        <w:rPr>
          <w:rFonts w:hint="eastAsia" w:ascii="宋体" w:hAnsi="宋体" w:eastAsia="宋体" w:cs="宋体"/>
          <w:color w:val="auto"/>
          <w:kern w:val="0"/>
          <w:sz w:val="28"/>
          <w:szCs w:val="28"/>
          <w:lang w:val="en-US" w:eastAsia="zh-CN" w:bidi="ar"/>
        </w:rPr>
        <w:t>1、雷达流速仪属于非接触式测量设备，仅能测量流体的表面流速，无法获得流体的内部流速，且由此产生的误差可能会相当大。因此，在实际使用时要采用多种方式进行校准。建立表面流速与内部流速的相关关系，并采用校准公式推算平均流速。同时雷过流速仪安装时不宜距离水面太近，适合测量较宽的渠道。</w:t>
      </w:r>
    </w:p>
    <w:p w14:paraId="2ED32C64">
      <w:pPr>
        <w:keepNext w:val="0"/>
        <w:keepLines w:val="0"/>
        <w:pageBreakBefore w:val="0"/>
        <w:widowControl/>
        <w:numPr>
          <w:ilvl w:val="0"/>
          <w:numId w:val="0"/>
        </w:numPr>
        <w:suppressLineNumbers w:val="0"/>
        <w:wordWrap/>
        <w:overflowPunct/>
        <w:topLinePunct w:val="0"/>
        <w:bidi w:val="0"/>
        <w:spacing w:line="360" w:lineRule="auto"/>
        <w:ind w:firstLine="560" w:firstLineChars="200"/>
        <w:jc w:val="left"/>
        <w:rPr>
          <w:color w:val="auto"/>
        </w:rPr>
      </w:pPr>
      <w:r>
        <w:rPr>
          <w:rFonts w:hint="eastAsia" w:ascii="宋体" w:hAnsi="宋体" w:eastAsia="宋体" w:cs="宋体"/>
          <w:color w:val="auto"/>
          <w:kern w:val="0"/>
          <w:sz w:val="28"/>
          <w:szCs w:val="28"/>
          <w:lang w:val="en-US" w:eastAsia="zh-CN" w:bidi="ar"/>
        </w:rPr>
        <w:t>2、防地雷设计</w:t>
      </w:r>
    </w:p>
    <w:p w14:paraId="6E1A88E0">
      <w:pPr>
        <w:keepNext w:val="0"/>
        <w:keepLines w:val="0"/>
        <w:pageBreakBefore w:val="0"/>
        <w:widowControl/>
        <w:numPr>
          <w:ilvl w:val="0"/>
          <w:numId w:val="0"/>
        </w:numPr>
        <w:suppressLineNumbers w:val="0"/>
        <w:wordWrap/>
        <w:overflowPunct/>
        <w:topLinePunct w:val="0"/>
        <w:bidi w:val="0"/>
        <w:spacing w:line="360" w:lineRule="auto"/>
        <w:ind w:firstLine="560" w:firstLineChars="200"/>
        <w:jc w:val="left"/>
        <w:rPr>
          <w:color w:val="auto"/>
        </w:rPr>
      </w:pPr>
      <w:r>
        <w:rPr>
          <w:rFonts w:hint="eastAsia" w:ascii="宋体" w:hAnsi="宋体" w:eastAsia="宋体" w:cs="宋体"/>
          <w:color w:val="auto"/>
          <w:kern w:val="0"/>
          <w:sz w:val="28"/>
          <w:szCs w:val="28"/>
          <w:lang w:val="en-US" w:eastAsia="zh-CN" w:bidi="ar"/>
        </w:rPr>
        <w:t xml:space="preserve">雷电对测站电气设备的影响主要包括直击雷、传导雷、感应雷及开关过电压等。量测水遥测站前端设备均安装于室外，易受雷电侵袭产生高压浪涌电流，若未采取必要的防雷避雷措施，将无法保障前端设备稳定运行，可能导致设备批量损坏。 </w:t>
      </w:r>
    </w:p>
    <w:p w14:paraId="49B0955C">
      <w:pPr>
        <w:keepNext w:val="0"/>
        <w:keepLines w:val="0"/>
        <w:pageBreakBefore w:val="0"/>
        <w:widowControl/>
        <w:suppressLineNumbers w:val="0"/>
        <w:wordWrap/>
        <w:overflowPunct/>
        <w:topLinePunct w:val="0"/>
        <w:bidi w:val="0"/>
        <w:spacing w:line="360" w:lineRule="auto"/>
        <w:ind w:firstLine="560" w:firstLineChars="200"/>
        <w:jc w:val="left"/>
        <w:rPr>
          <w:rFonts w:hint="eastAsia" w:ascii="宋体" w:hAnsi="宋体" w:eastAsia="宋体" w:cs="宋体"/>
          <w:color w:val="auto"/>
          <w:kern w:val="0"/>
          <w:sz w:val="28"/>
          <w:szCs w:val="28"/>
          <w:lang w:val="en-US" w:eastAsia="zh-CN" w:bidi="ar"/>
        </w:rPr>
      </w:pPr>
      <w:r>
        <w:rPr>
          <w:rFonts w:hint="eastAsia" w:ascii="宋体" w:hAnsi="宋体" w:eastAsia="宋体" w:cs="宋体"/>
          <w:color w:val="auto"/>
          <w:kern w:val="0"/>
          <w:sz w:val="28"/>
          <w:szCs w:val="28"/>
          <w:lang w:val="en-US" w:eastAsia="zh-CN" w:bidi="ar"/>
        </w:rPr>
        <w:t>为规避雷电破坏风险，量测水遥测站按“</w:t>
      </w:r>
      <w:r>
        <w:rPr>
          <w:rFonts w:hint="default" w:ascii="Times New Roman" w:hAnsi="Times New Roman" w:eastAsia="宋体" w:cs="Times New Roman"/>
          <w:color w:val="auto"/>
          <w:kern w:val="0"/>
          <w:sz w:val="28"/>
          <w:szCs w:val="28"/>
          <w:lang w:val="en-US" w:eastAsia="zh-CN" w:bidi="ar"/>
        </w:rPr>
        <w:t>45</w:t>
      </w:r>
      <w:r>
        <w:rPr>
          <w:rFonts w:hint="eastAsia" w:ascii="宋体" w:hAnsi="宋体" w:eastAsia="宋体" w:cs="宋体"/>
          <w:color w:val="auto"/>
          <w:kern w:val="0"/>
          <w:sz w:val="28"/>
          <w:szCs w:val="28"/>
          <w:lang w:val="en-US" w:eastAsia="zh-CN" w:bidi="ar"/>
        </w:rPr>
        <w:t>°全覆盖防护范围”设置避雷针，通过专用接地电缆引接至接地网；核心重要设施根据实际需求增设隔离稳压电源，进一步提升防雷保护等级。</w:t>
      </w:r>
    </w:p>
    <w:p w14:paraId="0B6F491E">
      <w:pPr>
        <w:keepNext w:val="0"/>
        <w:keepLines w:val="0"/>
        <w:pageBreakBefore w:val="0"/>
        <w:widowControl/>
        <w:suppressLineNumbers w:val="0"/>
        <w:wordWrap/>
        <w:overflowPunct/>
        <w:topLinePunct w:val="0"/>
        <w:bidi w:val="0"/>
        <w:spacing w:line="360" w:lineRule="auto"/>
        <w:ind w:firstLine="560" w:firstLineChars="200"/>
        <w:jc w:val="left"/>
        <w:rPr>
          <w:rFonts w:hint="eastAsia" w:ascii="宋体" w:hAnsi="宋体" w:eastAsia="宋体" w:cs="宋体"/>
          <w:color w:val="auto"/>
          <w:kern w:val="0"/>
          <w:sz w:val="28"/>
          <w:szCs w:val="28"/>
          <w:lang w:val="en-US" w:eastAsia="zh-CN" w:bidi="ar"/>
        </w:rPr>
      </w:pPr>
      <w:r>
        <w:rPr>
          <w:rFonts w:hint="eastAsia" w:ascii="宋体" w:hAnsi="宋体" w:eastAsia="宋体" w:cs="宋体"/>
          <w:color w:val="auto"/>
          <w:kern w:val="0"/>
          <w:sz w:val="28"/>
          <w:szCs w:val="28"/>
          <w:lang w:val="en-US" w:eastAsia="zh-CN" w:bidi="ar"/>
        </w:rPr>
        <w:t>3、接地网设计</w:t>
      </w:r>
    </w:p>
    <w:p w14:paraId="638CA889">
      <w:pPr>
        <w:keepNext w:val="0"/>
        <w:keepLines w:val="0"/>
        <w:pageBreakBefore w:val="0"/>
        <w:widowControl/>
        <w:suppressLineNumbers w:val="0"/>
        <w:wordWrap/>
        <w:overflowPunct/>
        <w:topLinePunct w:val="0"/>
        <w:bidi w:val="0"/>
        <w:spacing w:line="360" w:lineRule="auto"/>
        <w:ind w:firstLine="560" w:firstLineChars="200"/>
        <w:jc w:val="left"/>
        <w:rPr>
          <w:color w:val="auto"/>
        </w:rPr>
      </w:pPr>
      <w:r>
        <w:rPr>
          <w:rFonts w:hint="eastAsia" w:ascii="宋体" w:hAnsi="宋体" w:eastAsia="宋体" w:cs="宋体"/>
          <w:color w:val="auto"/>
          <w:kern w:val="0"/>
          <w:sz w:val="28"/>
          <w:szCs w:val="28"/>
          <w:lang w:val="en-US" w:eastAsia="zh-CN" w:bidi="ar"/>
        </w:rPr>
        <w:t>依据《安全防范工程技术规范》（</w:t>
      </w:r>
      <w:r>
        <w:rPr>
          <w:rFonts w:hint="default" w:ascii="Times New Roman" w:hAnsi="Times New Roman" w:eastAsia="宋体" w:cs="Times New Roman"/>
          <w:color w:val="auto"/>
          <w:kern w:val="0"/>
          <w:sz w:val="28"/>
          <w:szCs w:val="28"/>
          <w:lang w:val="en-US" w:eastAsia="zh-CN" w:bidi="ar"/>
        </w:rPr>
        <w:t>GB50348-2018</w:t>
      </w:r>
      <w:r>
        <w:rPr>
          <w:rFonts w:hint="eastAsia" w:ascii="宋体" w:hAnsi="宋体" w:eastAsia="宋体" w:cs="宋体"/>
          <w:color w:val="auto"/>
          <w:kern w:val="0"/>
          <w:sz w:val="28"/>
          <w:szCs w:val="28"/>
          <w:lang w:val="en-US" w:eastAsia="zh-CN" w:bidi="ar"/>
        </w:rPr>
        <w:t xml:space="preserve">）要求，野外 </w:t>
      </w:r>
    </w:p>
    <w:p w14:paraId="0FD3E3CB">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部署的安全防范系统，接地电阻应≤</w:t>
      </w:r>
      <w:r>
        <w:rPr>
          <w:rFonts w:hint="default" w:ascii="Times New Roman" w:hAnsi="Times New Roman" w:eastAsia="宋体" w:cs="Times New Roman"/>
          <w:color w:val="auto"/>
          <w:kern w:val="0"/>
          <w:sz w:val="28"/>
          <w:szCs w:val="28"/>
          <w:lang w:val="en-US" w:eastAsia="zh-CN" w:bidi="ar"/>
        </w:rPr>
        <w:t>10</w:t>
      </w:r>
      <w:r>
        <w:rPr>
          <w:rFonts w:hint="eastAsia" w:ascii="宋体" w:hAnsi="宋体" w:eastAsia="宋体" w:cs="宋体"/>
          <w:color w:val="auto"/>
          <w:kern w:val="0"/>
          <w:sz w:val="28"/>
          <w:szCs w:val="28"/>
          <w:lang w:val="en-US" w:eastAsia="zh-CN" w:bidi="ar"/>
        </w:rPr>
        <w:t xml:space="preserve">Ω；若部署区域为高山岩石地 </w:t>
      </w:r>
    </w:p>
    <w:p w14:paraId="73062B0C">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带，且土壤电阻率＞</w:t>
      </w:r>
      <w:r>
        <w:rPr>
          <w:rFonts w:hint="default" w:ascii="Times New Roman" w:hAnsi="Times New Roman" w:eastAsia="宋体" w:cs="Times New Roman"/>
          <w:color w:val="auto"/>
          <w:kern w:val="0"/>
          <w:sz w:val="28"/>
          <w:szCs w:val="28"/>
          <w:lang w:val="en-US" w:eastAsia="zh-CN" w:bidi="ar"/>
        </w:rPr>
        <w:t>2000</w:t>
      </w:r>
      <w:r>
        <w:rPr>
          <w:rFonts w:hint="eastAsia" w:ascii="宋体" w:hAnsi="宋体" w:eastAsia="宋体" w:cs="宋体"/>
          <w:color w:val="auto"/>
          <w:kern w:val="0"/>
          <w:sz w:val="28"/>
          <w:szCs w:val="28"/>
          <w:lang w:val="en-US" w:eastAsia="zh-CN" w:bidi="ar"/>
        </w:rPr>
        <w:t>Ω</w:t>
      </w:r>
      <w:r>
        <w:rPr>
          <w:rFonts w:ascii="MS PGothic" w:hAnsi="MS PGothic" w:eastAsia="MS PGothic" w:cs="MS PGothic"/>
          <w:color w:val="auto"/>
          <w:kern w:val="0"/>
          <w:sz w:val="28"/>
          <w:szCs w:val="28"/>
          <w:lang w:val="en-US" w:eastAsia="zh-CN" w:bidi="ar"/>
        </w:rPr>
        <w:t>・</w:t>
      </w:r>
      <w:r>
        <w:rPr>
          <w:rFonts w:hint="default" w:ascii="Times New Roman" w:hAnsi="Times New Roman" w:eastAsia="宋体" w:cs="Times New Roman"/>
          <w:color w:val="auto"/>
          <w:kern w:val="0"/>
          <w:sz w:val="28"/>
          <w:szCs w:val="28"/>
          <w:lang w:val="en-US" w:eastAsia="zh-CN" w:bidi="ar"/>
        </w:rPr>
        <w:t xml:space="preserve">m </w:t>
      </w:r>
      <w:r>
        <w:rPr>
          <w:rFonts w:hint="eastAsia" w:ascii="宋体" w:hAnsi="宋体" w:eastAsia="宋体" w:cs="宋体"/>
          <w:color w:val="auto"/>
          <w:kern w:val="0"/>
          <w:sz w:val="28"/>
          <w:szCs w:val="28"/>
          <w:lang w:val="en-US" w:eastAsia="zh-CN" w:bidi="ar"/>
        </w:rPr>
        <w:t>时，系统接地电阻可放宽至≤</w:t>
      </w:r>
      <w:r>
        <w:rPr>
          <w:rFonts w:hint="default" w:ascii="Times New Roman" w:hAnsi="Times New Roman" w:eastAsia="宋体" w:cs="Times New Roman"/>
          <w:color w:val="auto"/>
          <w:kern w:val="0"/>
          <w:sz w:val="28"/>
          <w:szCs w:val="28"/>
          <w:lang w:val="en-US" w:eastAsia="zh-CN" w:bidi="ar"/>
        </w:rPr>
        <w:t>20</w:t>
      </w:r>
      <w:r>
        <w:rPr>
          <w:rFonts w:hint="eastAsia" w:ascii="宋体" w:hAnsi="宋体" w:eastAsia="宋体" w:cs="宋体"/>
          <w:color w:val="auto"/>
          <w:kern w:val="0"/>
          <w:sz w:val="28"/>
          <w:szCs w:val="28"/>
          <w:lang w:val="en-US" w:eastAsia="zh-CN" w:bidi="ar"/>
        </w:rPr>
        <w:t xml:space="preserve">Ω。 </w:t>
      </w:r>
    </w:p>
    <w:p w14:paraId="6101C9E1">
      <w:pPr>
        <w:keepNext w:val="0"/>
        <w:keepLines w:val="0"/>
        <w:pageBreakBefore w:val="0"/>
        <w:widowControl/>
        <w:suppressLineNumbers w:val="0"/>
        <w:wordWrap/>
        <w:overflowPunct/>
        <w:topLinePunct w:val="0"/>
        <w:bidi w:val="0"/>
        <w:spacing w:line="360" w:lineRule="auto"/>
        <w:ind w:firstLine="560" w:firstLineChars="200"/>
        <w:jc w:val="left"/>
        <w:rPr>
          <w:color w:val="auto"/>
        </w:rPr>
      </w:pPr>
      <w:r>
        <w:rPr>
          <w:rFonts w:hint="eastAsia" w:ascii="宋体" w:hAnsi="宋体" w:eastAsia="宋体" w:cs="宋体"/>
          <w:color w:val="auto"/>
          <w:kern w:val="0"/>
          <w:sz w:val="28"/>
          <w:szCs w:val="28"/>
          <w:lang w:val="en-US" w:eastAsia="zh-CN" w:bidi="ar"/>
        </w:rPr>
        <w:t xml:space="preserve">量测水遥测站采用一字形接地网，具体施工规范如下：在立杆附 </w:t>
      </w:r>
    </w:p>
    <w:p w14:paraId="76C678C0">
      <w:pPr>
        <w:keepNext w:val="0"/>
        <w:keepLines w:val="0"/>
        <w:pageBreakBefore w:val="0"/>
        <w:widowControl/>
        <w:suppressLineNumbers w:val="0"/>
        <w:wordWrap/>
        <w:overflowPunct/>
        <w:topLinePunct w:val="0"/>
        <w:bidi w:val="0"/>
        <w:spacing w:line="360" w:lineRule="auto"/>
        <w:jc w:val="left"/>
        <w:rPr>
          <w:rFonts w:hint="eastAsia" w:ascii="宋体" w:hAnsi="宋体" w:eastAsia="宋体" w:cs="宋体"/>
          <w:color w:val="auto"/>
          <w:kern w:val="0"/>
          <w:sz w:val="28"/>
          <w:szCs w:val="28"/>
          <w:lang w:val="en-US" w:eastAsia="zh-CN" w:bidi="ar"/>
        </w:rPr>
      </w:pPr>
      <w:r>
        <w:rPr>
          <w:rFonts w:hint="eastAsia" w:ascii="宋体" w:hAnsi="宋体" w:eastAsia="宋体" w:cs="宋体"/>
          <w:color w:val="auto"/>
          <w:kern w:val="0"/>
          <w:sz w:val="28"/>
          <w:szCs w:val="28"/>
          <w:lang w:val="en-US" w:eastAsia="zh-CN" w:bidi="ar"/>
        </w:rPr>
        <w:t xml:space="preserve">近开挖深度 </w:t>
      </w:r>
      <w:r>
        <w:rPr>
          <w:rFonts w:hint="default" w:ascii="Times New Roman" w:hAnsi="Times New Roman" w:eastAsia="宋体" w:cs="Times New Roman"/>
          <w:color w:val="auto"/>
          <w:kern w:val="0"/>
          <w:sz w:val="28"/>
          <w:szCs w:val="28"/>
          <w:lang w:val="en-US" w:eastAsia="zh-CN" w:bidi="ar"/>
        </w:rPr>
        <w:t>60-80cm</w:t>
      </w:r>
      <w:r>
        <w:rPr>
          <w:rFonts w:hint="eastAsia" w:ascii="宋体" w:hAnsi="宋体" w:eastAsia="宋体" w:cs="宋体"/>
          <w:color w:val="auto"/>
          <w:kern w:val="0"/>
          <w:sz w:val="28"/>
          <w:szCs w:val="28"/>
          <w:lang w:val="en-US" w:eastAsia="zh-CN" w:bidi="ar"/>
        </w:rPr>
        <w:t xml:space="preserve">、长度约 </w:t>
      </w:r>
      <w:r>
        <w:rPr>
          <w:rFonts w:hint="default" w:ascii="Times New Roman" w:hAnsi="Times New Roman" w:eastAsia="宋体" w:cs="Times New Roman"/>
          <w:color w:val="auto"/>
          <w:kern w:val="0"/>
          <w:sz w:val="28"/>
          <w:szCs w:val="28"/>
          <w:lang w:val="en-US" w:eastAsia="zh-CN" w:bidi="ar"/>
        </w:rPr>
        <w:t xml:space="preserve">6m </w:t>
      </w:r>
      <w:r>
        <w:rPr>
          <w:rFonts w:hint="eastAsia" w:ascii="宋体" w:hAnsi="宋体" w:eastAsia="宋体" w:cs="宋体"/>
          <w:color w:val="auto"/>
          <w:kern w:val="0"/>
          <w:sz w:val="28"/>
          <w:szCs w:val="28"/>
          <w:lang w:val="en-US" w:eastAsia="zh-CN" w:bidi="ar"/>
        </w:rPr>
        <w:t xml:space="preserve">的接地沟；在沟体两端及中部各打入 </w:t>
      </w:r>
      <w:r>
        <w:rPr>
          <w:rFonts w:hint="default" w:ascii="Times New Roman" w:hAnsi="Times New Roman" w:eastAsia="宋体" w:cs="Times New Roman"/>
          <w:color w:val="auto"/>
          <w:kern w:val="0"/>
          <w:sz w:val="28"/>
          <w:szCs w:val="28"/>
          <w:lang w:val="en-US" w:eastAsia="zh-CN" w:bidi="ar"/>
        </w:rPr>
        <w:t xml:space="preserve">1 </w:t>
      </w:r>
      <w:r>
        <w:rPr>
          <w:rFonts w:hint="eastAsia" w:ascii="宋体" w:hAnsi="宋体" w:eastAsia="宋体" w:cs="宋体"/>
          <w:color w:val="auto"/>
          <w:kern w:val="0"/>
          <w:sz w:val="28"/>
          <w:szCs w:val="28"/>
          <w:lang w:val="en-US" w:eastAsia="zh-CN" w:bidi="ar"/>
        </w:rPr>
        <w:t xml:space="preserve">根长度 </w:t>
      </w:r>
      <w:r>
        <w:rPr>
          <w:rFonts w:hint="default" w:ascii="Times New Roman" w:hAnsi="Times New Roman" w:eastAsia="宋体" w:cs="Times New Roman"/>
          <w:color w:val="auto"/>
          <w:kern w:val="0"/>
          <w:sz w:val="28"/>
          <w:szCs w:val="28"/>
          <w:lang w:val="en-US" w:eastAsia="zh-CN" w:bidi="ar"/>
        </w:rPr>
        <w:t>1m</w:t>
      </w:r>
      <w:r>
        <w:rPr>
          <w:rFonts w:hint="eastAsia" w:ascii="宋体" w:hAnsi="宋体" w:eastAsia="宋体" w:cs="宋体"/>
          <w:color w:val="auto"/>
          <w:kern w:val="0"/>
          <w:sz w:val="28"/>
          <w:szCs w:val="28"/>
          <w:lang w:val="en-US" w:eastAsia="zh-CN" w:bidi="ar"/>
        </w:rPr>
        <w:t>、规格≥</w:t>
      </w:r>
      <w:r>
        <w:rPr>
          <w:rFonts w:hint="default" w:ascii="Times New Roman" w:hAnsi="Times New Roman" w:eastAsia="宋体" w:cs="Times New Roman"/>
          <w:color w:val="auto"/>
          <w:kern w:val="0"/>
          <w:sz w:val="28"/>
          <w:szCs w:val="28"/>
          <w:lang w:val="en-US" w:eastAsia="zh-CN" w:bidi="ar"/>
        </w:rPr>
        <w:t>40</w:t>
      </w:r>
      <w:r>
        <w:rPr>
          <w:rFonts w:hint="eastAsia" w:ascii="宋体" w:hAnsi="宋体" w:eastAsia="宋体" w:cs="宋体"/>
          <w:color w:val="auto"/>
          <w:kern w:val="0"/>
          <w:sz w:val="28"/>
          <w:szCs w:val="28"/>
          <w:lang w:val="en-US" w:eastAsia="zh-CN" w:bidi="ar"/>
        </w:rPr>
        <w:t>×</w:t>
      </w:r>
      <w:r>
        <w:rPr>
          <w:rFonts w:hint="default" w:ascii="Times New Roman" w:hAnsi="Times New Roman" w:eastAsia="宋体" w:cs="Times New Roman"/>
          <w:color w:val="auto"/>
          <w:kern w:val="0"/>
          <w:sz w:val="28"/>
          <w:szCs w:val="28"/>
          <w:lang w:val="en-US" w:eastAsia="zh-CN" w:bidi="ar"/>
        </w:rPr>
        <w:t xml:space="preserve">4mm </w:t>
      </w:r>
      <w:r>
        <w:rPr>
          <w:rFonts w:hint="eastAsia" w:ascii="宋体" w:hAnsi="宋体" w:eastAsia="宋体" w:cs="宋体"/>
          <w:color w:val="auto"/>
          <w:kern w:val="0"/>
          <w:sz w:val="28"/>
          <w:szCs w:val="28"/>
          <w:lang w:val="en-US" w:eastAsia="zh-CN" w:bidi="ar"/>
        </w:rPr>
        <w:t xml:space="preserve">的镀锌角铁（或直径 </w:t>
      </w:r>
      <w:r>
        <w:rPr>
          <w:rFonts w:hint="default" w:ascii="Times New Roman" w:hAnsi="Times New Roman" w:eastAsia="宋体" w:cs="Times New Roman"/>
          <w:color w:val="auto"/>
          <w:kern w:val="0"/>
          <w:sz w:val="28"/>
          <w:szCs w:val="28"/>
          <w:lang w:val="en-US" w:eastAsia="zh-CN" w:bidi="ar"/>
        </w:rPr>
        <w:t xml:space="preserve">12-15mm </w:t>
      </w:r>
      <w:r>
        <w:rPr>
          <w:rFonts w:hint="eastAsia" w:ascii="宋体" w:hAnsi="宋体" w:eastAsia="宋体" w:cs="宋体"/>
          <w:color w:val="auto"/>
          <w:kern w:val="0"/>
          <w:sz w:val="28"/>
          <w:szCs w:val="28"/>
          <w:lang w:val="en-US" w:eastAsia="zh-CN" w:bidi="ar"/>
        </w:rPr>
        <w:t xml:space="preserve">的 镀锌钢筋）作为垂直电极，采用镀锌扁铁焊接形成水平电极，引出地面作为接地桩（或焊接铜条引出）；采用 </w:t>
      </w:r>
      <w:r>
        <w:rPr>
          <w:rFonts w:hint="default" w:ascii="Times New Roman" w:hAnsi="Times New Roman" w:eastAsia="宋体" w:cs="Times New Roman"/>
          <w:color w:val="auto"/>
          <w:kern w:val="0"/>
          <w:sz w:val="28"/>
          <w:szCs w:val="28"/>
          <w:lang w:val="en-US" w:eastAsia="zh-CN" w:bidi="ar"/>
        </w:rPr>
        <w:t>10mm</w:t>
      </w:r>
      <w:r>
        <w:rPr>
          <w:rFonts w:hint="eastAsia" w:ascii="宋体" w:hAnsi="宋体" w:eastAsia="宋体" w:cs="宋体"/>
          <w:color w:val="auto"/>
          <w:kern w:val="0"/>
          <w:sz w:val="28"/>
          <w:szCs w:val="28"/>
          <w:lang w:val="en-US" w:eastAsia="zh-CN" w:bidi="ar"/>
        </w:rPr>
        <w:t>²双色多股绝缘铜芯线将避雷针与水平电极可靠连接；采用地阻仪检测接地电阻，需确保 ≤</w:t>
      </w:r>
      <w:r>
        <w:rPr>
          <w:rFonts w:hint="default" w:ascii="Times New Roman" w:hAnsi="Times New Roman" w:eastAsia="宋体" w:cs="Times New Roman"/>
          <w:color w:val="auto"/>
          <w:kern w:val="0"/>
          <w:sz w:val="28"/>
          <w:szCs w:val="28"/>
          <w:lang w:val="en-US" w:eastAsia="zh-CN" w:bidi="ar"/>
        </w:rPr>
        <w:t>10</w:t>
      </w:r>
      <w:r>
        <w:rPr>
          <w:rFonts w:hint="eastAsia" w:ascii="宋体" w:hAnsi="宋体" w:eastAsia="宋体" w:cs="宋体"/>
          <w:color w:val="auto"/>
          <w:kern w:val="0"/>
          <w:sz w:val="28"/>
          <w:szCs w:val="28"/>
          <w:lang w:val="en-US" w:eastAsia="zh-CN" w:bidi="ar"/>
        </w:rPr>
        <w:t>Ω；若不满足要求，需通过加长接地沟、加密垂直电极，或在接地沟内铺设木炭粉、石墨粉、长效降阻剂等降阻材料进行处理，直至接地电阻达标。</w:t>
      </w:r>
    </w:p>
    <w:p w14:paraId="28CE5376">
      <w:pPr>
        <w:keepNext w:val="0"/>
        <w:keepLines w:val="0"/>
        <w:pageBreakBefore w:val="0"/>
        <w:widowControl/>
        <w:suppressLineNumbers w:val="0"/>
        <w:wordWrap/>
        <w:overflowPunct/>
        <w:topLinePunct w:val="0"/>
        <w:bidi w:val="0"/>
        <w:spacing w:line="360" w:lineRule="auto"/>
        <w:jc w:val="center"/>
        <w:rPr>
          <w:rFonts w:hint="default" w:ascii="宋体" w:hAnsi="宋体" w:eastAsia="宋体" w:cs="宋体"/>
          <w:color w:val="auto"/>
          <w:kern w:val="0"/>
          <w:sz w:val="28"/>
          <w:szCs w:val="28"/>
          <w:lang w:val="en-US" w:eastAsia="zh-CN" w:bidi="ar"/>
        </w:rPr>
      </w:pPr>
      <w:r>
        <w:rPr>
          <w:rFonts w:hint="default" w:ascii="宋体" w:hAnsi="宋体" w:eastAsia="宋体" w:cs="宋体"/>
          <w:color w:val="auto"/>
          <w:kern w:val="0"/>
          <w:sz w:val="28"/>
          <w:szCs w:val="28"/>
          <w:lang w:val="en-US" w:eastAsia="zh-CN" w:bidi="ar"/>
        </w:rPr>
        <w:drawing>
          <wp:inline distT="0" distB="0" distL="114300" distR="114300">
            <wp:extent cx="3762375" cy="1504950"/>
            <wp:effectExtent l="0" t="0" r="9525" b="0"/>
            <wp:docPr id="1" name="图片 1" descr="d8d3f72c-ca18-4da7-b1ca-e23bbe7039f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8d3f72c-ca18-4da7-b1ca-e23bbe7039fb"/>
                    <pic:cNvPicPr>
                      <a:picLocks noChangeAspect="1"/>
                    </pic:cNvPicPr>
                  </pic:nvPicPr>
                  <pic:blipFill>
                    <a:blip r:embed="rId4"/>
                    <a:stretch>
                      <a:fillRect/>
                    </a:stretch>
                  </pic:blipFill>
                  <pic:spPr>
                    <a:xfrm>
                      <a:off x="0" y="0"/>
                      <a:ext cx="3762375" cy="1504950"/>
                    </a:xfrm>
                    <a:prstGeom prst="rect">
                      <a:avLst/>
                    </a:prstGeom>
                  </pic:spPr>
                </pic:pic>
              </a:graphicData>
            </a:graphic>
          </wp:inline>
        </w:drawing>
      </w:r>
    </w:p>
    <w:p w14:paraId="595B6D5F">
      <w:pPr>
        <w:keepNext w:val="0"/>
        <w:keepLines w:val="0"/>
        <w:pageBreakBefore w:val="0"/>
        <w:widowControl/>
        <w:suppressLineNumbers w:val="0"/>
        <w:wordWrap/>
        <w:overflowPunct/>
        <w:topLinePunct w:val="0"/>
        <w:bidi w:val="0"/>
        <w:spacing w:line="360" w:lineRule="auto"/>
        <w:jc w:val="center"/>
        <w:rPr>
          <w:rFonts w:hint="eastAsia" w:ascii="宋体" w:hAnsi="宋体" w:eastAsia="宋体" w:cs="宋体"/>
          <w:color w:val="auto"/>
          <w:kern w:val="0"/>
          <w:sz w:val="28"/>
          <w:szCs w:val="28"/>
          <w:lang w:val="en-US" w:eastAsia="zh-CN" w:bidi="ar"/>
        </w:rPr>
      </w:pPr>
      <w:r>
        <w:rPr>
          <w:rFonts w:hint="eastAsia" w:ascii="宋体" w:hAnsi="宋体" w:eastAsia="宋体" w:cs="宋体"/>
          <w:color w:val="auto"/>
          <w:kern w:val="0"/>
          <w:sz w:val="28"/>
          <w:szCs w:val="28"/>
          <w:lang w:val="en-US" w:eastAsia="zh-CN" w:bidi="ar"/>
        </w:rPr>
        <w:t>接地网示意图</w:t>
      </w:r>
    </w:p>
    <w:p w14:paraId="55D8BA81">
      <w:pPr>
        <w:keepNext w:val="0"/>
        <w:keepLines w:val="0"/>
        <w:pageBreakBefore w:val="0"/>
        <w:widowControl/>
        <w:numPr>
          <w:ilvl w:val="0"/>
          <w:numId w:val="0"/>
        </w:numPr>
        <w:suppressLineNumbers w:val="0"/>
        <w:wordWrap/>
        <w:overflowPunct/>
        <w:topLinePunct w:val="0"/>
        <w:bidi w:val="0"/>
        <w:spacing w:line="360" w:lineRule="auto"/>
        <w:ind w:leftChars="0"/>
        <w:jc w:val="both"/>
        <w:rPr>
          <w:rFonts w:hint="eastAsia" w:ascii="宋体" w:hAnsi="宋体" w:eastAsia="宋体" w:cs="宋体"/>
          <w:b/>
          <w:bCs/>
          <w:color w:val="auto"/>
          <w:kern w:val="0"/>
          <w:sz w:val="28"/>
          <w:szCs w:val="28"/>
          <w:lang w:val="en-US" w:eastAsia="zh-CN" w:bidi="ar"/>
        </w:rPr>
      </w:pPr>
      <w:r>
        <w:rPr>
          <w:rFonts w:hint="eastAsia" w:ascii="宋体" w:hAnsi="宋体" w:eastAsia="宋体" w:cs="宋体"/>
          <w:b/>
          <w:bCs/>
          <w:color w:val="auto"/>
          <w:kern w:val="0"/>
          <w:sz w:val="28"/>
          <w:szCs w:val="28"/>
          <w:lang w:val="en-US" w:eastAsia="zh-CN" w:bidi="ar"/>
        </w:rPr>
        <w:t>6、采购清单</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4"/>
        <w:gridCol w:w="1483"/>
        <w:gridCol w:w="4667"/>
        <w:gridCol w:w="1000"/>
        <w:gridCol w:w="708"/>
      </w:tblGrid>
      <w:tr w14:paraId="76663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5"/>
          </w:tcPr>
          <w:p w14:paraId="0D327DF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color w:val="auto"/>
                <w:sz w:val="24"/>
                <w:szCs w:val="24"/>
                <w:vertAlign w:val="baseline"/>
              </w:rPr>
              <w:t>计量设施建设</w:t>
            </w:r>
          </w:p>
        </w:tc>
      </w:tr>
      <w:tr w14:paraId="28AA2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27523FD9">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eastAsiaTheme="minorEastAsia"/>
                <w:color w:val="auto"/>
                <w:sz w:val="24"/>
                <w:szCs w:val="24"/>
                <w:vertAlign w:val="baseline"/>
                <w:lang w:val="en-US" w:eastAsia="zh-CN"/>
              </w:rPr>
            </w:pPr>
            <w:r>
              <w:rPr>
                <w:rFonts w:hint="eastAsia"/>
                <w:color w:val="auto"/>
                <w:sz w:val="24"/>
                <w:szCs w:val="24"/>
                <w:vertAlign w:val="baseline"/>
                <w:lang w:val="en-US" w:eastAsia="zh-CN"/>
              </w:rPr>
              <w:t>序号</w:t>
            </w:r>
          </w:p>
        </w:tc>
        <w:tc>
          <w:tcPr>
            <w:tcW w:w="1483" w:type="dxa"/>
            <w:vAlign w:val="center"/>
          </w:tcPr>
          <w:p w14:paraId="267A0A54">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color w:val="auto"/>
                <w:sz w:val="24"/>
                <w:szCs w:val="24"/>
                <w:vertAlign w:val="baseline"/>
              </w:rPr>
            </w:pPr>
            <w:r>
              <w:rPr>
                <w:rFonts w:hint="eastAsia"/>
                <w:color w:val="auto"/>
                <w:sz w:val="24"/>
                <w:szCs w:val="24"/>
                <w:vertAlign w:val="baseline"/>
              </w:rPr>
              <w:t>项目名称</w:t>
            </w:r>
          </w:p>
        </w:tc>
        <w:tc>
          <w:tcPr>
            <w:tcW w:w="4667" w:type="dxa"/>
            <w:vAlign w:val="center"/>
          </w:tcPr>
          <w:p w14:paraId="4911312D">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color w:val="auto"/>
                <w:sz w:val="24"/>
                <w:szCs w:val="24"/>
                <w:vertAlign w:val="baseline"/>
              </w:rPr>
            </w:pPr>
            <w:r>
              <w:rPr>
                <w:rFonts w:hint="eastAsia"/>
                <w:color w:val="auto"/>
                <w:sz w:val="24"/>
                <w:szCs w:val="24"/>
                <w:vertAlign w:val="baseline"/>
              </w:rPr>
              <w:t>项目特征描述</w:t>
            </w:r>
          </w:p>
        </w:tc>
        <w:tc>
          <w:tcPr>
            <w:tcW w:w="1000" w:type="dxa"/>
            <w:vAlign w:val="center"/>
          </w:tcPr>
          <w:p w14:paraId="4D9295F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计量单位</w:t>
            </w:r>
          </w:p>
        </w:tc>
        <w:tc>
          <w:tcPr>
            <w:tcW w:w="708" w:type="dxa"/>
            <w:vAlign w:val="center"/>
          </w:tcPr>
          <w:p w14:paraId="5C0E9F1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工程量</w:t>
            </w:r>
          </w:p>
        </w:tc>
      </w:tr>
      <w:tr w14:paraId="0BC2C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64" w:type="dxa"/>
            <w:vAlign w:val="center"/>
          </w:tcPr>
          <w:p w14:paraId="55FC5622">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eastAsiaTheme="minorEastAsia"/>
                <w:color w:val="auto"/>
                <w:sz w:val="24"/>
                <w:szCs w:val="24"/>
                <w:vertAlign w:val="baseline"/>
                <w:lang w:val="en-US" w:eastAsia="zh-CN"/>
              </w:rPr>
            </w:pPr>
            <w:r>
              <w:rPr>
                <w:rFonts w:hint="eastAsia"/>
                <w:color w:val="auto"/>
                <w:sz w:val="24"/>
                <w:szCs w:val="24"/>
                <w:vertAlign w:val="baseline"/>
                <w:lang w:val="en-US" w:eastAsia="zh-CN"/>
              </w:rPr>
              <w:t>1</w:t>
            </w:r>
          </w:p>
        </w:tc>
        <w:tc>
          <w:tcPr>
            <w:tcW w:w="1483" w:type="dxa"/>
            <w:vAlign w:val="center"/>
          </w:tcPr>
          <w:p w14:paraId="1DB000F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color w:val="auto"/>
                <w:sz w:val="24"/>
                <w:szCs w:val="24"/>
                <w:vertAlign w:val="baseline"/>
              </w:rPr>
            </w:pPr>
            <w:r>
              <w:rPr>
                <w:rFonts w:hint="eastAsia"/>
                <w:color w:val="auto"/>
                <w:sz w:val="24"/>
                <w:szCs w:val="24"/>
                <w:vertAlign w:val="baseline"/>
              </w:rPr>
              <w:t>流量计</w:t>
            </w:r>
          </w:p>
        </w:tc>
        <w:tc>
          <w:tcPr>
            <w:tcW w:w="4667" w:type="dxa"/>
          </w:tcPr>
          <w:p w14:paraId="57EFAAF9">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1.供电电压与功耗：直流 7～28V宽电压供电；12V 供电时正常工作电流约 150mA，休眠电流＜1mA；可选内置 4G 直传功能；</w:t>
            </w:r>
          </w:p>
          <w:p w14:paraId="0A13E5E8">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2. 环境适应性：工作温度-35～70℃；防护等级 IP67（防水防尘）</w:t>
            </w:r>
          </w:p>
          <w:p w14:paraId="49ED02A3">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3.流速雷达参数：工作频率24.000～24.250GHz（24G），CW制式；天线角度 24°×12°；辐射功率（EIRP）20dBm；天线增益18.5dB；</w:t>
            </w:r>
          </w:p>
          <w:p w14:paraId="41DFCA65">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4.水位雷达参数：工作频率 80G，FMCW 制式；量程 0.15～40m（受RSC 影响）；天线角度 14°×10° （建议安装高度 2～30m）；</w:t>
            </w:r>
          </w:p>
          <w:p w14:paraId="4F7B403A">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5.测量量程：流速 0.1～20m/s；水位0.15～40m；</w:t>
            </w:r>
          </w:p>
          <w:p w14:paraId="153AC643">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6.测量精度：流速±2%±0.01m/s；水位±0.2%±0.002m（±1cm，绝对精度）；</w:t>
            </w:r>
          </w:p>
          <w:p w14:paraId="34038A90">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7.分辨率：流速0.001m/s；水位 0.001m；</w:t>
            </w:r>
          </w:p>
          <w:p w14:paraId="4BE12C09">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8.流速特性：流速死区 0～0.1m/s；支持双向自动识别；</w:t>
            </w:r>
          </w:p>
          <w:p w14:paraId="7ED3D343">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9.响应时间：10s；</w:t>
            </w:r>
          </w:p>
          <w:p w14:paraId="130C01ED">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eastAsiaTheme="minorEastAsia"/>
                <w:color w:val="auto"/>
                <w:sz w:val="24"/>
                <w:szCs w:val="24"/>
                <w:vertAlign w:val="baseline"/>
                <w:lang w:val="en-US" w:eastAsia="zh-CN"/>
              </w:rPr>
            </w:pPr>
            <w:r>
              <w:rPr>
                <w:rFonts w:hint="eastAsia"/>
                <w:color w:val="auto"/>
                <w:sz w:val="24"/>
                <w:szCs w:val="24"/>
                <w:vertAlign w:val="baseline"/>
              </w:rPr>
              <w:t>10.通讯接口与协议：支持RS-232、RS-485 双接口</w:t>
            </w:r>
            <w:r>
              <w:rPr>
                <w:rFonts w:hint="eastAsia"/>
                <w:color w:val="auto"/>
                <w:sz w:val="24"/>
                <w:szCs w:val="24"/>
                <w:vertAlign w:val="baseline"/>
                <w:lang w:eastAsia="zh-CN"/>
              </w:rPr>
              <w:t>：</w:t>
            </w:r>
            <w:r>
              <w:rPr>
                <w:rFonts w:hint="eastAsia"/>
                <w:color w:val="auto"/>
                <w:sz w:val="24"/>
                <w:szCs w:val="24"/>
                <w:vertAlign w:val="baseline"/>
                <w:lang w:val="en-US" w:eastAsia="zh-CN"/>
              </w:rPr>
              <w:t>兼</w:t>
            </w:r>
            <w:r>
              <w:rPr>
                <w:rFonts w:hint="eastAsia"/>
                <w:color w:val="auto"/>
                <w:sz w:val="24"/>
                <w:szCs w:val="24"/>
                <w:vertAlign w:val="baseline"/>
              </w:rPr>
              <w:t>容MODBUS-RTU 协议及自定义协议。</w:t>
            </w:r>
          </w:p>
        </w:tc>
        <w:tc>
          <w:tcPr>
            <w:tcW w:w="1000" w:type="dxa"/>
            <w:vAlign w:val="center"/>
          </w:tcPr>
          <w:p w14:paraId="7FB4E1F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台</w:t>
            </w:r>
          </w:p>
        </w:tc>
        <w:tc>
          <w:tcPr>
            <w:tcW w:w="708" w:type="dxa"/>
            <w:vAlign w:val="center"/>
          </w:tcPr>
          <w:p w14:paraId="7DBDD24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22</w:t>
            </w:r>
          </w:p>
        </w:tc>
      </w:tr>
      <w:tr w14:paraId="7AD5E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77F19119">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eastAsiaTheme="minorEastAsia"/>
                <w:color w:val="auto"/>
                <w:sz w:val="24"/>
                <w:szCs w:val="24"/>
                <w:vertAlign w:val="baseline"/>
                <w:lang w:val="en-US" w:eastAsia="zh-CN"/>
              </w:rPr>
            </w:pPr>
            <w:r>
              <w:rPr>
                <w:rFonts w:hint="eastAsia"/>
                <w:color w:val="auto"/>
                <w:sz w:val="24"/>
                <w:szCs w:val="24"/>
                <w:vertAlign w:val="baseline"/>
                <w:lang w:val="en-US" w:eastAsia="zh-CN"/>
              </w:rPr>
              <w:t>2</w:t>
            </w:r>
          </w:p>
        </w:tc>
        <w:tc>
          <w:tcPr>
            <w:tcW w:w="1483" w:type="dxa"/>
            <w:vAlign w:val="center"/>
          </w:tcPr>
          <w:p w14:paraId="4B999B53">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color w:val="auto"/>
                <w:sz w:val="24"/>
                <w:szCs w:val="24"/>
                <w:vertAlign w:val="baseline"/>
              </w:rPr>
            </w:pPr>
            <w:r>
              <w:rPr>
                <w:rFonts w:hint="eastAsia"/>
                <w:color w:val="auto"/>
                <w:sz w:val="24"/>
                <w:szCs w:val="24"/>
                <w:vertAlign w:val="baseline"/>
              </w:rPr>
              <w:t>遥测终端机</w:t>
            </w:r>
          </w:p>
        </w:tc>
        <w:tc>
          <w:tcPr>
            <w:tcW w:w="4667" w:type="dxa"/>
          </w:tcPr>
          <w:p w14:paraId="5849EBCB">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1.一体化设计：集 RTU、显示、机箱、通讯、供电系统为一体，实现的数据采集、 存储、供电、显示、传输和报警等综合功能于一体；</w:t>
            </w:r>
          </w:p>
          <w:p w14:paraId="34BB5512">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2.支持 2G/3G/4G 等通信功能，且支持短信通信功能；</w:t>
            </w:r>
          </w:p>
          <w:p w14:paraId="03C52D76">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3.可外接北斗、超短波、ZigBee等通信方式；</w:t>
            </w:r>
          </w:p>
          <w:p w14:paraId="6A7621C1">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4.提供接口丰富、标准易用：提供1 个翻斗式雨量计接口、1 个RS232 接口、2 个 RS485 接口、1个格雷码接口、1 个太阳能充电接口、2 个可控电源输出、1个 SD卡接口；</w:t>
            </w:r>
          </w:p>
          <w:p w14:paraId="543B885F">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5.提供 OLED 显示屏，支持本地数据、状态查看，设备参数配置，人工置数等功能；</w:t>
            </w:r>
          </w:p>
          <w:p w14:paraId="689AC2A5">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6.支持 SD 卡插入升级；</w:t>
            </w:r>
          </w:p>
          <w:p w14:paraId="3641C746">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7.支持远程升级；</w:t>
            </w:r>
          </w:p>
          <w:p w14:paraId="08D49EAE">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8.大容量数据存储空间：提供256MB 的外部存储，可存储 8 年以上的采集数据；</w:t>
            </w:r>
          </w:p>
          <w:p w14:paraId="3C59EFAA">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9.低功耗设计：支持多种工作模式（包括自报式、查询式、兼容式等）；</w:t>
            </w:r>
          </w:p>
          <w:p w14:paraId="5D41FA7D">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10. 静 态 值 守 电 流&lt;1.83mA@12VDC；</w:t>
            </w:r>
          </w:p>
          <w:p w14:paraId="4193A021">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11.工作电流＜5.18mA@12VDC；</w:t>
            </w:r>
          </w:p>
          <w:p w14:paraId="724781A4">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12.支持多中心上报模式：可向 8个中心站分发数据，主备信道自动切换；</w:t>
            </w:r>
          </w:p>
          <w:p w14:paraId="445B55CD">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13.支持超上限报警，低下限报警，水位变化加报，有雨加报等；</w:t>
            </w:r>
          </w:p>
          <w:p w14:paraId="642340EF">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14.支持中心站远程补数，远程下载数据，远程设置所有参数等；</w:t>
            </w:r>
          </w:p>
          <w:p w14:paraId="0E41341F">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15.宽电源输入8~16V内置反相保护和过压保护；</w:t>
            </w:r>
          </w:p>
          <w:p w14:paraId="28675DA6">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16.提供配套的中心站数据接收处理软件，具有数据纠错、冗余过滤、报文补报等机制，提供报文接收、解析、写库存储功能远程管理、支持远程诊断、远程设置、远程维护、远程升级等功能；17.工作环境温度：-35～75℃；</w:t>
            </w:r>
          </w:p>
          <w:p w14:paraId="2D95D481">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18.存储环境温度：-40～85℃；</w:t>
            </w:r>
          </w:p>
          <w:p w14:paraId="257BD6F1">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19. 工 作 环 境 湿 度 ： ≤95%RH（40℃）；</w:t>
            </w:r>
          </w:p>
          <w:p w14:paraId="063CEBDB">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20. 平 均 无 故 障 工 作 时 间 ：≥25000H；</w:t>
            </w:r>
          </w:p>
          <w:p w14:paraId="780233AE">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21.金属外壳，保护等级 IP66；</w:t>
            </w:r>
          </w:p>
          <w:p w14:paraId="22C8843B">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22.设备符合《SL180-2015 水文自动测报系统设备遥测终端机》的要求；</w:t>
            </w:r>
          </w:p>
          <w:p w14:paraId="6A0A5C0A">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color w:val="auto"/>
                <w:sz w:val="24"/>
                <w:szCs w:val="24"/>
                <w:vertAlign w:val="baseline"/>
              </w:rPr>
            </w:pPr>
            <w:r>
              <w:rPr>
                <w:rFonts w:hint="eastAsia"/>
                <w:color w:val="auto"/>
                <w:sz w:val="24"/>
                <w:szCs w:val="24"/>
                <w:vertAlign w:val="baseline"/>
              </w:rPr>
              <w:t>23.通信符合《水文监测数据通信规约 SL651-2014和《水资源SZY206-2016 水资源监测数据传输规约》。</w:t>
            </w:r>
          </w:p>
        </w:tc>
        <w:tc>
          <w:tcPr>
            <w:tcW w:w="1000" w:type="dxa"/>
            <w:vAlign w:val="center"/>
          </w:tcPr>
          <w:p w14:paraId="3B79562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个</w:t>
            </w:r>
          </w:p>
        </w:tc>
        <w:tc>
          <w:tcPr>
            <w:tcW w:w="708" w:type="dxa"/>
            <w:vAlign w:val="center"/>
          </w:tcPr>
          <w:p w14:paraId="643A340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22</w:t>
            </w:r>
          </w:p>
        </w:tc>
      </w:tr>
      <w:tr w14:paraId="15B50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43397A1D">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eastAsiaTheme="minorEastAsia"/>
                <w:color w:val="auto"/>
                <w:sz w:val="24"/>
                <w:szCs w:val="24"/>
                <w:vertAlign w:val="baseline"/>
                <w:lang w:val="en-US" w:eastAsia="zh-CN"/>
              </w:rPr>
            </w:pPr>
            <w:r>
              <w:rPr>
                <w:rFonts w:hint="eastAsia"/>
                <w:color w:val="auto"/>
                <w:sz w:val="24"/>
                <w:szCs w:val="24"/>
                <w:vertAlign w:val="baseline"/>
                <w:lang w:val="en-US" w:eastAsia="zh-CN"/>
              </w:rPr>
              <w:t>3</w:t>
            </w:r>
          </w:p>
        </w:tc>
        <w:tc>
          <w:tcPr>
            <w:tcW w:w="1483" w:type="dxa"/>
            <w:vAlign w:val="center"/>
          </w:tcPr>
          <w:p w14:paraId="6E585702">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color w:val="auto"/>
                <w:sz w:val="24"/>
                <w:szCs w:val="24"/>
                <w:vertAlign w:val="baseline"/>
              </w:rPr>
            </w:pPr>
            <w:r>
              <w:rPr>
                <w:rFonts w:hint="eastAsia"/>
                <w:color w:val="auto"/>
                <w:sz w:val="24"/>
                <w:szCs w:val="24"/>
                <w:vertAlign w:val="baseline"/>
              </w:rPr>
              <w:t>太阳能充电控制器</w:t>
            </w:r>
          </w:p>
        </w:tc>
        <w:tc>
          <w:tcPr>
            <w:tcW w:w="4667" w:type="dxa"/>
          </w:tcPr>
          <w:p w14:paraId="41250E36">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1.系统电压：12V/24V 自适应；</w:t>
            </w:r>
          </w:p>
          <w:p w14:paraId="1C5C5104">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2.蓄电池工作电压范围：8~32V；</w:t>
            </w:r>
          </w:p>
          <w:p w14:paraId="18F93E55">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3.额定电流：充电 10A，负载 10A；</w:t>
            </w:r>
          </w:p>
          <w:p w14:paraId="616BCEEF">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4.光伏最高输入电压：50V（达到该电压触发保护，停止充电；低于 45V 恢复充电）；</w:t>
            </w:r>
          </w:p>
          <w:p w14:paraId="4019951C">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5.USB 输出规格：5V/2A；</w:t>
            </w:r>
          </w:p>
          <w:p w14:paraId="7AC749AA">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6.静态功耗：≤10mA；</w:t>
            </w:r>
          </w:p>
          <w:p w14:paraId="292354FC">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7.充电方式：默认 PWM 智能数显充电，b04/b07 可设置为开断式充电；</w:t>
            </w:r>
          </w:p>
          <w:p w14:paraId="58CCCC27">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8.电池适配：支持锂电/铅酸电池模式切换；</w:t>
            </w:r>
          </w:p>
          <w:p w14:paraId="76905A93">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9.工作温度：-35~+60℃；</w:t>
            </w:r>
          </w:p>
          <w:p w14:paraId="559F4BCD">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color w:val="auto"/>
                <w:sz w:val="24"/>
                <w:szCs w:val="24"/>
                <w:vertAlign w:val="baseline"/>
              </w:rPr>
            </w:pPr>
            <w:r>
              <w:rPr>
                <w:rFonts w:hint="eastAsia"/>
                <w:color w:val="auto"/>
                <w:sz w:val="24"/>
                <w:szCs w:val="24"/>
                <w:vertAlign w:val="baseline"/>
              </w:rPr>
              <w:t>10.外壳防护等级：IP32。</w:t>
            </w:r>
          </w:p>
        </w:tc>
        <w:tc>
          <w:tcPr>
            <w:tcW w:w="1000" w:type="dxa"/>
            <w:vAlign w:val="center"/>
          </w:tcPr>
          <w:p w14:paraId="12CDE6E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台</w:t>
            </w:r>
          </w:p>
        </w:tc>
        <w:tc>
          <w:tcPr>
            <w:tcW w:w="708" w:type="dxa"/>
            <w:vAlign w:val="center"/>
          </w:tcPr>
          <w:p w14:paraId="6EC0A1F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22</w:t>
            </w:r>
          </w:p>
        </w:tc>
      </w:tr>
      <w:tr w14:paraId="1A048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15ED54E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eastAsiaTheme="minorEastAsia"/>
                <w:color w:val="auto"/>
                <w:sz w:val="24"/>
                <w:szCs w:val="24"/>
                <w:vertAlign w:val="baseline"/>
                <w:lang w:val="en-US" w:eastAsia="zh-CN"/>
              </w:rPr>
            </w:pPr>
            <w:r>
              <w:rPr>
                <w:rFonts w:hint="eastAsia"/>
                <w:color w:val="auto"/>
                <w:sz w:val="24"/>
                <w:szCs w:val="24"/>
                <w:vertAlign w:val="baseline"/>
                <w:lang w:val="en-US" w:eastAsia="zh-CN"/>
              </w:rPr>
              <w:t>4</w:t>
            </w:r>
          </w:p>
        </w:tc>
        <w:tc>
          <w:tcPr>
            <w:tcW w:w="1483" w:type="dxa"/>
            <w:vAlign w:val="center"/>
          </w:tcPr>
          <w:p w14:paraId="4C66CC18">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color w:val="auto"/>
                <w:sz w:val="24"/>
                <w:szCs w:val="24"/>
                <w:vertAlign w:val="baseline"/>
              </w:rPr>
            </w:pPr>
            <w:r>
              <w:rPr>
                <w:rFonts w:hint="eastAsia"/>
                <w:color w:val="auto"/>
                <w:sz w:val="24"/>
                <w:szCs w:val="24"/>
                <w:vertAlign w:val="baseline"/>
              </w:rPr>
              <w:t>太阳能板</w:t>
            </w:r>
          </w:p>
        </w:tc>
        <w:tc>
          <w:tcPr>
            <w:tcW w:w="4667" w:type="dxa"/>
          </w:tcPr>
          <w:p w14:paraId="3B23DC7B">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1.额定发电功率：100W；</w:t>
            </w:r>
          </w:p>
          <w:p w14:paraId="266CCA86">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2.工作电压：18V；</w:t>
            </w:r>
          </w:p>
          <w:p w14:paraId="0802A69E">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3.电池片类型：单晶硅 A 级；</w:t>
            </w:r>
          </w:p>
          <w:p w14:paraId="58FEDB2C">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4.工作温度：-40℃～85℃；</w:t>
            </w:r>
          </w:p>
          <w:p w14:paraId="76CCC399">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5.光电转换效率：≥21%；</w:t>
            </w:r>
          </w:p>
          <w:p w14:paraId="469B0CE8">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color w:val="auto"/>
                <w:sz w:val="24"/>
                <w:szCs w:val="24"/>
                <w:vertAlign w:val="baseline"/>
              </w:rPr>
            </w:pPr>
            <w:r>
              <w:rPr>
                <w:rFonts w:hint="eastAsia"/>
                <w:color w:val="auto"/>
                <w:sz w:val="24"/>
                <w:szCs w:val="24"/>
                <w:vertAlign w:val="baseline"/>
              </w:rPr>
              <w:t>6.边框材质：优质铝合金。</w:t>
            </w:r>
          </w:p>
        </w:tc>
        <w:tc>
          <w:tcPr>
            <w:tcW w:w="1000" w:type="dxa"/>
            <w:vAlign w:val="center"/>
          </w:tcPr>
          <w:p w14:paraId="33FBC4B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块</w:t>
            </w:r>
          </w:p>
        </w:tc>
        <w:tc>
          <w:tcPr>
            <w:tcW w:w="708" w:type="dxa"/>
            <w:vAlign w:val="center"/>
          </w:tcPr>
          <w:p w14:paraId="73138FA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22</w:t>
            </w:r>
          </w:p>
        </w:tc>
      </w:tr>
      <w:tr w14:paraId="2C204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05863C34">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eastAsiaTheme="minorEastAsia"/>
                <w:color w:val="auto"/>
                <w:sz w:val="24"/>
                <w:szCs w:val="24"/>
                <w:vertAlign w:val="baseline"/>
                <w:lang w:val="en-US" w:eastAsia="zh-CN"/>
              </w:rPr>
            </w:pPr>
            <w:r>
              <w:rPr>
                <w:rFonts w:hint="eastAsia"/>
                <w:color w:val="auto"/>
                <w:sz w:val="24"/>
                <w:szCs w:val="24"/>
                <w:vertAlign w:val="baseline"/>
                <w:lang w:val="en-US" w:eastAsia="zh-CN"/>
              </w:rPr>
              <w:t>5</w:t>
            </w:r>
          </w:p>
        </w:tc>
        <w:tc>
          <w:tcPr>
            <w:tcW w:w="1483" w:type="dxa"/>
            <w:vAlign w:val="center"/>
          </w:tcPr>
          <w:p w14:paraId="52763639">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color w:val="auto"/>
                <w:sz w:val="24"/>
                <w:szCs w:val="24"/>
                <w:vertAlign w:val="baseline"/>
              </w:rPr>
            </w:pPr>
            <w:r>
              <w:rPr>
                <w:rFonts w:hint="eastAsia"/>
                <w:color w:val="auto"/>
                <w:sz w:val="24"/>
                <w:szCs w:val="24"/>
                <w:vertAlign w:val="baseline"/>
              </w:rPr>
              <w:t>蓄电池</w:t>
            </w:r>
          </w:p>
        </w:tc>
        <w:tc>
          <w:tcPr>
            <w:tcW w:w="4667" w:type="dxa"/>
          </w:tcPr>
          <w:p w14:paraId="14723EB2">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1.额定容量：100Ah；</w:t>
            </w:r>
          </w:p>
          <w:p w14:paraId="5F680108">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2.工作电压范围：9.3V~12.6V；</w:t>
            </w:r>
          </w:p>
          <w:p w14:paraId="78911DBB">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3.充电模式：支持标准充电模式、锂电池专用充电模式，配备专用保护板；</w:t>
            </w:r>
          </w:p>
          <w:p w14:paraId="6476746F">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color w:val="auto"/>
                <w:sz w:val="24"/>
                <w:szCs w:val="24"/>
                <w:vertAlign w:val="baseline"/>
              </w:rPr>
            </w:pPr>
            <w:r>
              <w:rPr>
                <w:rFonts w:hint="eastAsia"/>
                <w:color w:val="auto"/>
                <w:sz w:val="24"/>
                <w:szCs w:val="24"/>
                <w:vertAlign w:val="baseline"/>
              </w:rPr>
              <w:t>4.循环充放电次数：1500~2500次。</w:t>
            </w:r>
          </w:p>
        </w:tc>
        <w:tc>
          <w:tcPr>
            <w:tcW w:w="1000" w:type="dxa"/>
            <w:vAlign w:val="center"/>
          </w:tcPr>
          <w:p w14:paraId="5E8F971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组</w:t>
            </w:r>
          </w:p>
        </w:tc>
        <w:tc>
          <w:tcPr>
            <w:tcW w:w="708" w:type="dxa"/>
            <w:vAlign w:val="center"/>
          </w:tcPr>
          <w:p w14:paraId="0C78D7E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22</w:t>
            </w:r>
          </w:p>
        </w:tc>
      </w:tr>
      <w:tr w14:paraId="17C52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572AF213">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eastAsiaTheme="minorEastAsia"/>
                <w:color w:val="auto"/>
                <w:sz w:val="24"/>
                <w:szCs w:val="24"/>
                <w:vertAlign w:val="baseline"/>
                <w:lang w:val="en-US" w:eastAsia="zh-CN"/>
              </w:rPr>
            </w:pPr>
            <w:r>
              <w:rPr>
                <w:rFonts w:hint="eastAsia"/>
                <w:color w:val="auto"/>
                <w:sz w:val="24"/>
                <w:szCs w:val="24"/>
                <w:vertAlign w:val="baseline"/>
                <w:lang w:val="en-US" w:eastAsia="zh-CN"/>
              </w:rPr>
              <w:t>6</w:t>
            </w:r>
          </w:p>
        </w:tc>
        <w:tc>
          <w:tcPr>
            <w:tcW w:w="1483" w:type="dxa"/>
            <w:vAlign w:val="center"/>
          </w:tcPr>
          <w:p w14:paraId="6C5C306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color w:val="auto"/>
                <w:sz w:val="24"/>
                <w:szCs w:val="24"/>
                <w:vertAlign w:val="baseline"/>
              </w:rPr>
            </w:pPr>
            <w:r>
              <w:rPr>
                <w:rFonts w:hint="eastAsia"/>
                <w:color w:val="auto"/>
                <w:sz w:val="24"/>
                <w:szCs w:val="24"/>
                <w:vertAlign w:val="baseline"/>
              </w:rPr>
              <w:t>太阳能板支架</w:t>
            </w:r>
          </w:p>
        </w:tc>
        <w:tc>
          <w:tcPr>
            <w:tcW w:w="4667" w:type="dxa"/>
          </w:tcPr>
          <w:p w14:paraId="418C404E">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1.表面处理：三角支架采用镀锌喷塑防锈工艺；</w:t>
            </w:r>
          </w:p>
          <w:p w14:paraId="5894C2DB">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2.安装配件：配备通用抱杆、螺丝、抱箍等全套安装件；</w:t>
            </w:r>
          </w:p>
          <w:p w14:paraId="34285EE4">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color w:val="auto"/>
                <w:sz w:val="24"/>
                <w:szCs w:val="24"/>
                <w:vertAlign w:val="baseline"/>
              </w:rPr>
            </w:pPr>
            <w:r>
              <w:rPr>
                <w:rFonts w:hint="eastAsia"/>
                <w:color w:val="auto"/>
                <w:sz w:val="24"/>
                <w:szCs w:val="24"/>
                <w:vertAlign w:val="baseline"/>
              </w:rPr>
              <w:t>3.安装方式：支持抱杆式安装，可与摄像机同杆架设。</w:t>
            </w:r>
          </w:p>
        </w:tc>
        <w:tc>
          <w:tcPr>
            <w:tcW w:w="1000" w:type="dxa"/>
            <w:vAlign w:val="center"/>
          </w:tcPr>
          <w:p w14:paraId="29D5DE2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套</w:t>
            </w:r>
          </w:p>
        </w:tc>
        <w:tc>
          <w:tcPr>
            <w:tcW w:w="708" w:type="dxa"/>
            <w:vAlign w:val="center"/>
          </w:tcPr>
          <w:p w14:paraId="5134A82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22</w:t>
            </w:r>
          </w:p>
        </w:tc>
      </w:tr>
      <w:tr w14:paraId="0AF7E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40A80B2C">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eastAsiaTheme="minorEastAsia"/>
                <w:color w:val="auto"/>
                <w:sz w:val="24"/>
                <w:szCs w:val="24"/>
                <w:vertAlign w:val="baseline"/>
                <w:lang w:val="en-US" w:eastAsia="zh-CN"/>
              </w:rPr>
            </w:pPr>
            <w:r>
              <w:rPr>
                <w:rFonts w:hint="eastAsia"/>
                <w:color w:val="auto"/>
                <w:sz w:val="24"/>
                <w:szCs w:val="24"/>
                <w:vertAlign w:val="baseline"/>
                <w:lang w:val="en-US" w:eastAsia="zh-CN"/>
              </w:rPr>
              <w:t>7</w:t>
            </w:r>
          </w:p>
        </w:tc>
        <w:tc>
          <w:tcPr>
            <w:tcW w:w="1483" w:type="dxa"/>
            <w:vAlign w:val="center"/>
          </w:tcPr>
          <w:p w14:paraId="34D49085">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color w:val="auto"/>
                <w:sz w:val="24"/>
                <w:szCs w:val="24"/>
                <w:vertAlign w:val="baseline"/>
              </w:rPr>
            </w:pPr>
            <w:r>
              <w:rPr>
                <w:rFonts w:hint="eastAsia"/>
                <w:color w:val="auto"/>
                <w:sz w:val="24"/>
                <w:szCs w:val="24"/>
                <w:vertAlign w:val="baseline"/>
              </w:rPr>
              <w:t>配电箱</w:t>
            </w:r>
          </w:p>
        </w:tc>
        <w:tc>
          <w:tcPr>
            <w:tcW w:w="4667" w:type="dxa"/>
          </w:tcPr>
          <w:p w14:paraId="5774D0D3">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1.外形尺寸：30×40×18cm；</w:t>
            </w:r>
          </w:p>
          <w:p w14:paraId="4F66B026">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2.箱体材质及工艺：钣金材质，表面喷塑处理；</w:t>
            </w:r>
          </w:p>
          <w:p w14:paraId="415B60EA">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3.功能用途：用于收纳光伏充电系统配套配件；</w:t>
            </w:r>
          </w:p>
          <w:p w14:paraId="547453CE">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4.配套配件：含抱箍、支架等安装件；</w:t>
            </w:r>
          </w:p>
          <w:p w14:paraId="4939131F">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color w:val="auto"/>
                <w:sz w:val="24"/>
                <w:szCs w:val="24"/>
                <w:vertAlign w:val="baseline"/>
              </w:rPr>
            </w:pPr>
            <w:r>
              <w:rPr>
                <w:rFonts w:hint="eastAsia"/>
                <w:color w:val="auto"/>
                <w:sz w:val="24"/>
                <w:szCs w:val="24"/>
                <w:vertAlign w:val="baseline"/>
              </w:rPr>
              <w:t>5.防护特性：全天候防风雨设计。</w:t>
            </w:r>
          </w:p>
        </w:tc>
        <w:tc>
          <w:tcPr>
            <w:tcW w:w="1000" w:type="dxa"/>
            <w:vAlign w:val="center"/>
          </w:tcPr>
          <w:p w14:paraId="0190DB6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台</w:t>
            </w:r>
          </w:p>
        </w:tc>
        <w:tc>
          <w:tcPr>
            <w:tcW w:w="708" w:type="dxa"/>
            <w:vAlign w:val="center"/>
          </w:tcPr>
          <w:p w14:paraId="590528E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22</w:t>
            </w:r>
          </w:p>
        </w:tc>
      </w:tr>
      <w:tr w14:paraId="5C6EB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67F73203">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8</w:t>
            </w:r>
          </w:p>
        </w:tc>
        <w:tc>
          <w:tcPr>
            <w:tcW w:w="1483" w:type="dxa"/>
            <w:vAlign w:val="center"/>
          </w:tcPr>
          <w:p w14:paraId="4BF5181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color w:val="auto"/>
                <w:sz w:val="24"/>
                <w:szCs w:val="24"/>
                <w:vertAlign w:val="baseline"/>
              </w:rPr>
            </w:pPr>
            <w:r>
              <w:rPr>
                <w:rFonts w:hint="eastAsia"/>
                <w:color w:val="auto"/>
                <w:sz w:val="24"/>
                <w:szCs w:val="24"/>
                <w:vertAlign w:val="baseline"/>
              </w:rPr>
              <w:t>立杆</w:t>
            </w:r>
          </w:p>
        </w:tc>
        <w:tc>
          <w:tcPr>
            <w:tcW w:w="4667" w:type="dxa"/>
          </w:tcPr>
          <w:p w14:paraId="5A212B6D">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1.立杆材质及规格：φ110 国标镀锌钢管，作为一体化遥测站箱支撑构件；</w:t>
            </w:r>
          </w:p>
          <w:p w14:paraId="44FF1993">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2.立杆基础：采用 C20 现浇混凝土浇筑。</w:t>
            </w:r>
          </w:p>
        </w:tc>
        <w:tc>
          <w:tcPr>
            <w:tcW w:w="1000" w:type="dxa"/>
            <w:vAlign w:val="center"/>
          </w:tcPr>
          <w:p w14:paraId="1B5A2CC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根</w:t>
            </w:r>
          </w:p>
        </w:tc>
        <w:tc>
          <w:tcPr>
            <w:tcW w:w="708" w:type="dxa"/>
            <w:vAlign w:val="center"/>
          </w:tcPr>
          <w:p w14:paraId="03B83CC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22</w:t>
            </w:r>
          </w:p>
        </w:tc>
      </w:tr>
      <w:tr w14:paraId="68243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314FB10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9</w:t>
            </w:r>
          </w:p>
        </w:tc>
        <w:tc>
          <w:tcPr>
            <w:tcW w:w="1483" w:type="dxa"/>
            <w:vAlign w:val="center"/>
          </w:tcPr>
          <w:p w14:paraId="4B9CA33C">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color w:val="auto"/>
                <w:sz w:val="24"/>
                <w:szCs w:val="24"/>
                <w:vertAlign w:val="baseline"/>
              </w:rPr>
            </w:pPr>
            <w:r>
              <w:rPr>
                <w:rFonts w:hint="eastAsia"/>
                <w:color w:val="auto"/>
                <w:sz w:val="24"/>
                <w:szCs w:val="24"/>
                <w:vertAlign w:val="baseline"/>
              </w:rPr>
              <w:t>地笼</w:t>
            </w:r>
          </w:p>
        </w:tc>
        <w:tc>
          <w:tcPr>
            <w:tcW w:w="4667" w:type="dxa"/>
          </w:tcPr>
          <w:p w14:paraId="06358EA2">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外形尺寸：40cm×40cm×80cm</w:t>
            </w:r>
          </w:p>
        </w:tc>
        <w:tc>
          <w:tcPr>
            <w:tcW w:w="1000" w:type="dxa"/>
            <w:vAlign w:val="center"/>
          </w:tcPr>
          <w:p w14:paraId="63EFB05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个</w:t>
            </w:r>
          </w:p>
        </w:tc>
        <w:tc>
          <w:tcPr>
            <w:tcW w:w="708" w:type="dxa"/>
            <w:vAlign w:val="center"/>
          </w:tcPr>
          <w:p w14:paraId="62FA424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22</w:t>
            </w:r>
          </w:p>
        </w:tc>
      </w:tr>
      <w:tr w14:paraId="1D3DA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0DEF728E">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10</w:t>
            </w:r>
          </w:p>
        </w:tc>
        <w:tc>
          <w:tcPr>
            <w:tcW w:w="1483" w:type="dxa"/>
            <w:vAlign w:val="center"/>
          </w:tcPr>
          <w:p w14:paraId="2CF79120">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color w:val="auto"/>
                <w:sz w:val="24"/>
                <w:szCs w:val="24"/>
                <w:vertAlign w:val="baseline"/>
              </w:rPr>
            </w:pPr>
            <w:r>
              <w:rPr>
                <w:rFonts w:hint="eastAsia"/>
                <w:color w:val="auto"/>
                <w:sz w:val="24"/>
                <w:szCs w:val="24"/>
                <w:vertAlign w:val="baseline"/>
              </w:rPr>
              <w:t>标识牌</w:t>
            </w:r>
          </w:p>
        </w:tc>
        <w:tc>
          <w:tcPr>
            <w:tcW w:w="4667" w:type="dxa"/>
          </w:tcPr>
          <w:p w14:paraId="65DCFC2C">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1.牌 体外 形 尺 寸（ 长 × 宽 ）：40cm×40cm；</w:t>
            </w:r>
          </w:p>
          <w:p w14:paraId="75D31BEF">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2.标示牌立柱高度：1.2m；</w:t>
            </w:r>
          </w:p>
          <w:p w14:paraId="12A997C3">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3.牌体材质：不锈钢。</w:t>
            </w:r>
          </w:p>
        </w:tc>
        <w:tc>
          <w:tcPr>
            <w:tcW w:w="1000" w:type="dxa"/>
            <w:vAlign w:val="center"/>
          </w:tcPr>
          <w:p w14:paraId="22DC50A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块</w:t>
            </w:r>
          </w:p>
        </w:tc>
        <w:tc>
          <w:tcPr>
            <w:tcW w:w="708" w:type="dxa"/>
            <w:vAlign w:val="center"/>
          </w:tcPr>
          <w:p w14:paraId="78ACDF3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22</w:t>
            </w:r>
          </w:p>
        </w:tc>
      </w:tr>
      <w:tr w14:paraId="20813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7F6D7D67">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11</w:t>
            </w:r>
          </w:p>
        </w:tc>
        <w:tc>
          <w:tcPr>
            <w:tcW w:w="1483" w:type="dxa"/>
            <w:vAlign w:val="center"/>
          </w:tcPr>
          <w:p w14:paraId="10DBE45C">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color w:val="auto"/>
                <w:sz w:val="24"/>
                <w:szCs w:val="24"/>
                <w:vertAlign w:val="baseline"/>
              </w:rPr>
            </w:pPr>
            <w:r>
              <w:rPr>
                <w:rFonts w:hint="eastAsia"/>
                <w:color w:val="auto"/>
                <w:sz w:val="24"/>
                <w:szCs w:val="24"/>
                <w:vertAlign w:val="baseline"/>
              </w:rPr>
              <w:t>围栏</w:t>
            </w:r>
          </w:p>
        </w:tc>
        <w:tc>
          <w:tcPr>
            <w:tcW w:w="4667" w:type="dxa"/>
          </w:tcPr>
          <w:p w14:paraId="07F0AEC4">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1.材质：PVC 塑钢（横档、立柱内衬钢管）</w:t>
            </w:r>
          </w:p>
          <w:p w14:paraId="34B16536">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2.主体规格：横档：70×25mm（内衬钢管）、竖条：36×56mm立柱：85×85mm（内衬钢管）；</w:t>
            </w:r>
          </w:p>
          <w:p w14:paraId="7D456516">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3.高度：≥0.6m；</w:t>
            </w:r>
          </w:p>
          <w:p w14:paraId="5288FEC8">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4 安装方式：直埋式/法兰式。</w:t>
            </w:r>
          </w:p>
        </w:tc>
        <w:tc>
          <w:tcPr>
            <w:tcW w:w="1000" w:type="dxa"/>
            <w:vAlign w:val="center"/>
          </w:tcPr>
          <w:p w14:paraId="5AD17C1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m</w:t>
            </w:r>
          </w:p>
        </w:tc>
        <w:tc>
          <w:tcPr>
            <w:tcW w:w="708" w:type="dxa"/>
            <w:vAlign w:val="center"/>
          </w:tcPr>
          <w:p w14:paraId="66FEF8C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44</w:t>
            </w:r>
          </w:p>
        </w:tc>
      </w:tr>
      <w:tr w14:paraId="4650F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72237347">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12</w:t>
            </w:r>
          </w:p>
        </w:tc>
        <w:tc>
          <w:tcPr>
            <w:tcW w:w="1483" w:type="dxa"/>
            <w:vAlign w:val="center"/>
          </w:tcPr>
          <w:p w14:paraId="2231419C">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color w:val="auto"/>
                <w:sz w:val="24"/>
                <w:szCs w:val="24"/>
                <w:vertAlign w:val="baseline"/>
              </w:rPr>
            </w:pPr>
            <w:r>
              <w:rPr>
                <w:rFonts w:hint="eastAsia"/>
                <w:color w:val="auto"/>
                <w:sz w:val="24"/>
                <w:szCs w:val="24"/>
                <w:vertAlign w:val="baseline"/>
              </w:rPr>
              <w:t>避雷器</w:t>
            </w:r>
          </w:p>
        </w:tc>
        <w:tc>
          <w:tcPr>
            <w:tcW w:w="4667" w:type="dxa"/>
          </w:tcPr>
          <w:p w14:paraId="6775C201">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1.额定电压：230VAC；</w:t>
            </w:r>
          </w:p>
          <w:p w14:paraId="223E3E2A">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2.保护级数：≥2P；</w:t>
            </w:r>
          </w:p>
          <w:p w14:paraId="5CE2967E">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3.最大冲击电流：12.5KA；</w:t>
            </w:r>
          </w:p>
          <w:p w14:paraId="7FFC1D03">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4.标称放电电流：25KA；</w:t>
            </w:r>
          </w:p>
          <w:p w14:paraId="19079D1B">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5.最大放电电流：50KA；</w:t>
            </w:r>
          </w:p>
          <w:p w14:paraId="0ED85EBE">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6.开路电压：10KV；</w:t>
            </w:r>
          </w:p>
          <w:p w14:paraId="74355D5C">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7.最大持续工作电压：275V；</w:t>
            </w:r>
          </w:p>
          <w:p w14:paraId="0FAB3A68">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8.响应时间：≤25ns。</w:t>
            </w:r>
          </w:p>
        </w:tc>
        <w:tc>
          <w:tcPr>
            <w:tcW w:w="1000" w:type="dxa"/>
            <w:vAlign w:val="center"/>
          </w:tcPr>
          <w:p w14:paraId="70BEBA6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套</w:t>
            </w:r>
          </w:p>
        </w:tc>
        <w:tc>
          <w:tcPr>
            <w:tcW w:w="708" w:type="dxa"/>
            <w:vAlign w:val="center"/>
          </w:tcPr>
          <w:p w14:paraId="3A7B10E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22</w:t>
            </w:r>
          </w:p>
        </w:tc>
      </w:tr>
      <w:tr w14:paraId="5FB55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315A00E5">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13</w:t>
            </w:r>
          </w:p>
        </w:tc>
        <w:tc>
          <w:tcPr>
            <w:tcW w:w="1483" w:type="dxa"/>
            <w:vAlign w:val="center"/>
          </w:tcPr>
          <w:p w14:paraId="2E5A7017">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color w:val="auto"/>
                <w:sz w:val="24"/>
                <w:szCs w:val="24"/>
                <w:vertAlign w:val="baseline"/>
              </w:rPr>
            </w:pPr>
            <w:r>
              <w:rPr>
                <w:rFonts w:hint="eastAsia"/>
                <w:color w:val="auto"/>
                <w:sz w:val="24"/>
                <w:szCs w:val="24"/>
                <w:vertAlign w:val="baseline"/>
              </w:rPr>
              <w:t>接地极</w:t>
            </w:r>
          </w:p>
        </w:tc>
        <w:tc>
          <w:tcPr>
            <w:tcW w:w="4667" w:type="dxa"/>
          </w:tcPr>
          <w:p w14:paraId="6DCDD7E1">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1.水平接地体规格：0.3m×6m；</w:t>
            </w:r>
          </w:p>
          <w:p w14:paraId="65FEF920">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2.垂直接地电极：采用长度 1m 镀锌钢筋；</w:t>
            </w:r>
          </w:p>
          <w:p w14:paraId="7E2AFD50">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3.接地引线规格：10mm² 双色多股绝缘铜芯线。</w:t>
            </w:r>
          </w:p>
        </w:tc>
        <w:tc>
          <w:tcPr>
            <w:tcW w:w="1000" w:type="dxa"/>
            <w:vAlign w:val="center"/>
          </w:tcPr>
          <w:p w14:paraId="6682D8C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套</w:t>
            </w:r>
          </w:p>
        </w:tc>
        <w:tc>
          <w:tcPr>
            <w:tcW w:w="708" w:type="dxa"/>
            <w:vAlign w:val="center"/>
          </w:tcPr>
          <w:p w14:paraId="56DC9E5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22</w:t>
            </w:r>
          </w:p>
        </w:tc>
      </w:tr>
      <w:tr w14:paraId="1B567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29540969">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14</w:t>
            </w:r>
          </w:p>
        </w:tc>
        <w:tc>
          <w:tcPr>
            <w:tcW w:w="1483" w:type="dxa"/>
            <w:vAlign w:val="center"/>
          </w:tcPr>
          <w:p w14:paraId="5F2F7E01">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color w:val="auto"/>
                <w:sz w:val="24"/>
                <w:szCs w:val="24"/>
                <w:vertAlign w:val="baseline"/>
              </w:rPr>
            </w:pPr>
            <w:r>
              <w:rPr>
                <w:rFonts w:hint="eastAsia"/>
                <w:color w:val="auto"/>
                <w:sz w:val="24"/>
                <w:szCs w:val="24"/>
                <w:vertAlign w:val="baseline"/>
              </w:rPr>
              <w:t>通讯卡</w:t>
            </w:r>
          </w:p>
        </w:tc>
        <w:tc>
          <w:tcPr>
            <w:tcW w:w="4667" w:type="dxa"/>
          </w:tcPr>
          <w:p w14:paraId="5BA22C33">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≥3 年（4G）</w:t>
            </w:r>
          </w:p>
        </w:tc>
        <w:tc>
          <w:tcPr>
            <w:tcW w:w="1000" w:type="dxa"/>
            <w:vAlign w:val="center"/>
          </w:tcPr>
          <w:p w14:paraId="19E163E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张</w:t>
            </w:r>
          </w:p>
        </w:tc>
        <w:tc>
          <w:tcPr>
            <w:tcW w:w="708" w:type="dxa"/>
            <w:vAlign w:val="center"/>
          </w:tcPr>
          <w:p w14:paraId="63B8D43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22</w:t>
            </w:r>
          </w:p>
        </w:tc>
      </w:tr>
      <w:tr w14:paraId="0FAE2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04D6D6BC">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15</w:t>
            </w:r>
          </w:p>
        </w:tc>
        <w:tc>
          <w:tcPr>
            <w:tcW w:w="1483" w:type="dxa"/>
            <w:vAlign w:val="center"/>
          </w:tcPr>
          <w:p w14:paraId="780A554D">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color w:val="auto"/>
                <w:sz w:val="24"/>
                <w:szCs w:val="24"/>
                <w:vertAlign w:val="baseline"/>
              </w:rPr>
            </w:pPr>
            <w:r>
              <w:rPr>
                <w:rFonts w:hint="eastAsia"/>
                <w:color w:val="auto"/>
                <w:sz w:val="24"/>
                <w:szCs w:val="24"/>
                <w:vertAlign w:val="baseline"/>
              </w:rPr>
              <w:t>辅材</w:t>
            </w:r>
          </w:p>
        </w:tc>
        <w:tc>
          <w:tcPr>
            <w:tcW w:w="4667" w:type="dxa"/>
          </w:tcPr>
          <w:p w14:paraId="1A3CC7B4">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1.四芯水工线缆：规格 0.5mm²，长度 10m；</w:t>
            </w:r>
          </w:p>
          <w:p w14:paraId="70C41C5B">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2.PVC 管：直径 50mm，长度 4m；</w:t>
            </w:r>
          </w:p>
          <w:p w14:paraId="29B1EA9E">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3.PVC 转接弯头：10 个；</w:t>
            </w:r>
          </w:p>
          <w:p w14:paraId="09E837A3">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4.波纹管：直径 20mm，长度 2m；</w:t>
            </w:r>
          </w:p>
          <w:p w14:paraId="26A72C0E">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5.电工胶带：若干；</w:t>
            </w:r>
          </w:p>
          <w:p w14:paraId="1DFE1FC5">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6.扎带：若干；</w:t>
            </w:r>
          </w:p>
          <w:p w14:paraId="6BA5C3FA">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7.螺丝：若干。</w:t>
            </w:r>
          </w:p>
        </w:tc>
        <w:tc>
          <w:tcPr>
            <w:tcW w:w="1000" w:type="dxa"/>
            <w:vAlign w:val="center"/>
          </w:tcPr>
          <w:p w14:paraId="2ABF109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套</w:t>
            </w:r>
          </w:p>
        </w:tc>
        <w:tc>
          <w:tcPr>
            <w:tcW w:w="708" w:type="dxa"/>
            <w:vAlign w:val="center"/>
          </w:tcPr>
          <w:p w14:paraId="71761A08">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color w:val="auto"/>
                <w:sz w:val="24"/>
                <w:szCs w:val="24"/>
                <w:vertAlign w:val="baseline"/>
              </w:rPr>
            </w:pPr>
          </w:p>
        </w:tc>
      </w:tr>
      <w:tr w14:paraId="3028B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23E3A3C0">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16</w:t>
            </w:r>
          </w:p>
        </w:tc>
        <w:tc>
          <w:tcPr>
            <w:tcW w:w="1483" w:type="dxa"/>
            <w:vAlign w:val="center"/>
          </w:tcPr>
          <w:p w14:paraId="24F6825A">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color w:val="auto"/>
                <w:sz w:val="24"/>
                <w:szCs w:val="24"/>
                <w:vertAlign w:val="baseline"/>
              </w:rPr>
            </w:pPr>
            <w:r>
              <w:rPr>
                <w:rFonts w:hint="eastAsia"/>
                <w:color w:val="auto"/>
                <w:sz w:val="24"/>
                <w:szCs w:val="24"/>
                <w:vertAlign w:val="baseline"/>
              </w:rPr>
              <w:t>配线</w:t>
            </w:r>
          </w:p>
        </w:tc>
        <w:tc>
          <w:tcPr>
            <w:tcW w:w="4667" w:type="dxa"/>
          </w:tcPr>
          <w:p w14:paraId="1ABB37F3">
            <w:pPr>
              <w:keepNext w:val="0"/>
              <w:keepLines w:val="0"/>
              <w:pageBreakBefore w:val="0"/>
              <w:widowControl w:val="0"/>
              <w:kinsoku w:val="0"/>
              <w:wordWrap/>
              <w:overflowPunct/>
              <w:topLinePunct w:val="0"/>
              <w:autoSpaceDE w:val="0"/>
              <w:autoSpaceDN w:val="0"/>
              <w:bidi w:val="0"/>
              <w:adjustRightInd w:val="0"/>
              <w:snapToGrid w:val="0"/>
              <w:spacing w:line="360" w:lineRule="auto"/>
              <w:jc w:val="both"/>
              <w:rPr>
                <w:rFonts w:hint="eastAsia"/>
                <w:color w:val="auto"/>
                <w:sz w:val="24"/>
                <w:szCs w:val="24"/>
                <w:vertAlign w:val="baseline"/>
              </w:rPr>
            </w:pPr>
            <w:r>
              <w:rPr>
                <w:rFonts w:hint="eastAsia"/>
                <w:color w:val="auto"/>
                <w:sz w:val="24"/>
                <w:szCs w:val="24"/>
                <w:vertAlign w:val="baseline"/>
              </w:rPr>
              <w:t>四芯水工线缆：规格 0.5mm</w:t>
            </w:r>
          </w:p>
        </w:tc>
        <w:tc>
          <w:tcPr>
            <w:tcW w:w="1000" w:type="dxa"/>
            <w:vAlign w:val="center"/>
          </w:tcPr>
          <w:p w14:paraId="5E3DEFE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m</w:t>
            </w:r>
          </w:p>
        </w:tc>
        <w:tc>
          <w:tcPr>
            <w:tcW w:w="708" w:type="dxa"/>
            <w:vAlign w:val="center"/>
          </w:tcPr>
          <w:p w14:paraId="310D71B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220</w:t>
            </w:r>
          </w:p>
        </w:tc>
      </w:tr>
      <w:tr w14:paraId="16A3C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1986B0AF">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17</w:t>
            </w:r>
          </w:p>
        </w:tc>
        <w:tc>
          <w:tcPr>
            <w:tcW w:w="1483" w:type="dxa"/>
            <w:vAlign w:val="center"/>
          </w:tcPr>
          <w:p w14:paraId="6F4E0BB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配管</w:t>
            </w:r>
          </w:p>
        </w:tc>
        <w:tc>
          <w:tcPr>
            <w:tcW w:w="4667" w:type="dxa"/>
            <w:vAlign w:val="center"/>
          </w:tcPr>
          <w:p w14:paraId="6059BC6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PVC 管：直径 50mm</w:t>
            </w:r>
          </w:p>
        </w:tc>
        <w:tc>
          <w:tcPr>
            <w:tcW w:w="1000" w:type="dxa"/>
            <w:vAlign w:val="center"/>
          </w:tcPr>
          <w:p w14:paraId="0EE2A98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m</w:t>
            </w:r>
          </w:p>
        </w:tc>
        <w:tc>
          <w:tcPr>
            <w:tcW w:w="708" w:type="dxa"/>
            <w:vAlign w:val="center"/>
          </w:tcPr>
          <w:p w14:paraId="20A906B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88</w:t>
            </w:r>
          </w:p>
        </w:tc>
      </w:tr>
      <w:tr w14:paraId="7B8E5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37A0623E">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18</w:t>
            </w:r>
          </w:p>
        </w:tc>
        <w:tc>
          <w:tcPr>
            <w:tcW w:w="1483" w:type="dxa"/>
            <w:vAlign w:val="center"/>
          </w:tcPr>
          <w:p w14:paraId="2D044FD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配管</w:t>
            </w:r>
          </w:p>
        </w:tc>
        <w:tc>
          <w:tcPr>
            <w:tcW w:w="4667" w:type="dxa"/>
            <w:vAlign w:val="center"/>
          </w:tcPr>
          <w:p w14:paraId="44C736E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塑料波纹管20</w:t>
            </w:r>
          </w:p>
        </w:tc>
        <w:tc>
          <w:tcPr>
            <w:tcW w:w="1000" w:type="dxa"/>
            <w:vAlign w:val="center"/>
          </w:tcPr>
          <w:p w14:paraId="5558042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m</w:t>
            </w:r>
          </w:p>
        </w:tc>
        <w:tc>
          <w:tcPr>
            <w:tcW w:w="708" w:type="dxa"/>
            <w:vAlign w:val="center"/>
          </w:tcPr>
          <w:p w14:paraId="0067363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44</w:t>
            </w:r>
          </w:p>
        </w:tc>
      </w:tr>
      <w:tr w14:paraId="3BFDF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781271A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19</w:t>
            </w:r>
          </w:p>
        </w:tc>
        <w:tc>
          <w:tcPr>
            <w:tcW w:w="1483" w:type="dxa"/>
            <w:vAlign w:val="center"/>
          </w:tcPr>
          <w:p w14:paraId="5454148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安装及调试费</w:t>
            </w:r>
          </w:p>
        </w:tc>
        <w:tc>
          <w:tcPr>
            <w:tcW w:w="4667" w:type="dxa"/>
            <w:vAlign w:val="center"/>
          </w:tcPr>
          <w:p w14:paraId="45936FD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设备转运安装，就位，测试，调试</w:t>
            </w:r>
          </w:p>
        </w:tc>
        <w:tc>
          <w:tcPr>
            <w:tcW w:w="1000" w:type="dxa"/>
            <w:vAlign w:val="center"/>
          </w:tcPr>
          <w:p w14:paraId="65AC83D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项</w:t>
            </w:r>
          </w:p>
        </w:tc>
        <w:tc>
          <w:tcPr>
            <w:tcW w:w="708" w:type="dxa"/>
            <w:vAlign w:val="center"/>
          </w:tcPr>
          <w:p w14:paraId="0B82B08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22</w:t>
            </w:r>
          </w:p>
        </w:tc>
      </w:tr>
      <w:tr w14:paraId="72EC2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434DAFE4">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20</w:t>
            </w:r>
          </w:p>
        </w:tc>
        <w:tc>
          <w:tcPr>
            <w:tcW w:w="1483" w:type="dxa"/>
            <w:vAlign w:val="center"/>
          </w:tcPr>
          <w:p w14:paraId="2E165B3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数据对接费</w:t>
            </w:r>
          </w:p>
        </w:tc>
        <w:tc>
          <w:tcPr>
            <w:tcW w:w="4667" w:type="dxa"/>
            <w:vAlign w:val="center"/>
          </w:tcPr>
          <w:p w14:paraId="081ADFA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数据与各级平台进行对接展示</w:t>
            </w:r>
          </w:p>
        </w:tc>
        <w:tc>
          <w:tcPr>
            <w:tcW w:w="1000" w:type="dxa"/>
            <w:vAlign w:val="center"/>
          </w:tcPr>
          <w:p w14:paraId="13B3DA4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项</w:t>
            </w:r>
          </w:p>
        </w:tc>
        <w:tc>
          <w:tcPr>
            <w:tcW w:w="708" w:type="dxa"/>
            <w:vAlign w:val="center"/>
          </w:tcPr>
          <w:p w14:paraId="7C561A0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22</w:t>
            </w:r>
          </w:p>
        </w:tc>
      </w:tr>
      <w:tr w14:paraId="2ECCE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38BEB342">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21</w:t>
            </w:r>
          </w:p>
        </w:tc>
        <w:tc>
          <w:tcPr>
            <w:tcW w:w="1483" w:type="dxa"/>
            <w:vAlign w:val="center"/>
          </w:tcPr>
          <w:p w14:paraId="7C21922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比测率定</w:t>
            </w:r>
          </w:p>
        </w:tc>
        <w:tc>
          <w:tcPr>
            <w:tcW w:w="4667" w:type="dxa"/>
            <w:vAlign w:val="center"/>
          </w:tcPr>
          <w:p w14:paraId="2E9C730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水位流量率定</w:t>
            </w:r>
          </w:p>
        </w:tc>
        <w:tc>
          <w:tcPr>
            <w:tcW w:w="1000" w:type="dxa"/>
            <w:vAlign w:val="center"/>
          </w:tcPr>
          <w:p w14:paraId="3954F55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项</w:t>
            </w:r>
          </w:p>
        </w:tc>
        <w:tc>
          <w:tcPr>
            <w:tcW w:w="708" w:type="dxa"/>
            <w:vAlign w:val="center"/>
          </w:tcPr>
          <w:p w14:paraId="2D76C0E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22</w:t>
            </w:r>
          </w:p>
        </w:tc>
      </w:tr>
      <w:tr w14:paraId="627A9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5"/>
            <w:vAlign w:val="center"/>
          </w:tcPr>
          <w:p w14:paraId="3BBF4C28">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color w:val="auto"/>
                <w:sz w:val="24"/>
                <w:szCs w:val="24"/>
                <w:vertAlign w:val="baseline"/>
              </w:rPr>
            </w:pPr>
            <w:r>
              <w:rPr>
                <w:rFonts w:hint="eastAsia"/>
                <w:color w:val="auto"/>
                <w:sz w:val="24"/>
                <w:szCs w:val="24"/>
                <w:vertAlign w:val="baseline"/>
              </w:rPr>
              <w:t>渠道基础土建</w:t>
            </w:r>
          </w:p>
        </w:tc>
      </w:tr>
      <w:tr w14:paraId="31E77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1CA391FF">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22</w:t>
            </w:r>
          </w:p>
        </w:tc>
        <w:tc>
          <w:tcPr>
            <w:tcW w:w="1483" w:type="dxa"/>
            <w:vAlign w:val="center"/>
          </w:tcPr>
          <w:p w14:paraId="7258902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挖沟槽土方</w:t>
            </w:r>
          </w:p>
        </w:tc>
        <w:tc>
          <w:tcPr>
            <w:tcW w:w="4667" w:type="dxa"/>
            <w:vAlign w:val="center"/>
          </w:tcPr>
          <w:p w14:paraId="3596681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1.反铲挖掘机(斗容量1.0m3)不装车 三类土;</w:t>
            </w:r>
          </w:p>
        </w:tc>
        <w:tc>
          <w:tcPr>
            <w:tcW w:w="1000" w:type="dxa"/>
            <w:vAlign w:val="center"/>
          </w:tcPr>
          <w:p w14:paraId="466B32E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m3</w:t>
            </w:r>
          </w:p>
        </w:tc>
        <w:tc>
          <w:tcPr>
            <w:tcW w:w="708" w:type="dxa"/>
            <w:vAlign w:val="center"/>
          </w:tcPr>
          <w:p w14:paraId="7712C62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61.6</w:t>
            </w:r>
          </w:p>
        </w:tc>
      </w:tr>
      <w:tr w14:paraId="198F9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7325E78E">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23</w:t>
            </w:r>
          </w:p>
        </w:tc>
        <w:tc>
          <w:tcPr>
            <w:tcW w:w="1483" w:type="dxa"/>
            <w:vAlign w:val="center"/>
          </w:tcPr>
          <w:p w14:paraId="495E7B4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回填方</w:t>
            </w:r>
          </w:p>
        </w:tc>
        <w:tc>
          <w:tcPr>
            <w:tcW w:w="4667" w:type="dxa"/>
            <w:vAlign w:val="center"/>
          </w:tcPr>
          <w:p w14:paraId="145D2B0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1.机械填土夯实 槽、坑;</w:t>
            </w:r>
          </w:p>
        </w:tc>
        <w:tc>
          <w:tcPr>
            <w:tcW w:w="1000" w:type="dxa"/>
            <w:vAlign w:val="center"/>
          </w:tcPr>
          <w:p w14:paraId="160B734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m3</w:t>
            </w:r>
          </w:p>
        </w:tc>
        <w:tc>
          <w:tcPr>
            <w:tcW w:w="708" w:type="dxa"/>
            <w:vAlign w:val="center"/>
          </w:tcPr>
          <w:p w14:paraId="7DD00D4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46.2</w:t>
            </w:r>
          </w:p>
        </w:tc>
      </w:tr>
      <w:tr w14:paraId="60CC1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4AAA4040">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24</w:t>
            </w:r>
          </w:p>
        </w:tc>
        <w:tc>
          <w:tcPr>
            <w:tcW w:w="1483" w:type="dxa"/>
            <w:vAlign w:val="center"/>
          </w:tcPr>
          <w:p w14:paraId="348FD4B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混凝土基础</w:t>
            </w:r>
          </w:p>
        </w:tc>
        <w:tc>
          <w:tcPr>
            <w:tcW w:w="4667" w:type="dxa"/>
            <w:vAlign w:val="center"/>
          </w:tcPr>
          <w:p w14:paraId="7FB9F2E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1.现浇混凝土构件 混凝土底板 [现拌c25混凝土];</w:t>
            </w:r>
          </w:p>
        </w:tc>
        <w:tc>
          <w:tcPr>
            <w:tcW w:w="1000" w:type="dxa"/>
            <w:vAlign w:val="center"/>
          </w:tcPr>
          <w:p w14:paraId="102D7E3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m3</w:t>
            </w:r>
          </w:p>
        </w:tc>
        <w:tc>
          <w:tcPr>
            <w:tcW w:w="708" w:type="dxa"/>
            <w:vAlign w:val="center"/>
          </w:tcPr>
          <w:p w14:paraId="619AB79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48.4</w:t>
            </w:r>
          </w:p>
        </w:tc>
      </w:tr>
      <w:tr w14:paraId="1C266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6E1E655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25</w:t>
            </w:r>
          </w:p>
        </w:tc>
        <w:tc>
          <w:tcPr>
            <w:tcW w:w="1483" w:type="dxa"/>
            <w:vAlign w:val="center"/>
          </w:tcPr>
          <w:p w14:paraId="6D23A5B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混凝土挡墙墙身</w:t>
            </w:r>
          </w:p>
        </w:tc>
        <w:tc>
          <w:tcPr>
            <w:tcW w:w="4667" w:type="dxa"/>
            <w:vAlign w:val="center"/>
          </w:tcPr>
          <w:p w14:paraId="39C62CA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1.现浇混凝土构件 挡墙墙身 混凝土 [现拌c25混凝土];</w:t>
            </w:r>
          </w:p>
        </w:tc>
        <w:tc>
          <w:tcPr>
            <w:tcW w:w="1000" w:type="dxa"/>
            <w:vAlign w:val="center"/>
          </w:tcPr>
          <w:p w14:paraId="79556B7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m3</w:t>
            </w:r>
          </w:p>
        </w:tc>
        <w:tc>
          <w:tcPr>
            <w:tcW w:w="708" w:type="dxa"/>
            <w:vAlign w:val="center"/>
          </w:tcPr>
          <w:p w14:paraId="3DE9307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94.6</w:t>
            </w:r>
          </w:p>
        </w:tc>
      </w:tr>
      <w:tr w14:paraId="19E1B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042A4A69">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26</w:t>
            </w:r>
          </w:p>
        </w:tc>
        <w:tc>
          <w:tcPr>
            <w:tcW w:w="1483" w:type="dxa"/>
            <w:vAlign w:val="center"/>
          </w:tcPr>
          <w:p w14:paraId="6E5AC67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混凝土挡墙墙身</w:t>
            </w:r>
          </w:p>
        </w:tc>
        <w:tc>
          <w:tcPr>
            <w:tcW w:w="4667" w:type="dxa"/>
            <w:vAlign w:val="center"/>
          </w:tcPr>
          <w:p w14:paraId="44E160C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1.现浇混凝土构件 挡墙墙身 模板;</w:t>
            </w:r>
          </w:p>
        </w:tc>
        <w:tc>
          <w:tcPr>
            <w:tcW w:w="1000" w:type="dxa"/>
            <w:vAlign w:val="center"/>
          </w:tcPr>
          <w:p w14:paraId="05496C4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m2</w:t>
            </w:r>
          </w:p>
        </w:tc>
        <w:tc>
          <w:tcPr>
            <w:tcW w:w="708" w:type="dxa"/>
            <w:vAlign w:val="center"/>
          </w:tcPr>
          <w:p w14:paraId="131D66A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679.8</w:t>
            </w:r>
          </w:p>
        </w:tc>
      </w:tr>
      <w:tr w14:paraId="26375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5"/>
            <w:vAlign w:val="center"/>
          </w:tcPr>
          <w:p w14:paraId="65923DC4">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指挥中心建设</w:t>
            </w:r>
          </w:p>
        </w:tc>
      </w:tr>
      <w:tr w14:paraId="125EA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41256B21">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27</w:t>
            </w:r>
          </w:p>
        </w:tc>
        <w:tc>
          <w:tcPr>
            <w:tcW w:w="1483" w:type="dxa"/>
            <w:vAlign w:val="center"/>
          </w:tcPr>
          <w:p w14:paraId="2C402F1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显示屏、表示盘</w:t>
            </w:r>
          </w:p>
        </w:tc>
        <w:tc>
          <w:tcPr>
            <w:tcW w:w="4667" w:type="dxa"/>
            <w:vAlign w:val="center"/>
          </w:tcPr>
          <w:p w14:paraId="563C2B1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1.像素间距≤1.53mm</w:t>
            </w:r>
          </w:p>
          <w:p w14:paraId="269BE7D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2.视角：水平视角:≥170°，垂直视角:≥170°</w:t>
            </w:r>
          </w:p>
          <w:p w14:paraId="612A6F2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3.白平衡亮度≥800nits</w:t>
            </w:r>
          </w:p>
          <w:p w14:paraId="104BF0A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4.色温：3000K-38000K可调</w:t>
            </w:r>
          </w:p>
          <w:p w14:paraId="577EC76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5.亮度均匀性≥99%</w:t>
            </w:r>
          </w:p>
          <w:p w14:paraId="69191F3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6.色度均匀性：在±0.002 Cx，Cy之内</w:t>
            </w:r>
          </w:p>
          <w:p w14:paraId="45E576C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7.对比度≥6000:1</w:t>
            </w:r>
          </w:p>
          <w:p w14:paraId="13812E1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8.刷新率≥3840Hz</w:t>
            </w:r>
          </w:p>
          <w:p w14:paraId="2E010CB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9.彩色信号处理位数≥16bit</w:t>
            </w:r>
          </w:p>
          <w:p w14:paraId="096DA93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10.像素失控率≤0.00001</w:t>
            </w:r>
          </w:p>
          <w:p w14:paraId="17FFC6B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11.换帧频率：50&amp;60Hz</w:t>
            </w:r>
          </w:p>
          <w:p w14:paraId="0144CE1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12.功耗 ：峰值功耗:≤350W/㎡，平均功耗:≤100W/㎡</w:t>
            </w:r>
          </w:p>
          <w:p w14:paraId="4D9D172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13.泄漏电流：I(漏)≤2mA/m²</w:t>
            </w:r>
          </w:p>
          <w:p w14:paraId="2DB78DF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14.平整度≤0.04mm</w:t>
            </w:r>
          </w:p>
          <w:p w14:paraId="221F570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15.故障平均修复时间(MTTR)≤3min</w:t>
            </w:r>
          </w:p>
          <w:p w14:paraId="0CD5C4A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16.模组后盖设计，美化外观，防护性增强</w:t>
            </w:r>
          </w:p>
        </w:tc>
        <w:tc>
          <w:tcPr>
            <w:tcW w:w="1000" w:type="dxa"/>
            <w:vAlign w:val="center"/>
          </w:tcPr>
          <w:p w14:paraId="4346484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m2</w:t>
            </w:r>
          </w:p>
        </w:tc>
        <w:tc>
          <w:tcPr>
            <w:tcW w:w="708" w:type="dxa"/>
            <w:vAlign w:val="center"/>
          </w:tcPr>
          <w:p w14:paraId="4B7274B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10</w:t>
            </w:r>
          </w:p>
        </w:tc>
      </w:tr>
      <w:tr w14:paraId="10FF0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5B1F945D">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28</w:t>
            </w:r>
          </w:p>
        </w:tc>
        <w:tc>
          <w:tcPr>
            <w:tcW w:w="1483" w:type="dxa"/>
            <w:vAlign w:val="center"/>
          </w:tcPr>
          <w:p w14:paraId="193D09E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屏体辅材</w:t>
            </w:r>
          </w:p>
        </w:tc>
        <w:tc>
          <w:tcPr>
            <w:tcW w:w="4667" w:type="dxa"/>
            <w:vAlign w:val="center"/>
          </w:tcPr>
          <w:p w14:paraId="5CCB80F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接收卡成品线26根、短网线60cm26根</w:t>
            </w:r>
          </w:p>
        </w:tc>
        <w:tc>
          <w:tcPr>
            <w:tcW w:w="1000" w:type="dxa"/>
            <w:vAlign w:val="center"/>
          </w:tcPr>
          <w:p w14:paraId="5128340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套</w:t>
            </w:r>
          </w:p>
        </w:tc>
        <w:tc>
          <w:tcPr>
            <w:tcW w:w="708" w:type="dxa"/>
            <w:vAlign w:val="center"/>
          </w:tcPr>
          <w:p w14:paraId="3FD6B2C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1</w:t>
            </w:r>
          </w:p>
        </w:tc>
      </w:tr>
      <w:tr w14:paraId="3F174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043BF064">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29</w:t>
            </w:r>
          </w:p>
        </w:tc>
        <w:tc>
          <w:tcPr>
            <w:tcW w:w="1483" w:type="dxa"/>
            <w:vAlign w:val="center"/>
          </w:tcPr>
          <w:p w14:paraId="2AF569A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LED播放软件</w:t>
            </w:r>
          </w:p>
        </w:tc>
        <w:tc>
          <w:tcPr>
            <w:tcW w:w="4667" w:type="dxa"/>
            <w:vAlign w:val="center"/>
          </w:tcPr>
          <w:p w14:paraId="2A82B50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用于 LED 显示屏控制和播放的专业软件。该软件功能丰富、性能优越，兼具良好 的操作界面，易学易用。支持视频、音频、图像、文字、Flash、Gif 等形式的媒体文件播放;支持 Microsoft office 的 Word、Excel、PPT 显示;支持时钟、计时、天气预报显示;支持外部视频信号(TV、AV、S-Video、 复合视频)播放;支持多页面多分区节目编辑;软件提供了丰富灵活的视频切换功能、分区特效，以 及三维特效动画，让显示屏的显示效果得到完美展现。</w:t>
            </w:r>
          </w:p>
        </w:tc>
        <w:tc>
          <w:tcPr>
            <w:tcW w:w="1000" w:type="dxa"/>
            <w:vAlign w:val="center"/>
          </w:tcPr>
          <w:p w14:paraId="1564159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套</w:t>
            </w:r>
          </w:p>
        </w:tc>
        <w:tc>
          <w:tcPr>
            <w:tcW w:w="708" w:type="dxa"/>
            <w:vAlign w:val="center"/>
          </w:tcPr>
          <w:p w14:paraId="168F233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1</w:t>
            </w:r>
          </w:p>
        </w:tc>
      </w:tr>
      <w:tr w14:paraId="2E047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7496EF48">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30</w:t>
            </w:r>
          </w:p>
        </w:tc>
        <w:tc>
          <w:tcPr>
            <w:tcW w:w="1483" w:type="dxa"/>
            <w:vAlign w:val="center"/>
          </w:tcPr>
          <w:p w14:paraId="21F9C6C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接收卡</w:t>
            </w:r>
          </w:p>
        </w:tc>
        <w:tc>
          <w:tcPr>
            <w:tcW w:w="4667" w:type="dxa"/>
            <w:vAlign w:val="center"/>
          </w:tcPr>
          <w:p w14:paraId="18C26A9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1.集成12个HUB75，无需再配转接板</w:t>
            </w:r>
          </w:p>
          <w:p w14:paraId="450912A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2.单卡最大带载192×1024像素，最多支持24组并行数据</w:t>
            </w:r>
          </w:p>
          <w:p w14:paraId="1C1EE07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3.支持8bit色深视频源输入输出，单色灰阶为256，可搭配出16777216种混合色彩。</w:t>
            </w:r>
          </w:p>
          <w:p w14:paraId="09B1ECE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4.支持自适应帧率技术，不仅支23.98/24/29.97/30/50/59.94/60Hz常规及非整数帧率，还可输出显示120/240Hz高帧率画面，大幅提升画面流畅度、减少拖影。</w:t>
            </w:r>
          </w:p>
          <w:p w14:paraId="6A3CE7E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5.支持色温调节，提供调整色温，即饱和度调节，增强画面表现力</w:t>
            </w:r>
          </w:p>
          <w:p w14:paraId="208E6DC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6.支持低亮高灰</w:t>
            </w:r>
          </w:p>
          <w:p w14:paraId="3D6CBA5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7.支持亮色度逐点校正，能有效消除灯点色差，保证整屏的颜色亮度的均匀性和一致性，提升整体显示效果</w:t>
            </w:r>
          </w:p>
          <w:p w14:paraId="6CFCFB9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8.支持箱体标定和快速标序</w:t>
            </w:r>
          </w:p>
          <w:p w14:paraId="0734407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9.支持画面旋转，单个箱体画面以90°/180°/270°角度进行旋转，配合部分主控可实现单箱体画面任意角度旋转显示</w:t>
            </w:r>
          </w:p>
          <w:p w14:paraId="3CDC115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10.支持数据偏移，支持误码侦测</w:t>
            </w:r>
          </w:p>
          <w:p w14:paraId="412B332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11.支持环路备份，支持固件备份</w:t>
            </w:r>
          </w:p>
        </w:tc>
        <w:tc>
          <w:tcPr>
            <w:tcW w:w="1000" w:type="dxa"/>
            <w:vAlign w:val="center"/>
          </w:tcPr>
          <w:p w14:paraId="268A3B4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张</w:t>
            </w:r>
          </w:p>
        </w:tc>
        <w:tc>
          <w:tcPr>
            <w:tcW w:w="708" w:type="dxa"/>
            <w:vAlign w:val="center"/>
          </w:tcPr>
          <w:p w14:paraId="75791FD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26</w:t>
            </w:r>
          </w:p>
        </w:tc>
      </w:tr>
      <w:tr w14:paraId="5EC41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0F7E850D">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31</w:t>
            </w:r>
          </w:p>
        </w:tc>
        <w:tc>
          <w:tcPr>
            <w:tcW w:w="1483" w:type="dxa"/>
            <w:vAlign w:val="center"/>
          </w:tcPr>
          <w:p w14:paraId="20305AD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视频控制器</w:t>
            </w:r>
          </w:p>
        </w:tc>
        <w:tc>
          <w:tcPr>
            <w:tcW w:w="4667" w:type="dxa"/>
            <w:vAlign w:val="center"/>
          </w:tcPr>
          <w:p w14:paraId="5EF45B9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 专业主控是针对LED显示屏工程应用领域的专业级控制系统和视频处理设备，具备丰富的视频信号接口。支持DVI、HDMI、SDI等高清数字接口，多路信号间无缝切换，支持广播级缩放及多画面显示。</w:t>
            </w:r>
          </w:p>
          <w:p w14:paraId="2DAB580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2. 专业主控具备8个千兆网口输出，单机可支持最宽8192像素或最高4096像素的LED显示屏。同时还具备一系列丰富实用的功能，可以实现灵活的屏幕控制和高品质的图像显示，在LED显示屏工程应用领域具有显著优势。</w:t>
            </w:r>
          </w:p>
          <w:p w14:paraId="217D493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3. 丰富的数字信号接口，包括2路DVI，1路HDMI，1路SDI</w:t>
            </w:r>
          </w:p>
          <w:p w14:paraId="0BD6E19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4. 最大带载520万像素，最宽可达8192点，或最高可达4096点</w:t>
            </w:r>
          </w:p>
          <w:p w14:paraId="7877707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5. 最大输入分辨率1920×1200@60Hz，支持分辨率任意设置</w:t>
            </w:r>
          </w:p>
          <w:p w14:paraId="6E6E5E2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6. 8路千兆网口输出，支持单机或双机冗余备份</w:t>
            </w:r>
          </w:p>
          <w:p w14:paraId="6E7430F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7. 对视频信号任意切换，裁剪，拼接，缩放</w:t>
            </w:r>
          </w:p>
          <w:p w14:paraId="480AF75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8. 3画面显示，位置、大小可自由调节</w:t>
            </w:r>
          </w:p>
          <w:p w14:paraId="0A57A82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9. 独立音频输入和音频输出，支持HDMI音频解析</w:t>
            </w:r>
          </w:p>
          <w:p w14:paraId="2388C72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10. RS232串口协议控制</w:t>
            </w:r>
          </w:p>
          <w:p w14:paraId="7ADA194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11. HDCP高带宽数字内容保护技术</w:t>
            </w:r>
          </w:p>
          <w:p w14:paraId="03472D9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12.亮度和色温调节</w:t>
            </w:r>
          </w:p>
          <w:p w14:paraId="053BFE0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13.低灰高亮，能有效地保护低亮下灰阶的完整并完美显示</w:t>
            </w:r>
          </w:p>
        </w:tc>
        <w:tc>
          <w:tcPr>
            <w:tcW w:w="1000" w:type="dxa"/>
            <w:vAlign w:val="center"/>
          </w:tcPr>
          <w:p w14:paraId="043A2A1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台</w:t>
            </w:r>
          </w:p>
        </w:tc>
        <w:tc>
          <w:tcPr>
            <w:tcW w:w="708" w:type="dxa"/>
            <w:vAlign w:val="center"/>
          </w:tcPr>
          <w:p w14:paraId="02FE564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1</w:t>
            </w:r>
          </w:p>
        </w:tc>
      </w:tr>
      <w:tr w14:paraId="54731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72E3E17C">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32</w:t>
            </w:r>
          </w:p>
        </w:tc>
        <w:tc>
          <w:tcPr>
            <w:tcW w:w="1483" w:type="dxa"/>
            <w:vAlign w:val="center"/>
          </w:tcPr>
          <w:p w14:paraId="241498C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电源</w:t>
            </w:r>
          </w:p>
        </w:tc>
        <w:tc>
          <w:tcPr>
            <w:tcW w:w="4667" w:type="dxa"/>
            <w:vAlign w:val="center"/>
          </w:tcPr>
          <w:p w14:paraId="6A387AC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1.单进单出纯在线式高频机，容量为6KVA/5.4KW。</w:t>
            </w:r>
          </w:p>
          <w:p w14:paraId="0F16673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2.输入电压范围应不小于：176~264VAC。</w:t>
            </w:r>
          </w:p>
          <w:p w14:paraId="58318C9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3.输入电压与频率为额定值时，输出为额定非线性负载时，输入功率因数应≥0.992。</w:t>
            </w:r>
          </w:p>
          <w:p w14:paraId="7EFE3C1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4.输入电流谐波成份：输入电压与频率为额定值，输出为额定非线性负载时，总谐波成份应 ≤3.1%。</w:t>
            </w:r>
          </w:p>
          <w:p w14:paraId="0D4EB8F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5.输入频率变化范围：输出为额定阻性负载时，调节输入频率为上下限值时，频率跟踪范围不小于48Hz-52Hz。</w:t>
            </w:r>
          </w:p>
          <w:p w14:paraId="7D25400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6.频率跟踪速率：输出为额定阻性负载，调节输入频率为上、下限值时，其频率跟踪速率≤0.5Hz/s。</w:t>
            </w:r>
          </w:p>
          <w:p w14:paraId="7A847A5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7.输出为空载和额定阻性负载，调节输入电压为UPS上、下限值时，其稳压精度应≤0.5%</w:t>
            </w:r>
          </w:p>
          <w:p w14:paraId="65290E2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8.输出电压范围：220/230/240V≤±1%。</w:t>
            </w:r>
          </w:p>
          <w:p w14:paraId="2425DDD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9.输出波形失真度：正常工作、额定非线性负载≤ 4.7% ，电池逆变工作、额定非线性负载≤ 3.0%；正常工作、额定阻性负载：≤0.8%，电池逆变工作、额定阻性负载：≤1%。</w:t>
            </w:r>
          </w:p>
          <w:p w14:paraId="642C89C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10.在正常工作方式时，输出接阻性负载，使输出电流由零突加至额定值，动态电压瞬变范围应≤3.2%。再由额定值突减至零，动态电压瞬变范围应≤2.8%。</w:t>
            </w:r>
          </w:p>
          <w:p w14:paraId="0ED8FE8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11.效率：输入电压为额定值，输出为100%阻性负载时，系统效率应≥86.9%。</w:t>
            </w:r>
          </w:p>
          <w:p w14:paraId="33DAC1B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12.输出功率因数：不小于0.8。</w:t>
            </w:r>
          </w:p>
          <w:p w14:paraId="4E390CD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13.过载能力：输入电压为额定值，输出为阻性负载，输出功率为额定值的125%，工作时间应≥50s。</w:t>
            </w:r>
          </w:p>
          <w:p w14:paraId="0BE1DB5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14.外接电池标称电压：不低于192VDC/16节一组。</w:t>
            </w:r>
          </w:p>
          <w:p w14:paraId="4770CC9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15.充电电流：不小于4.5A。</w:t>
            </w:r>
          </w:p>
          <w:p w14:paraId="2D1CDE6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二、整体要求1.具备直流开机：UPS在没有市电时，可通过所连接的蓄电池组实现直流开机启动。</w:t>
            </w:r>
          </w:p>
          <w:p w14:paraId="340F035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2.UPS主机必须采用工业级设计，要求UPS主机中的功能板件都必须涂敷三防漆工艺。</w:t>
            </w:r>
          </w:p>
          <w:p w14:paraId="02ADAC5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3.为保证负载不间断供电，市电与电池时间转换时间必须为0ms。</w:t>
            </w:r>
          </w:p>
          <w:p w14:paraId="4E930B6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4.要求UPS标配RS232串口，投标方需提供免费的监控软件，软件必须支持大部分常用系统。支持本地监控（10米以内距离通过电脑直连）、支持不少于4台UPS集中监控。</w:t>
            </w:r>
          </w:p>
          <w:p w14:paraId="7190244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5.支持UPS选配其他智能监控卡，支持远程监控、远程关闭服务器（支持多达实现控制200台服务器自动关机）、关闭UPS、支持最大200台UPS集中监控。支持选配干接点监控卡，实现UPS状态及故障告警，干接点信号输出方式等功能。</w:t>
            </w:r>
          </w:p>
          <w:p w14:paraId="15C032A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6.UPS具备输出短路保护、输出过载保护、电池低电压保护、输出过欠压保护、风扇故障保护等功能。</w:t>
            </w:r>
          </w:p>
          <w:p w14:paraId="36C90A3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7.具备ECO节能工作模式，UPS能通过跟踪和检测市电品质，自动调节UPS的工作模式，即在旁路工作模式和逆变工作模式之间转换，以满足节能环保的需要；也可通过手动方式锁定工作模式。</w:t>
            </w:r>
          </w:p>
          <w:p w14:paraId="4E0D0D0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8、具备N+X并联冗余功能，至少应支持3台无主从自适应并机运行。并机系统具备根据负载容量大小自动冗余的性能。</w:t>
            </w:r>
          </w:p>
        </w:tc>
        <w:tc>
          <w:tcPr>
            <w:tcW w:w="1000" w:type="dxa"/>
            <w:vAlign w:val="center"/>
          </w:tcPr>
          <w:p w14:paraId="1FB0F72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套</w:t>
            </w:r>
          </w:p>
        </w:tc>
        <w:tc>
          <w:tcPr>
            <w:tcW w:w="708" w:type="dxa"/>
            <w:vAlign w:val="center"/>
          </w:tcPr>
          <w:p w14:paraId="183B1F1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1</w:t>
            </w:r>
          </w:p>
        </w:tc>
      </w:tr>
      <w:tr w14:paraId="4EDB6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7091BDD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33</w:t>
            </w:r>
          </w:p>
        </w:tc>
        <w:tc>
          <w:tcPr>
            <w:tcW w:w="1483" w:type="dxa"/>
            <w:vAlign w:val="center"/>
          </w:tcPr>
          <w:p w14:paraId="260A32C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配电箱</w:t>
            </w:r>
          </w:p>
        </w:tc>
        <w:tc>
          <w:tcPr>
            <w:tcW w:w="4667" w:type="dxa"/>
            <w:vAlign w:val="center"/>
          </w:tcPr>
          <w:p w14:paraId="3DCF81E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国标纯铜导线,支持手动和远程开关模式</w:t>
            </w:r>
          </w:p>
        </w:tc>
        <w:tc>
          <w:tcPr>
            <w:tcW w:w="1000" w:type="dxa"/>
            <w:vAlign w:val="center"/>
          </w:tcPr>
          <w:p w14:paraId="587F3DF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台</w:t>
            </w:r>
          </w:p>
        </w:tc>
        <w:tc>
          <w:tcPr>
            <w:tcW w:w="708" w:type="dxa"/>
            <w:vAlign w:val="center"/>
          </w:tcPr>
          <w:p w14:paraId="54ABAC2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1</w:t>
            </w:r>
          </w:p>
        </w:tc>
      </w:tr>
      <w:tr w14:paraId="69BDB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0F8E268A">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34</w:t>
            </w:r>
          </w:p>
        </w:tc>
        <w:tc>
          <w:tcPr>
            <w:tcW w:w="1483" w:type="dxa"/>
            <w:vAlign w:val="center"/>
          </w:tcPr>
          <w:p w14:paraId="15075E9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台式电脑</w:t>
            </w:r>
          </w:p>
        </w:tc>
        <w:tc>
          <w:tcPr>
            <w:tcW w:w="4667" w:type="dxa"/>
            <w:vAlign w:val="center"/>
          </w:tcPr>
          <w:p w14:paraId="3C1116C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1、CPU：国产，通过安全可靠性测评，须提供佐证资料。</w:t>
            </w:r>
          </w:p>
          <w:p w14:paraId="5415B77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2、操作系统：国产，通过安全可靠性测评，须提供佐证资料。</w:t>
            </w:r>
          </w:p>
          <w:p w14:paraId="5206A77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3、其他技术参数：符合财政部 工业和信息化部关于印发《台式计算机政府采购需求标准（2023年版）》的通知（财库〔2023〕29号）要求，须提供承诺函。</w:t>
            </w:r>
          </w:p>
        </w:tc>
        <w:tc>
          <w:tcPr>
            <w:tcW w:w="1000" w:type="dxa"/>
            <w:vAlign w:val="center"/>
          </w:tcPr>
          <w:p w14:paraId="3628E21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台</w:t>
            </w:r>
          </w:p>
        </w:tc>
        <w:tc>
          <w:tcPr>
            <w:tcW w:w="708" w:type="dxa"/>
            <w:vAlign w:val="center"/>
          </w:tcPr>
          <w:p w14:paraId="1FB6C58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1</w:t>
            </w:r>
          </w:p>
        </w:tc>
      </w:tr>
      <w:tr w14:paraId="311EB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29D44810">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35</w:t>
            </w:r>
          </w:p>
        </w:tc>
        <w:tc>
          <w:tcPr>
            <w:tcW w:w="1483" w:type="dxa"/>
            <w:vAlign w:val="center"/>
          </w:tcPr>
          <w:p w14:paraId="145CECD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工程布线</w:t>
            </w:r>
          </w:p>
        </w:tc>
        <w:tc>
          <w:tcPr>
            <w:tcW w:w="4667" w:type="dxa"/>
            <w:vAlign w:val="center"/>
          </w:tcPr>
          <w:p w14:paraId="6111C84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YJV-4*6+1*4mm阻燃交联聚乙烯绝缘铜芯电缆 3组 网线12根（备用2根）、磁珠195套、220V交流电源线（国标RVV 3×1.5mm² 3×2.5mm²‌）45cm33根、长排线60cm52根、80cm52根以及含整套系统视频信号、网络信号、安装附件、电源线、插板等所有附件材料及管路铺设安装，强电引入。</w:t>
            </w:r>
          </w:p>
        </w:tc>
        <w:tc>
          <w:tcPr>
            <w:tcW w:w="1000" w:type="dxa"/>
            <w:shd w:val="clear" w:color="FFFFFF" w:fill="FFFFFF"/>
            <w:vAlign w:val="center"/>
          </w:tcPr>
          <w:p w14:paraId="1651DBE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auto"/>
                <w:kern w:val="2"/>
                <w:sz w:val="24"/>
                <w:szCs w:val="24"/>
                <w:u w:val="none"/>
                <w:lang w:val="en-US" w:eastAsia="zh-CN" w:bidi="ar-SA"/>
              </w:rPr>
            </w:pPr>
            <w:r>
              <w:rPr>
                <w:rFonts w:hint="eastAsia" w:ascii="宋体" w:hAnsi="宋体" w:eastAsia="宋体" w:cs="宋体"/>
                <w:i w:val="0"/>
                <w:iCs w:val="0"/>
                <w:color w:val="auto"/>
                <w:kern w:val="0"/>
                <w:sz w:val="24"/>
                <w:szCs w:val="24"/>
                <w:u w:val="none"/>
                <w:lang w:val="en-US" w:eastAsia="zh-CN" w:bidi="ar"/>
              </w:rPr>
              <w:t>项</w:t>
            </w:r>
          </w:p>
        </w:tc>
        <w:tc>
          <w:tcPr>
            <w:tcW w:w="708" w:type="dxa"/>
          </w:tcPr>
          <w:p w14:paraId="06E68D7D">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color w:val="auto"/>
                <w:sz w:val="24"/>
                <w:szCs w:val="24"/>
                <w:vertAlign w:val="baseline"/>
              </w:rPr>
            </w:pPr>
          </w:p>
        </w:tc>
      </w:tr>
      <w:tr w14:paraId="715619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112951CE">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36</w:t>
            </w:r>
          </w:p>
        </w:tc>
        <w:tc>
          <w:tcPr>
            <w:tcW w:w="1483" w:type="dxa"/>
            <w:vAlign w:val="center"/>
          </w:tcPr>
          <w:p w14:paraId="4752906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电力电缆</w:t>
            </w:r>
          </w:p>
        </w:tc>
        <w:tc>
          <w:tcPr>
            <w:tcW w:w="4667" w:type="dxa"/>
            <w:vAlign w:val="center"/>
          </w:tcPr>
          <w:p w14:paraId="64687B3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YJV-4*6+1*4</w:t>
            </w:r>
          </w:p>
        </w:tc>
        <w:tc>
          <w:tcPr>
            <w:tcW w:w="1000" w:type="dxa"/>
            <w:vAlign w:val="center"/>
          </w:tcPr>
          <w:p w14:paraId="6EE2022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m</w:t>
            </w:r>
          </w:p>
        </w:tc>
        <w:tc>
          <w:tcPr>
            <w:tcW w:w="708" w:type="dxa"/>
            <w:vAlign w:val="center"/>
          </w:tcPr>
          <w:p w14:paraId="3472AA9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15</w:t>
            </w:r>
          </w:p>
        </w:tc>
      </w:tr>
      <w:tr w14:paraId="03367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1538E1F5">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37</w:t>
            </w:r>
          </w:p>
        </w:tc>
        <w:tc>
          <w:tcPr>
            <w:tcW w:w="1483" w:type="dxa"/>
            <w:vAlign w:val="center"/>
          </w:tcPr>
          <w:p w14:paraId="132093D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电力电缆</w:t>
            </w:r>
          </w:p>
        </w:tc>
        <w:tc>
          <w:tcPr>
            <w:tcW w:w="4667" w:type="dxa"/>
            <w:vAlign w:val="center"/>
          </w:tcPr>
          <w:p w14:paraId="271BC90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YJV-3*2.5</w:t>
            </w:r>
          </w:p>
        </w:tc>
        <w:tc>
          <w:tcPr>
            <w:tcW w:w="1000" w:type="dxa"/>
            <w:vAlign w:val="center"/>
          </w:tcPr>
          <w:p w14:paraId="1FE3271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m</w:t>
            </w:r>
          </w:p>
        </w:tc>
        <w:tc>
          <w:tcPr>
            <w:tcW w:w="708" w:type="dxa"/>
            <w:vAlign w:val="center"/>
          </w:tcPr>
          <w:p w14:paraId="1B5AEC4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15</w:t>
            </w:r>
          </w:p>
        </w:tc>
      </w:tr>
      <w:tr w14:paraId="51C76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476EDBF0">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38</w:t>
            </w:r>
          </w:p>
        </w:tc>
        <w:tc>
          <w:tcPr>
            <w:tcW w:w="1483" w:type="dxa"/>
            <w:vAlign w:val="center"/>
          </w:tcPr>
          <w:p w14:paraId="40A9349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双绞线缆</w:t>
            </w:r>
          </w:p>
        </w:tc>
        <w:tc>
          <w:tcPr>
            <w:tcW w:w="4667" w:type="dxa"/>
            <w:vAlign w:val="center"/>
          </w:tcPr>
          <w:p w14:paraId="02235A4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网线</w:t>
            </w:r>
          </w:p>
        </w:tc>
        <w:tc>
          <w:tcPr>
            <w:tcW w:w="1000" w:type="dxa"/>
            <w:vAlign w:val="center"/>
          </w:tcPr>
          <w:p w14:paraId="124F2BA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m</w:t>
            </w:r>
          </w:p>
        </w:tc>
        <w:tc>
          <w:tcPr>
            <w:tcW w:w="708" w:type="dxa"/>
            <w:vAlign w:val="center"/>
          </w:tcPr>
          <w:p w14:paraId="07A5525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24</w:t>
            </w:r>
          </w:p>
        </w:tc>
      </w:tr>
      <w:tr w14:paraId="38578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69F35232">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39</w:t>
            </w:r>
          </w:p>
        </w:tc>
        <w:tc>
          <w:tcPr>
            <w:tcW w:w="1483" w:type="dxa"/>
            <w:vAlign w:val="center"/>
          </w:tcPr>
          <w:p w14:paraId="0B554C7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安装调试</w:t>
            </w:r>
          </w:p>
        </w:tc>
        <w:tc>
          <w:tcPr>
            <w:tcW w:w="4667" w:type="dxa"/>
            <w:vAlign w:val="center"/>
          </w:tcPr>
          <w:p w14:paraId="1212BE5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设备转运安装，就位，测试，调试</w:t>
            </w:r>
          </w:p>
        </w:tc>
        <w:tc>
          <w:tcPr>
            <w:tcW w:w="1000" w:type="dxa"/>
          </w:tcPr>
          <w:p w14:paraId="66EA97E9">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color w:val="auto"/>
                <w:sz w:val="24"/>
                <w:szCs w:val="24"/>
                <w:vertAlign w:val="baseline"/>
              </w:rPr>
            </w:pPr>
            <w:r>
              <w:rPr>
                <w:rFonts w:hint="eastAsia"/>
                <w:color w:val="auto"/>
                <w:sz w:val="24"/>
                <w:szCs w:val="24"/>
                <w:vertAlign w:val="baseline"/>
              </w:rPr>
              <w:t>项</w:t>
            </w:r>
          </w:p>
        </w:tc>
        <w:tc>
          <w:tcPr>
            <w:tcW w:w="708" w:type="dxa"/>
          </w:tcPr>
          <w:p w14:paraId="58B31F10">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color w:val="auto"/>
                <w:sz w:val="24"/>
                <w:szCs w:val="24"/>
                <w:vertAlign w:val="baseline"/>
              </w:rPr>
            </w:pPr>
          </w:p>
        </w:tc>
      </w:tr>
      <w:tr w14:paraId="06A8B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6536694F">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40</w:t>
            </w:r>
          </w:p>
        </w:tc>
        <w:tc>
          <w:tcPr>
            <w:tcW w:w="1483" w:type="dxa"/>
            <w:vAlign w:val="center"/>
          </w:tcPr>
          <w:p w14:paraId="083D73C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钢结构</w:t>
            </w:r>
          </w:p>
        </w:tc>
        <w:tc>
          <w:tcPr>
            <w:tcW w:w="4667" w:type="dxa"/>
            <w:vAlign w:val="center"/>
          </w:tcPr>
          <w:p w14:paraId="03A1DE6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1、钢结构必须针对不同安装场地单独设计，实心墙体采用挂墙式安装方式，空心墙体采用落地支架式安装结构；</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2、要求抗绣，抗腐蚀，稳定牢固，不允许存在安全隐患。</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 xml:space="preserve">3、LED彩显钢架主受力钢结构构件均采用Q235B钢。斜拉角钢、钢丝网等附属构件采用Q235钢 屏体焊接小间距钢结构 黑色不锈钢包边 </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宽度大于等于8CM,厚度大于1mm</w:t>
            </w:r>
          </w:p>
        </w:tc>
        <w:tc>
          <w:tcPr>
            <w:tcW w:w="1000" w:type="dxa"/>
            <w:shd w:val="clear" w:color="FFFFFF" w:fill="FFFFFF"/>
            <w:vAlign w:val="center"/>
          </w:tcPr>
          <w:p w14:paraId="2F5FDA9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auto"/>
                <w:kern w:val="2"/>
                <w:sz w:val="24"/>
                <w:szCs w:val="24"/>
                <w:u w:val="none"/>
                <w:lang w:val="en-US" w:eastAsia="zh-CN" w:bidi="ar-SA"/>
              </w:rPr>
            </w:pPr>
            <w:r>
              <w:rPr>
                <w:rFonts w:hint="eastAsia" w:ascii="宋体" w:hAnsi="宋体" w:eastAsia="宋体" w:cs="宋体"/>
                <w:i w:val="0"/>
                <w:iCs w:val="0"/>
                <w:color w:val="auto"/>
                <w:kern w:val="0"/>
                <w:sz w:val="24"/>
                <w:szCs w:val="24"/>
                <w:u w:val="none"/>
                <w:lang w:val="en-US" w:eastAsia="zh-CN" w:bidi="ar"/>
              </w:rPr>
              <w:t>m2</w:t>
            </w:r>
          </w:p>
        </w:tc>
        <w:tc>
          <w:tcPr>
            <w:tcW w:w="708" w:type="dxa"/>
            <w:vAlign w:val="center"/>
          </w:tcPr>
          <w:p w14:paraId="7C577CF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10</w:t>
            </w:r>
          </w:p>
        </w:tc>
      </w:tr>
      <w:tr w14:paraId="4D882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14:paraId="4AB77222">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default"/>
                <w:color w:val="auto"/>
                <w:sz w:val="24"/>
                <w:szCs w:val="24"/>
                <w:vertAlign w:val="baseline"/>
                <w:lang w:val="en-US" w:eastAsia="zh-CN"/>
              </w:rPr>
            </w:pPr>
            <w:r>
              <w:rPr>
                <w:rFonts w:hint="eastAsia"/>
                <w:color w:val="auto"/>
                <w:sz w:val="24"/>
                <w:szCs w:val="24"/>
                <w:vertAlign w:val="baseline"/>
                <w:lang w:val="en-US" w:eastAsia="zh-CN"/>
              </w:rPr>
              <w:t>41</w:t>
            </w:r>
          </w:p>
        </w:tc>
        <w:tc>
          <w:tcPr>
            <w:tcW w:w="1483" w:type="dxa"/>
            <w:vAlign w:val="center"/>
          </w:tcPr>
          <w:p w14:paraId="6E611BF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设备后期维护费</w:t>
            </w:r>
          </w:p>
        </w:tc>
        <w:tc>
          <w:tcPr>
            <w:tcW w:w="4667" w:type="dxa"/>
            <w:vAlign w:val="center"/>
          </w:tcPr>
          <w:p w14:paraId="7FCCD0A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设备后期维护费</w:t>
            </w:r>
          </w:p>
          <w:p w14:paraId="6F1D0CD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一处维护3年，共计22处</w:t>
            </w:r>
          </w:p>
        </w:tc>
        <w:tc>
          <w:tcPr>
            <w:tcW w:w="1000" w:type="dxa"/>
            <w:vAlign w:val="center"/>
          </w:tcPr>
          <w:p w14:paraId="5837B40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处</w:t>
            </w:r>
          </w:p>
        </w:tc>
        <w:tc>
          <w:tcPr>
            <w:tcW w:w="708" w:type="dxa"/>
            <w:vAlign w:val="center"/>
          </w:tcPr>
          <w:p w14:paraId="77778B2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color w:val="auto"/>
                <w:sz w:val="24"/>
                <w:szCs w:val="24"/>
                <w:vertAlign w:val="baseline"/>
              </w:rPr>
            </w:pPr>
            <w:r>
              <w:rPr>
                <w:rFonts w:hint="eastAsia" w:ascii="宋体" w:hAnsi="宋体" w:eastAsia="宋体" w:cs="宋体"/>
                <w:i w:val="0"/>
                <w:iCs w:val="0"/>
                <w:color w:val="auto"/>
                <w:kern w:val="0"/>
                <w:sz w:val="24"/>
                <w:szCs w:val="24"/>
                <w:u w:val="none"/>
                <w:lang w:val="en-US" w:eastAsia="zh-CN" w:bidi="ar"/>
              </w:rPr>
              <w:t>22</w:t>
            </w:r>
          </w:p>
        </w:tc>
      </w:tr>
      <w:tr w14:paraId="59EA2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5"/>
            <w:vAlign w:val="center"/>
          </w:tcPr>
          <w:p w14:paraId="04CD4F0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both"/>
              <w:textAlignment w:val="center"/>
              <w:rPr>
                <w:rFonts w:hint="default" w:ascii="宋体" w:hAnsi="宋体" w:eastAsia="宋体" w:cs="宋体"/>
                <w:i w:val="0"/>
                <w:iCs w:val="0"/>
                <w:color w:val="auto"/>
                <w:kern w:val="0"/>
                <w:sz w:val="24"/>
                <w:szCs w:val="24"/>
                <w:u w:val="none"/>
                <w:lang w:val="en-US" w:eastAsia="zh-CN" w:bidi="ar"/>
              </w:rPr>
            </w:pPr>
            <w:r>
              <w:rPr>
                <w:rFonts w:hint="eastAsia" w:ascii="宋体" w:hAnsi="宋体" w:eastAsia="宋体" w:cs="宋体"/>
                <w:b/>
                <w:bCs/>
                <w:i w:val="0"/>
                <w:iCs w:val="0"/>
                <w:color w:val="auto"/>
                <w:kern w:val="0"/>
                <w:sz w:val="24"/>
                <w:szCs w:val="24"/>
                <w:u w:val="none"/>
                <w:lang w:val="en-US" w:eastAsia="zh-CN" w:bidi="ar"/>
              </w:rPr>
              <w:t>注：各投标人以上所有各项参数须满足，也可优于招标要求，本项目不允许负偏离，正偏离须在报价一览明细表备注栏中注明。</w:t>
            </w:r>
          </w:p>
        </w:tc>
      </w:tr>
    </w:tbl>
    <w:p w14:paraId="47D3C0BD">
      <w:pPr>
        <w:keepNext w:val="0"/>
        <w:keepLines w:val="0"/>
        <w:pageBreakBefore w:val="0"/>
        <w:widowControl/>
        <w:numPr>
          <w:ilvl w:val="0"/>
          <w:numId w:val="1"/>
        </w:numPr>
        <w:suppressLineNumbers w:val="0"/>
        <w:wordWrap/>
        <w:overflowPunct/>
        <w:topLinePunct w:val="0"/>
        <w:bidi w:val="0"/>
        <w:spacing w:line="360" w:lineRule="auto"/>
        <w:jc w:val="both"/>
        <w:rPr>
          <w:rFonts w:hint="eastAsia"/>
          <w:color w:val="auto"/>
          <w:lang w:val="en-US" w:eastAsia="zh-CN"/>
        </w:rPr>
      </w:pPr>
      <w:r>
        <w:rPr>
          <w:rFonts w:hint="eastAsia" w:ascii="宋体" w:hAnsi="宋体" w:eastAsia="宋体" w:cs="宋体"/>
          <w:b/>
          <w:bCs/>
          <w:color w:val="auto"/>
          <w:kern w:val="0"/>
          <w:sz w:val="28"/>
          <w:szCs w:val="28"/>
          <w:lang w:val="en-US" w:eastAsia="zh-CN" w:bidi="ar"/>
        </w:rPr>
        <w:t>安装设计</w:t>
      </w:r>
    </w:p>
    <w:p w14:paraId="3805B3FE">
      <w:pPr>
        <w:keepNext w:val="0"/>
        <w:keepLines w:val="0"/>
        <w:pageBreakBefore w:val="0"/>
        <w:widowControl/>
        <w:suppressLineNumbers w:val="0"/>
        <w:wordWrap/>
        <w:overflowPunct/>
        <w:topLinePunct w:val="0"/>
        <w:bidi w:val="0"/>
        <w:spacing w:line="360" w:lineRule="auto"/>
        <w:ind w:firstLine="560" w:firstLineChars="200"/>
        <w:jc w:val="left"/>
        <w:rPr>
          <w:color w:val="auto"/>
        </w:rPr>
      </w:pPr>
      <w:r>
        <w:rPr>
          <w:rFonts w:hint="eastAsia" w:ascii="宋体" w:hAnsi="宋体" w:eastAsia="宋体" w:cs="宋体"/>
          <w:color w:val="auto"/>
          <w:kern w:val="0"/>
          <w:sz w:val="28"/>
          <w:szCs w:val="28"/>
          <w:lang w:val="en-US" w:eastAsia="zh-CN" w:bidi="ar"/>
        </w:rPr>
        <w:t xml:space="preserve">（1）安装地点选择 </w:t>
      </w:r>
    </w:p>
    <w:p w14:paraId="444F28EE">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①远离强电磁干扰源（如变压器、大功率电机），避免雷达信号 </w:t>
      </w:r>
    </w:p>
    <w:p w14:paraId="2344D209">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被屏蔽或干扰。 </w:t>
      </w:r>
    </w:p>
    <w:p w14:paraId="793DE764">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②环境温度</w:t>
      </w:r>
      <w:r>
        <w:rPr>
          <w:rFonts w:hint="default" w:ascii="Times New Roman" w:hAnsi="Times New Roman" w:eastAsia="宋体" w:cs="Times New Roman"/>
          <w:color w:val="auto"/>
          <w:kern w:val="0"/>
          <w:sz w:val="28"/>
          <w:szCs w:val="28"/>
          <w:lang w:val="en-US" w:eastAsia="zh-CN" w:bidi="ar"/>
        </w:rPr>
        <w:t>-45</w:t>
      </w:r>
      <w:r>
        <w:rPr>
          <w:rFonts w:hint="eastAsia" w:ascii="宋体" w:hAnsi="宋体" w:eastAsia="宋体" w:cs="宋体"/>
          <w:color w:val="auto"/>
          <w:kern w:val="0"/>
          <w:sz w:val="28"/>
          <w:szCs w:val="28"/>
          <w:lang w:val="en-US" w:eastAsia="zh-CN" w:bidi="ar"/>
        </w:rPr>
        <w:t>℃～</w:t>
      </w:r>
      <w:r>
        <w:rPr>
          <w:rFonts w:hint="default" w:ascii="Times New Roman" w:hAnsi="Times New Roman" w:eastAsia="宋体" w:cs="Times New Roman"/>
          <w:color w:val="auto"/>
          <w:kern w:val="0"/>
          <w:sz w:val="28"/>
          <w:szCs w:val="28"/>
          <w:lang w:val="en-US" w:eastAsia="zh-CN" w:bidi="ar"/>
        </w:rPr>
        <w:t>85</w:t>
      </w:r>
      <w:r>
        <w:rPr>
          <w:rFonts w:hint="eastAsia" w:ascii="宋体" w:hAnsi="宋体" w:eastAsia="宋体" w:cs="宋体"/>
          <w:color w:val="auto"/>
          <w:kern w:val="0"/>
          <w:sz w:val="28"/>
          <w:szCs w:val="28"/>
          <w:lang w:val="en-US" w:eastAsia="zh-CN" w:bidi="ar"/>
        </w:rPr>
        <w:t>℃，相对湿度≤</w:t>
      </w:r>
      <w:r>
        <w:rPr>
          <w:rFonts w:hint="default" w:ascii="Times New Roman" w:hAnsi="Times New Roman" w:eastAsia="宋体" w:cs="Times New Roman"/>
          <w:color w:val="auto"/>
          <w:kern w:val="0"/>
          <w:sz w:val="28"/>
          <w:szCs w:val="28"/>
          <w:lang w:val="en-US" w:eastAsia="zh-CN" w:bidi="ar"/>
        </w:rPr>
        <w:t>95%</w:t>
      </w:r>
      <w:r>
        <w:rPr>
          <w:rFonts w:hint="eastAsia" w:ascii="宋体" w:hAnsi="宋体" w:eastAsia="宋体" w:cs="宋体"/>
          <w:color w:val="auto"/>
          <w:kern w:val="0"/>
          <w:sz w:val="28"/>
          <w:szCs w:val="28"/>
          <w:lang w:val="en-US" w:eastAsia="zh-CN" w:bidi="ar"/>
        </w:rPr>
        <w:t xml:space="preserve">（无冷凝），避开粉尘、 </w:t>
      </w:r>
    </w:p>
    <w:p w14:paraId="3BA96BDE">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腐蚀性气体集中区域。 </w:t>
      </w:r>
    </w:p>
    <w:p w14:paraId="5F6610A0">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③避开洪水淹没区，设备安装标高需高于当地历史最高洪水位 </w:t>
      </w:r>
    </w:p>
    <w:p w14:paraId="10179271">
      <w:pPr>
        <w:keepNext w:val="0"/>
        <w:keepLines w:val="0"/>
        <w:pageBreakBefore w:val="0"/>
        <w:widowControl/>
        <w:suppressLineNumbers w:val="0"/>
        <w:wordWrap/>
        <w:overflowPunct/>
        <w:topLinePunct w:val="0"/>
        <w:bidi w:val="0"/>
        <w:spacing w:line="360" w:lineRule="auto"/>
        <w:jc w:val="left"/>
        <w:rPr>
          <w:color w:val="auto"/>
        </w:rPr>
      </w:pPr>
      <w:r>
        <w:rPr>
          <w:rFonts w:hint="default" w:ascii="Times New Roman" w:hAnsi="Times New Roman" w:eastAsia="宋体" w:cs="Times New Roman"/>
          <w:color w:val="auto"/>
          <w:kern w:val="0"/>
          <w:sz w:val="28"/>
          <w:szCs w:val="28"/>
          <w:lang w:val="en-US" w:eastAsia="zh-CN" w:bidi="ar"/>
        </w:rPr>
        <w:t xml:space="preserve">50cm </w:t>
      </w:r>
      <w:r>
        <w:rPr>
          <w:rFonts w:hint="eastAsia" w:ascii="宋体" w:hAnsi="宋体" w:eastAsia="宋体" w:cs="宋体"/>
          <w:color w:val="auto"/>
          <w:kern w:val="0"/>
          <w:sz w:val="28"/>
          <w:szCs w:val="28"/>
          <w:lang w:val="en-US" w:eastAsia="zh-CN" w:bidi="ar"/>
        </w:rPr>
        <w:t xml:space="preserve">以上。 </w:t>
      </w:r>
    </w:p>
    <w:p w14:paraId="18BCE621">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④预留≥</w:t>
      </w:r>
      <w:r>
        <w:rPr>
          <w:rFonts w:hint="default" w:ascii="Times New Roman" w:hAnsi="Times New Roman" w:eastAsia="宋体" w:cs="Times New Roman"/>
          <w:color w:val="auto"/>
          <w:kern w:val="0"/>
          <w:sz w:val="28"/>
          <w:szCs w:val="28"/>
          <w:lang w:val="en-US" w:eastAsia="zh-CN" w:bidi="ar"/>
        </w:rPr>
        <w:t xml:space="preserve">1.5m </w:t>
      </w:r>
      <w:r>
        <w:rPr>
          <w:rFonts w:hint="eastAsia" w:ascii="宋体" w:hAnsi="宋体" w:eastAsia="宋体" w:cs="宋体"/>
          <w:color w:val="auto"/>
          <w:kern w:val="0"/>
          <w:sz w:val="28"/>
          <w:szCs w:val="28"/>
          <w:lang w:val="en-US" w:eastAsia="zh-CN" w:bidi="ar"/>
        </w:rPr>
        <w:t>操作空间，便于传感器校准与后期维护。</w:t>
      </w:r>
    </w:p>
    <w:p w14:paraId="07851AE6">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⑤选择顺直、稳定的渠段，上游顺直段长度</w:t>
      </w:r>
      <w:r>
        <w:rPr>
          <w:rFonts w:hint="default" w:ascii="Times New Roman" w:hAnsi="Times New Roman" w:eastAsia="宋体" w:cs="Times New Roman"/>
          <w:color w:val="auto"/>
          <w:kern w:val="0"/>
          <w:sz w:val="28"/>
          <w:szCs w:val="28"/>
          <w:lang w:val="en-US" w:eastAsia="zh-CN" w:bidi="ar"/>
        </w:rPr>
        <w:t>≥10B</w:t>
      </w:r>
      <w:r>
        <w:rPr>
          <w:rFonts w:hint="eastAsia" w:ascii="宋体" w:hAnsi="宋体" w:eastAsia="宋体" w:cs="宋体"/>
          <w:color w:val="auto"/>
          <w:kern w:val="0"/>
          <w:sz w:val="28"/>
          <w:szCs w:val="28"/>
          <w:lang w:val="en-US" w:eastAsia="zh-CN" w:bidi="ar"/>
        </w:rPr>
        <w:t>（</w:t>
      </w:r>
      <w:r>
        <w:rPr>
          <w:rFonts w:hint="default" w:ascii="Times New Roman" w:hAnsi="Times New Roman" w:eastAsia="宋体" w:cs="Times New Roman"/>
          <w:color w:val="auto"/>
          <w:kern w:val="0"/>
          <w:sz w:val="28"/>
          <w:szCs w:val="28"/>
          <w:lang w:val="en-US" w:eastAsia="zh-CN" w:bidi="ar"/>
        </w:rPr>
        <w:t xml:space="preserve">B </w:t>
      </w:r>
      <w:r>
        <w:rPr>
          <w:rFonts w:hint="eastAsia" w:ascii="宋体" w:hAnsi="宋体" w:eastAsia="宋体" w:cs="宋体"/>
          <w:color w:val="auto"/>
          <w:kern w:val="0"/>
          <w:sz w:val="28"/>
          <w:szCs w:val="28"/>
          <w:lang w:val="en-US" w:eastAsia="zh-CN" w:bidi="ar"/>
        </w:rPr>
        <w:t xml:space="preserve">为明渠有效 </w:t>
      </w:r>
    </w:p>
    <w:p w14:paraId="22E2DFA2">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渠宽），下游顺直段</w:t>
      </w:r>
      <w:r>
        <w:rPr>
          <w:rFonts w:hint="default" w:ascii="Times New Roman" w:hAnsi="Times New Roman" w:eastAsia="宋体" w:cs="Times New Roman"/>
          <w:color w:val="auto"/>
          <w:kern w:val="0"/>
          <w:sz w:val="28"/>
          <w:szCs w:val="28"/>
          <w:lang w:val="en-US" w:eastAsia="zh-CN" w:bidi="ar"/>
        </w:rPr>
        <w:t>≥5B</w:t>
      </w:r>
      <w:r>
        <w:rPr>
          <w:rFonts w:hint="eastAsia" w:ascii="宋体" w:hAnsi="宋体" w:eastAsia="宋体" w:cs="宋体"/>
          <w:color w:val="auto"/>
          <w:kern w:val="0"/>
          <w:sz w:val="28"/>
          <w:szCs w:val="28"/>
          <w:lang w:val="en-US" w:eastAsia="zh-CN" w:bidi="ar"/>
        </w:rPr>
        <w:t xml:space="preserve">，无弯道、闸口、跌水或障碍物。 </w:t>
      </w:r>
    </w:p>
    <w:p w14:paraId="1F628D22">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⑥水流均匀无漩涡、乱流，远离水泵出水口等流速脉冲区域，确 </w:t>
      </w:r>
    </w:p>
    <w:p w14:paraId="68022F33">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保流态稳定。 </w:t>
      </w:r>
    </w:p>
    <w:p w14:paraId="2820D216">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⑦传感器安装于迎水方向，雷达波束需覆盖断面中心，无岸边遮 </w:t>
      </w:r>
    </w:p>
    <w:p w14:paraId="5695F527">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挡，离岸距离满足公式 </w:t>
      </w:r>
      <w:r>
        <w:rPr>
          <w:rFonts w:hint="default" w:ascii="Times New Roman" w:hAnsi="Times New Roman" w:eastAsia="宋体" w:cs="Times New Roman"/>
          <w:color w:val="auto"/>
          <w:kern w:val="0"/>
          <w:sz w:val="28"/>
          <w:szCs w:val="28"/>
          <w:lang w:val="en-US" w:eastAsia="zh-CN" w:bidi="ar"/>
        </w:rPr>
        <w:t>S&gt;</w:t>
      </w:r>
      <w:r>
        <w:rPr>
          <w:rFonts w:hint="eastAsia" w:ascii="宋体" w:hAnsi="宋体" w:eastAsia="宋体" w:cs="宋体"/>
          <w:color w:val="auto"/>
          <w:kern w:val="0"/>
          <w:sz w:val="28"/>
          <w:szCs w:val="28"/>
          <w:lang w:val="en-US" w:eastAsia="zh-CN" w:bidi="ar"/>
        </w:rPr>
        <w:t>（</w:t>
      </w:r>
      <w:r>
        <w:rPr>
          <w:rFonts w:hint="default" w:ascii="Times New Roman" w:hAnsi="Times New Roman" w:eastAsia="宋体" w:cs="Times New Roman"/>
          <w:color w:val="auto"/>
          <w:kern w:val="0"/>
          <w:sz w:val="28"/>
          <w:szCs w:val="28"/>
          <w:lang w:val="en-US" w:eastAsia="zh-CN" w:bidi="ar"/>
        </w:rPr>
        <w:t>h/cosα</w:t>
      </w:r>
      <w:r>
        <w:rPr>
          <w:rFonts w:hint="eastAsia" w:ascii="宋体" w:hAnsi="宋体" w:eastAsia="宋体" w:cs="宋体"/>
          <w:color w:val="auto"/>
          <w:kern w:val="0"/>
          <w:sz w:val="28"/>
          <w:szCs w:val="28"/>
          <w:lang w:val="en-US" w:eastAsia="zh-CN" w:bidi="ar"/>
        </w:rPr>
        <w:t>）</w:t>
      </w:r>
      <w:r>
        <w:rPr>
          <w:rFonts w:hint="default" w:ascii="Times New Roman" w:hAnsi="Times New Roman" w:eastAsia="宋体" w:cs="Times New Roman"/>
          <w:color w:val="auto"/>
          <w:kern w:val="0"/>
          <w:sz w:val="28"/>
          <w:szCs w:val="28"/>
          <w:lang w:val="en-US" w:eastAsia="zh-CN" w:bidi="ar"/>
        </w:rPr>
        <w:t>×tan6°</w:t>
      </w:r>
      <w:r>
        <w:rPr>
          <w:rFonts w:hint="eastAsia" w:ascii="宋体" w:hAnsi="宋体" w:eastAsia="宋体" w:cs="宋体"/>
          <w:color w:val="auto"/>
          <w:kern w:val="0"/>
          <w:sz w:val="28"/>
          <w:szCs w:val="28"/>
          <w:lang w:val="en-US" w:eastAsia="zh-CN" w:bidi="ar"/>
        </w:rPr>
        <w:t>（</w:t>
      </w:r>
      <w:r>
        <w:rPr>
          <w:rFonts w:hint="default" w:ascii="Times New Roman" w:hAnsi="Times New Roman" w:eastAsia="宋体" w:cs="Times New Roman"/>
          <w:color w:val="auto"/>
          <w:kern w:val="0"/>
          <w:sz w:val="28"/>
          <w:szCs w:val="28"/>
          <w:lang w:val="en-US" w:eastAsia="zh-CN" w:bidi="ar"/>
        </w:rPr>
        <w:t xml:space="preserve">h </w:t>
      </w:r>
      <w:r>
        <w:rPr>
          <w:rFonts w:hint="eastAsia" w:ascii="宋体" w:hAnsi="宋体" w:eastAsia="宋体" w:cs="宋体"/>
          <w:color w:val="auto"/>
          <w:kern w:val="0"/>
          <w:sz w:val="28"/>
          <w:szCs w:val="28"/>
          <w:lang w:val="en-US" w:eastAsia="zh-CN" w:bidi="ar"/>
        </w:rPr>
        <w:t>为安装高度，</w:t>
      </w:r>
      <w:r>
        <w:rPr>
          <w:rFonts w:hint="default" w:ascii="Times New Roman" w:hAnsi="Times New Roman" w:eastAsia="宋体" w:cs="Times New Roman"/>
          <w:color w:val="auto"/>
          <w:kern w:val="0"/>
          <w:sz w:val="28"/>
          <w:szCs w:val="28"/>
          <w:lang w:val="en-US" w:eastAsia="zh-CN" w:bidi="ar"/>
        </w:rPr>
        <w:t>α</w:t>
      </w:r>
      <w:r>
        <w:rPr>
          <w:rFonts w:hint="eastAsia" w:ascii="宋体" w:hAnsi="宋体" w:eastAsia="宋体" w:cs="宋体"/>
          <w:color w:val="auto"/>
          <w:kern w:val="0"/>
          <w:sz w:val="28"/>
          <w:szCs w:val="28"/>
          <w:lang w:val="en-US" w:eastAsia="zh-CN" w:bidi="ar"/>
        </w:rPr>
        <w:t xml:space="preserve">为波束与水面夹角），确保波束不触碰岸坡。 </w:t>
      </w:r>
    </w:p>
    <w:p w14:paraId="50CD4D40">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⑧明渠断面尺寸固定，边坡稳定无坍塌风险，避免断面变形影响 </w:t>
      </w:r>
    </w:p>
    <w:p w14:paraId="772758AC">
      <w:pPr>
        <w:keepNext w:val="0"/>
        <w:keepLines w:val="0"/>
        <w:pageBreakBefore w:val="0"/>
        <w:widowControl/>
        <w:suppressLineNumbers w:val="0"/>
        <w:wordWrap/>
        <w:overflowPunct/>
        <w:topLinePunct w:val="0"/>
        <w:bidi w:val="0"/>
        <w:spacing w:line="360" w:lineRule="auto"/>
        <w:jc w:val="left"/>
        <w:rPr>
          <w:rFonts w:hint="eastAsia" w:ascii="宋体" w:hAnsi="宋体" w:eastAsia="宋体" w:cs="宋体"/>
          <w:color w:val="auto"/>
          <w:kern w:val="0"/>
          <w:sz w:val="28"/>
          <w:szCs w:val="28"/>
          <w:lang w:val="en-US" w:eastAsia="zh-CN" w:bidi="ar"/>
        </w:rPr>
      </w:pPr>
      <w:r>
        <w:rPr>
          <w:rFonts w:hint="eastAsia" w:ascii="宋体" w:hAnsi="宋体" w:eastAsia="宋体" w:cs="宋体"/>
          <w:color w:val="auto"/>
          <w:kern w:val="0"/>
          <w:sz w:val="28"/>
          <w:szCs w:val="28"/>
          <w:lang w:val="en-US" w:eastAsia="zh-CN" w:bidi="ar"/>
        </w:rPr>
        <w:t>测量精度。</w:t>
      </w:r>
    </w:p>
    <w:p w14:paraId="033EB977">
      <w:pPr>
        <w:keepNext w:val="0"/>
        <w:keepLines w:val="0"/>
        <w:pageBreakBefore w:val="0"/>
        <w:widowControl/>
        <w:suppressLineNumbers w:val="0"/>
        <w:wordWrap/>
        <w:overflowPunct/>
        <w:topLinePunct w:val="0"/>
        <w:bidi w:val="0"/>
        <w:spacing w:line="360" w:lineRule="auto"/>
        <w:ind w:firstLine="560" w:firstLineChars="200"/>
        <w:jc w:val="left"/>
        <w:rPr>
          <w:color w:val="auto"/>
        </w:rPr>
      </w:pPr>
      <w:r>
        <w:rPr>
          <w:rFonts w:hint="eastAsia" w:ascii="宋体" w:hAnsi="宋体" w:eastAsia="宋体" w:cs="宋体"/>
          <w:color w:val="auto"/>
          <w:kern w:val="0"/>
          <w:sz w:val="28"/>
          <w:szCs w:val="28"/>
          <w:lang w:val="en-US" w:eastAsia="zh-CN" w:bidi="ar"/>
        </w:rPr>
        <w:t xml:space="preserve">（2）传感器安装要求 </w:t>
      </w:r>
    </w:p>
    <w:p w14:paraId="364EAE78">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①安装角度：雷达流速传感器与水面夹角 </w:t>
      </w:r>
      <w:r>
        <w:rPr>
          <w:rFonts w:hint="default" w:ascii="Times New Roman" w:hAnsi="Times New Roman" w:eastAsia="宋体" w:cs="Times New Roman"/>
          <w:color w:val="auto"/>
          <w:kern w:val="0"/>
          <w:sz w:val="28"/>
          <w:szCs w:val="28"/>
          <w:lang w:val="en-US" w:eastAsia="zh-CN" w:bidi="ar"/>
        </w:rPr>
        <w:t>30°</w:t>
      </w:r>
      <w:r>
        <w:rPr>
          <w:rFonts w:hint="eastAsia" w:ascii="宋体" w:hAnsi="宋体" w:eastAsia="宋体" w:cs="宋体"/>
          <w:color w:val="auto"/>
          <w:kern w:val="0"/>
          <w:sz w:val="28"/>
          <w:szCs w:val="28"/>
          <w:lang w:val="en-US" w:eastAsia="zh-CN" w:bidi="ar"/>
        </w:rPr>
        <w:t>～</w:t>
      </w:r>
      <w:r>
        <w:rPr>
          <w:rFonts w:hint="default" w:ascii="Times New Roman" w:hAnsi="Times New Roman" w:eastAsia="宋体" w:cs="Times New Roman"/>
          <w:color w:val="auto"/>
          <w:kern w:val="0"/>
          <w:sz w:val="28"/>
          <w:szCs w:val="28"/>
          <w:lang w:val="en-US" w:eastAsia="zh-CN" w:bidi="ar"/>
        </w:rPr>
        <w:t>60°</w:t>
      </w:r>
      <w:r>
        <w:rPr>
          <w:rFonts w:hint="eastAsia" w:ascii="宋体" w:hAnsi="宋体" w:eastAsia="宋体" w:cs="宋体"/>
          <w:color w:val="auto"/>
          <w:kern w:val="0"/>
          <w:sz w:val="28"/>
          <w:szCs w:val="28"/>
          <w:lang w:val="en-US" w:eastAsia="zh-CN" w:bidi="ar"/>
        </w:rPr>
        <w:t xml:space="preserve">，天线面朝上 </w:t>
      </w:r>
    </w:p>
    <w:p w14:paraId="43CF0EA4">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游（迎水方向），确保流速正向测量。 </w:t>
      </w:r>
    </w:p>
    <w:p w14:paraId="04FD3A3E">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②安装高度：传感器探头距水面 </w:t>
      </w:r>
      <w:r>
        <w:rPr>
          <w:rFonts w:hint="default" w:ascii="Times New Roman" w:hAnsi="Times New Roman" w:eastAsia="宋体" w:cs="Times New Roman"/>
          <w:color w:val="auto"/>
          <w:kern w:val="0"/>
          <w:sz w:val="28"/>
          <w:szCs w:val="28"/>
          <w:lang w:val="en-US" w:eastAsia="zh-CN" w:bidi="ar"/>
        </w:rPr>
        <w:t>0.5m</w:t>
      </w:r>
      <w:r>
        <w:rPr>
          <w:rFonts w:hint="eastAsia" w:ascii="宋体" w:hAnsi="宋体" w:eastAsia="宋体" w:cs="宋体"/>
          <w:color w:val="auto"/>
          <w:kern w:val="0"/>
          <w:sz w:val="28"/>
          <w:szCs w:val="28"/>
          <w:lang w:val="en-US" w:eastAsia="zh-CN" w:bidi="ar"/>
        </w:rPr>
        <w:t>～</w:t>
      </w:r>
      <w:r>
        <w:rPr>
          <w:rFonts w:hint="default" w:ascii="Times New Roman" w:hAnsi="Times New Roman" w:eastAsia="宋体" w:cs="Times New Roman"/>
          <w:color w:val="auto"/>
          <w:kern w:val="0"/>
          <w:sz w:val="28"/>
          <w:szCs w:val="28"/>
          <w:lang w:val="en-US" w:eastAsia="zh-CN" w:bidi="ar"/>
        </w:rPr>
        <w:t>10m</w:t>
      </w:r>
      <w:r>
        <w:rPr>
          <w:rFonts w:hint="eastAsia" w:ascii="宋体" w:hAnsi="宋体" w:eastAsia="宋体" w:cs="宋体"/>
          <w:color w:val="auto"/>
          <w:kern w:val="0"/>
          <w:sz w:val="28"/>
          <w:szCs w:val="28"/>
          <w:lang w:val="en-US" w:eastAsia="zh-CN" w:bidi="ar"/>
        </w:rPr>
        <w:t xml:space="preserve">，优先控制在 </w:t>
      </w:r>
      <w:r>
        <w:rPr>
          <w:rFonts w:hint="default" w:ascii="Times New Roman" w:hAnsi="Times New Roman" w:eastAsia="宋体" w:cs="Times New Roman"/>
          <w:color w:val="auto"/>
          <w:kern w:val="0"/>
          <w:sz w:val="28"/>
          <w:szCs w:val="28"/>
          <w:lang w:val="en-US" w:eastAsia="zh-CN" w:bidi="ar"/>
        </w:rPr>
        <w:t xml:space="preserve">10m </w:t>
      </w:r>
      <w:r>
        <w:rPr>
          <w:rFonts w:hint="eastAsia" w:ascii="宋体" w:hAnsi="宋体" w:eastAsia="宋体" w:cs="宋体"/>
          <w:color w:val="auto"/>
          <w:kern w:val="0"/>
          <w:sz w:val="28"/>
          <w:szCs w:val="28"/>
          <w:lang w:val="en-US" w:eastAsia="zh-CN" w:bidi="ar"/>
        </w:rPr>
        <w:t xml:space="preserve">以 </w:t>
      </w:r>
    </w:p>
    <w:p w14:paraId="14FDB875">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内，避免过高导致回波信号减弱；若安装高度</w:t>
      </w:r>
      <w:r>
        <w:rPr>
          <w:rFonts w:hint="default" w:ascii="Times New Roman" w:hAnsi="Times New Roman" w:eastAsia="宋体" w:cs="Times New Roman"/>
          <w:color w:val="auto"/>
          <w:kern w:val="0"/>
          <w:sz w:val="28"/>
          <w:szCs w:val="28"/>
          <w:lang w:val="en-US" w:eastAsia="zh-CN" w:bidi="ar"/>
        </w:rPr>
        <w:t>&gt;5m</w:t>
      </w:r>
      <w:r>
        <w:rPr>
          <w:rFonts w:hint="eastAsia" w:ascii="宋体" w:hAnsi="宋体" w:eastAsia="宋体" w:cs="宋体"/>
          <w:color w:val="auto"/>
          <w:kern w:val="0"/>
          <w:sz w:val="28"/>
          <w:szCs w:val="28"/>
          <w:lang w:val="en-US" w:eastAsia="zh-CN" w:bidi="ar"/>
        </w:rPr>
        <w:t xml:space="preserve">，需选用高增益天线传感器。 </w:t>
      </w:r>
    </w:p>
    <w:p w14:paraId="61DD3335">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③液位传感器：与流速传感器安装于同一断面，探头垂直对准水 </w:t>
      </w:r>
    </w:p>
    <w:p w14:paraId="5522FAC2">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面，最小测量液位</w:t>
      </w:r>
      <w:r>
        <w:rPr>
          <w:rFonts w:hint="default" w:ascii="Times New Roman" w:hAnsi="Times New Roman" w:eastAsia="宋体" w:cs="Times New Roman"/>
          <w:color w:val="auto"/>
          <w:kern w:val="0"/>
          <w:sz w:val="28"/>
          <w:szCs w:val="28"/>
          <w:lang w:val="en-US" w:eastAsia="zh-CN" w:bidi="ar"/>
        </w:rPr>
        <w:t>≥20mm</w:t>
      </w:r>
      <w:r>
        <w:rPr>
          <w:rFonts w:hint="eastAsia" w:ascii="宋体" w:hAnsi="宋体" w:eastAsia="宋体" w:cs="宋体"/>
          <w:color w:val="auto"/>
          <w:kern w:val="0"/>
          <w:sz w:val="28"/>
          <w:szCs w:val="28"/>
          <w:lang w:val="en-US" w:eastAsia="zh-CN" w:bidi="ar"/>
        </w:rPr>
        <w:t>，误差</w:t>
      </w:r>
      <w:r>
        <w:rPr>
          <w:rFonts w:hint="default" w:ascii="Times New Roman" w:hAnsi="Times New Roman" w:eastAsia="宋体" w:cs="Times New Roman"/>
          <w:color w:val="auto"/>
          <w:kern w:val="0"/>
          <w:sz w:val="28"/>
          <w:szCs w:val="28"/>
          <w:lang w:val="en-US" w:eastAsia="zh-CN" w:bidi="ar"/>
        </w:rPr>
        <w:t>≤±5mm</w:t>
      </w:r>
      <w:r>
        <w:rPr>
          <w:rFonts w:hint="eastAsia" w:ascii="宋体" w:hAnsi="宋体" w:eastAsia="宋体" w:cs="宋体"/>
          <w:color w:val="auto"/>
          <w:kern w:val="0"/>
          <w:sz w:val="28"/>
          <w:szCs w:val="28"/>
          <w:lang w:val="en-US" w:eastAsia="zh-CN" w:bidi="ar"/>
        </w:rPr>
        <w:t xml:space="preserve">；安装位置需避开流速传感 </w:t>
      </w:r>
    </w:p>
    <w:p w14:paraId="0F55F725">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器波束覆盖区域，避免相互干扰。 </w:t>
      </w:r>
    </w:p>
    <w:p w14:paraId="42A4F2D6">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④支架要求：立杆垂直度偏差</w:t>
      </w:r>
      <w:r>
        <w:rPr>
          <w:rFonts w:hint="default" w:ascii="Times New Roman" w:hAnsi="Times New Roman" w:eastAsia="宋体" w:cs="Times New Roman"/>
          <w:color w:val="auto"/>
          <w:kern w:val="0"/>
          <w:sz w:val="28"/>
          <w:szCs w:val="28"/>
          <w:lang w:val="en-US" w:eastAsia="zh-CN" w:bidi="ar"/>
        </w:rPr>
        <w:t>≤0.5°</w:t>
      </w:r>
      <w:r>
        <w:rPr>
          <w:rFonts w:hint="eastAsia" w:ascii="宋体" w:hAnsi="宋体" w:eastAsia="宋体" w:cs="宋体"/>
          <w:color w:val="auto"/>
          <w:kern w:val="0"/>
          <w:sz w:val="28"/>
          <w:szCs w:val="28"/>
          <w:lang w:val="en-US" w:eastAsia="zh-CN" w:bidi="ar"/>
        </w:rPr>
        <w:t xml:space="preserve">，水平悬臂与水流方向平行， </w:t>
      </w:r>
    </w:p>
    <w:p w14:paraId="214AAAF3">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支架整体承重</w:t>
      </w:r>
      <w:r>
        <w:rPr>
          <w:rFonts w:hint="default" w:ascii="Times New Roman" w:hAnsi="Times New Roman" w:eastAsia="宋体" w:cs="Times New Roman"/>
          <w:color w:val="auto"/>
          <w:kern w:val="0"/>
          <w:sz w:val="28"/>
          <w:szCs w:val="28"/>
          <w:lang w:val="en-US" w:eastAsia="zh-CN" w:bidi="ar"/>
        </w:rPr>
        <w:t>≥50kg</w:t>
      </w:r>
      <w:r>
        <w:rPr>
          <w:rFonts w:hint="eastAsia" w:ascii="宋体" w:hAnsi="宋体" w:eastAsia="宋体" w:cs="宋体"/>
          <w:color w:val="auto"/>
          <w:kern w:val="0"/>
          <w:sz w:val="28"/>
          <w:szCs w:val="28"/>
          <w:lang w:val="en-US" w:eastAsia="zh-CN" w:bidi="ar"/>
        </w:rPr>
        <w:t>，抗风等级</w:t>
      </w:r>
      <w:r>
        <w:rPr>
          <w:rFonts w:hint="default" w:ascii="Times New Roman" w:hAnsi="Times New Roman" w:eastAsia="宋体" w:cs="Times New Roman"/>
          <w:color w:val="auto"/>
          <w:kern w:val="0"/>
          <w:sz w:val="28"/>
          <w:szCs w:val="28"/>
          <w:lang w:val="en-US" w:eastAsia="zh-CN" w:bidi="ar"/>
        </w:rPr>
        <w:t xml:space="preserve">≥12 </w:t>
      </w:r>
      <w:r>
        <w:rPr>
          <w:rFonts w:hint="eastAsia" w:ascii="宋体" w:hAnsi="宋体" w:eastAsia="宋体" w:cs="宋体"/>
          <w:color w:val="auto"/>
          <w:kern w:val="0"/>
          <w:sz w:val="28"/>
          <w:szCs w:val="28"/>
          <w:lang w:val="en-US" w:eastAsia="zh-CN" w:bidi="ar"/>
        </w:rPr>
        <w:t xml:space="preserve">级；支架需做防锈、防雷处理。 </w:t>
      </w:r>
    </w:p>
    <w:p w14:paraId="617AF247">
      <w:pPr>
        <w:keepNext w:val="0"/>
        <w:keepLines w:val="0"/>
        <w:pageBreakBefore w:val="0"/>
        <w:widowControl/>
        <w:suppressLineNumbers w:val="0"/>
        <w:wordWrap/>
        <w:overflowPunct/>
        <w:topLinePunct w:val="0"/>
        <w:bidi w:val="0"/>
        <w:spacing w:line="360" w:lineRule="auto"/>
        <w:ind w:firstLine="560" w:firstLineChars="200"/>
        <w:jc w:val="left"/>
        <w:rPr>
          <w:color w:val="auto"/>
        </w:rPr>
      </w:pPr>
      <w:r>
        <w:rPr>
          <w:rFonts w:hint="eastAsia" w:ascii="宋体" w:hAnsi="宋体" w:eastAsia="宋体" w:cs="宋体"/>
          <w:color w:val="auto"/>
          <w:kern w:val="0"/>
          <w:sz w:val="28"/>
          <w:szCs w:val="28"/>
          <w:lang w:val="en-US" w:eastAsia="zh-CN" w:bidi="ar"/>
        </w:rPr>
        <w:t xml:space="preserve">（3）安装实施步骤 </w:t>
      </w:r>
    </w:p>
    <w:p w14:paraId="1A782FC9">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①基础与支架安装</w:t>
      </w:r>
    </w:p>
    <w:p w14:paraId="1467561D">
      <w:pPr>
        <w:keepNext w:val="0"/>
        <w:keepLines w:val="0"/>
        <w:pageBreakBefore w:val="0"/>
        <w:widowControl/>
        <w:suppressLineNumbers w:val="0"/>
        <w:wordWrap/>
        <w:overflowPunct/>
        <w:topLinePunct w:val="0"/>
        <w:bidi w:val="0"/>
        <w:spacing w:line="360" w:lineRule="auto"/>
        <w:jc w:val="left"/>
        <w:rPr>
          <w:color w:val="auto"/>
        </w:rPr>
      </w:pPr>
      <w:r>
        <w:rPr>
          <w:rFonts w:hint="default" w:ascii="Times New Roman" w:hAnsi="Times New Roman" w:eastAsia="宋体" w:cs="Times New Roman"/>
          <w:color w:val="auto"/>
          <w:kern w:val="0"/>
          <w:sz w:val="28"/>
          <w:szCs w:val="28"/>
          <w:lang w:val="en-US" w:eastAsia="zh-CN" w:bidi="ar"/>
        </w:rPr>
        <w:t>a.</w:t>
      </w:r>
      <w:r>
        <w:rPr>
          <w:rFonts w:hint="eastAsia" w:ascii="宋体" w:hAnsi="宋体" w:eastAsia="宋体" w:cs="宋体"/>
          <w:color w:val="auto"/>
          <w:kern w:val="0"/>
          <w:sz w:val="28"/>
          <w:szCs w:val="28"/>
          <w:lang w:val="en-US" w:eastAsia="zh-CN" w:bidi="ar"/>
        </w:rPr>
        <w:t>硬质渠岸（混凝土</w:t>
      </w:r>
      <w:r>
        <w:rPr>
          <w:rFonts w:hint="default" w:ascii="Times New Roman" w:hAnsi="Times New Roman" w:eastAsia="宋体" w:cs="Times New Roman"/>
          <w:color w:val="auto"/>
          <w:kern w:val="0"/>
          <w:sz w:val="28"/>
          <w:szCs w:val="28"/>
          <w:lang w:val="en-US" w:eastAsia="zh-CN" w:bidi="ar"/>
        </w:rPr>
        <w:t>/</w:t>
      </w:r>
      <w:r>
        <w:rPr>
          <w:rFonts w:hint="eastAsia" w:ascii="宋体" w:hAnsi="宋体" w:eastAsia="宋体" w:cs="宋体"/>
          <w:color w:val="auto"/>
          <w:kern w:val="0"/>
          <w:sz w:val="28"/>
          <w:szCs w:val="28"/>
          <w:lang w:val="en-US" w:eastAsia="zh-CN" w:bidi="ar"/>
        </w:rPr>
        <w:t xml:space="preserve">浆砌石）：直接用 </w:t>
      </w:r>
      <w:r>
        <w:rPr>
          <w:rFonts w:hint="default" w:ascii="Times New Roman" w:hAnsi="Times New Roman" w:eastAsia="宋体" w:cs="Times New Roman"/>
          <w:color w:val="auto"/>
          <w:kern w:val="0"/>
          <w:sz w:val="28"/>
          <w:szCs w:val="28"/>
          <w:lang w:val="en-US" w:eastAsia="zh-CN" w:bidi="ar"/>
        </w:rPr>
        <w:t xml:space="preserve">M16 </w:t>
      </w:r>
      <w:r>
        <w:rPr>
          <w:rFonts w:hint="eastAsia" w:ascii="宋体" w:hAnsi="宋体" w:eastAsia="宋体" w:cs="宋体"/>
          <w:color w:val="auto"/>
          <w:kern w:val="0"/>
          <w:sz w:val="28"/>
          <w:szCs w:val="28"/>
          <w:lang w:val="en-US" w:eastAsia="zh-CN" w:bidi="ar"/>
        </w:rPr>
        <w:t xml:space="preserve">膨胀螺栓将支架底 </w:t>
      </w:r>
    </w:p>
    <w:p w14:paraId="753000CB">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座固定，底座水平误差</w:t>
      </w:r>
      <w:r>
        <w:rPr>
          <w:rFonts w:hint="default" w:ascii="Times New Roman" w:hAnsi="Times New Roman" w:eastAsia="宋体" w:cs="Times New Roman"/>
          <w:color w:val="auto"/>
          <w:kern w:val="0"/>
          <w:sz w:val="28"/>
          <w:szCs w:val="28"/>
          <w:lang w:val="en-US" w:eastAsia="zh-CN" w:bidi="ar"/>
        </w:rPr>
        <w:t>≤2mm</w:t>
      </w:r>
      <w:r>
        <w:rPr>
          <w:rFonts w:hint="eastAsia" w:ascii="宋体" w:hAnsi="宋体" w:eastAsia="宋体" w:cs="宋体"/>
          <w:color w:val="auto"/>
          <w:kern w:val="0"/>
          <w:sz w:val="28"/>
          <w:szCs w:val="28"/>
          <w:lang w:val="en-US" w:eastAsia="zh-CN" w:bidi="ar"/>
        </w:rPr>
        <w:t xml:space="preserve">，螺栓外露部分需加装防水帽。 </w:t>
      </w:r>
    </w:p>
    <w:p w14:paraId="1EA6D6A4">
      <w:pPr>
        <w:keepNext w:val="0"/>
        <w:keepLines w:val="0"/>
        <w:pageBreakBefore w:val="0"/>
        <w:widowControl/>
        <w:suppressLineNumbers w:val="0"/>
        <w:wordWrap/>
        <w:overflowPunct/>
        <w:topLinePunct w:val="0"/>
        <w:bidi w:val="0"/>
        <w:spacing w:line="360" w:lineRule="auto"/>
        <w:jc w:val="left"/>
        <w:rPr>
          <w:color w:val="auto"/>
        </w:rPr>
      </w:pPr>
      <w:r>
        <w:rPr>
          <w:rFonts w:hint="default" w:ascii="Times New Roman" w:hAnsi="Times New Roman" w:eastAsia="宋体" w:cs="Times New Roman"/>
          <w:color w:val="auto"/>
          <w:kern w:val="0"/>
          <w:sz w:val="28"/>
          <w:szCs w:val="28"/>
          <w:lang w:val="en-US" w:eastAsia="zh-CN" w:bidi="ar"/>
        </w:rPr>
        <w:t xml:space="preserve">b. </w:t>
      </w:r>
      <w:r>
        <w:rPr>
          <w:rFonts w:hint="eastAsia" w:ascii="宋体" w:hAnsi="宋体" w:eastAsia="宋体" w:cs="宋体"/>
          <w:color w:val="auto"/>
          <w:kern w:val="0"/>
          <w:sz w:val="28"/>
          <w:szCs w:val="28"/>
          <w:lang w:val="en-US" w:eastAsia="zh-CN" w:bidi="ar"/>
        </w:rPr>
        <w:t xml:space="preserve">软 质 渠 岸 （ 土 质 </w:t>
      </w:r>
      <w:r>
        <w:rPr>
          <w:rFonts w:hint="default" w:ascii="Times New Roman" w:hAnsi="Times New Roman" w:eastAsia="宋体" w:cs="Times New Roman"/>
          <w:color w:val="auto"/>
          <w:kern w:val="0"/>
          <w:sz w:val="28"/>
          <w:szCs w:val="28"/>
          <w:lang w:val="en-US" w:eastAsia="zh-CN" w:bidi="ar"/>
        </w:rPr>
        <w:t xml:space="preserve">/ </w:t>
      </w:r>
      <w:r>
        <w:rPr>
          <w:rFonts w:hint="eastAsia" w:ascii="宋体" w:hAnsi="宋体" w:eastAsia="宋体" w:cs="宋体"/>
          <w:color w:val="auto"/>
          <w:kern w:val="0"/>
          <w:sz w:val="28"/>
          <w:szCs w:val="28"/>
          <w:lang w:val="en-US" w:eastAsia="zh-CN" w:bidi="ar"/>
        </w:rPr>
        <w:t>砂 质 ） ： 浇 筑 混 凝 土 基 础 （ 尺 寸</w:t>
      </w:r>
      <w:r>
        <w:rPr>
          <w:rFonts w:hint="default" w:ascii="Times New Roman" w:hAnsi="Times New Roman" w:eastAsia="宋体" w:cs="Times New Roman"/>
          <w:color w:val="auto"/>
          <w:kern w:val="0"/>
          <w:sz w:val="28"/>
          <w:szCs w:val="28"/>
          <w:lang w:val="en-US" w:eastAsia="zh-CN" w:bidi="ar"/>
        </w:rPr>
        <w:t>≥600mm×600mm×500mm</w:t>
      </w:r>
      <w:r>
        <w:rPr>
          <w:rFonts w:hint="eastAsia" w:ascii="宋体" w:hAnsi="宋体" w:eastAsia="宋体" w:cs="宋体"/>
          <w:color w:val="auto"/>
          <w:kern w:val="0"/>
          <w:sz w:val="28"/>
          <w:szCs w:val="28"/>
          <w:lang w:val="en-US" w:eastAsia="zh-CN" w:bidi="ar"/>
        </w:rPr>
        <w:t>），预埋钢板，养护</w:t>
      </w:r>
      <w:r>
        <w:rPr>
          <w:rFonts w:hint="default" w:ascii="Times New Roman" w:hAnsi="Times New Roman" w:eastAsia="宋体" w:cs="Times New Roman"/>
          <w:color w:val="auto"/>
          <w:kern w:val="0"/>
          <w:sz w:val="28"/>
          <w:szCs w:val="28"/>
          <w:lang w:val="en-US" w:eastAsia="zh-CN" w:bidi="ar"/>
        </w:rPr>
        <w:t xml:space="preserve">≥28 </w:t>
      </w:r>
      <w:r>
        <w:rPr>
          <w:rFonts w:hint="eastAsia" w:ascii="宋体" w:hAnsi="宋体" w:eastAsia="宋体" w:cs="宋体"/>
          <w:color w:val="auto"/>
          <w:kern w:val="0"/>
          <w:sz w:val="28"/>
          <w:szCs w:val="28"/>
          <w:lang w:val="en-US" w:eastAsia="zh-CN" w:bidi="ar"/>
        </w:rPr>
        <w:t>天后安装支架，基础顶面水平误差</w:t>
      </w:r>
      <w:r>
        <w:rPr>
          <w:rFonts w:hint="default" w:ascii="Times New Roman" w:hAnsi="Times New Roman" w:eastAsia="宋体" w:cs="Times New Roman"/>
          <w:color w:val="auto"/>
          <w:kern w:val="0"/>
          <w:sz w:val="28"/>
          <w:szCs w:val="28"/>
          <w:lang w:val="en-US" w:eastAsia="zh-CN" w:bidi="ar"/>
        </w:rPr>
        <w:t>≤1mm</w:t>
      </w:r>
      <w:r>
        <w:rPr>
          <w:rFonts w:hint="eastAsia" w:ascii="宋体" w:hAnsi="宋体" w:eastAsia="宋体" w:cs="宋体"/>
          <w:color w:val="auto"/>
          <w:kern w:val="0"/>
          <w:sz w:val="28"/>
          <w:szCs w:val="28"/>
          <w:lang w:val="en-US" w:eastAsia="zh-CN" w:bidi="ar"/>
        </w:rPr>
        <w:t xml:space="preserve">。 </w:t>
      </w:r>
    </w:p>
    <w:p w14:paraId="299E752C">
      <w:pPr>
        <w:keepNext w:val="0"/>
        <w:keepLines w:val="0"/>
        <w:pageBreakBefore w:val="0"/>
        <w:widowControl/>
        <w:suppressLineNumbers w:val="0"/>
        <w:wordWrap/>
        <w:overflowPunct/>
        <w:topLinePunct w:val="0"/>
        <w:bidi w:val="0"/>
        <w:spacing w:line="360" w:lineRule="auto"/>
        <w:jc w:val="left"/>
        <w:rPr>
          <w:color w:val="auto"/>
        </w:rPr>
      </w:pPr>
      <w:r>
        <w:rPr>
          <w:rFonts w:hint="default" w:ascii="Times New Roman" w:hAnsi="Times New Roman" w:eastAsia="宋体" w:cs="Times New Roman"/>
          <w:color w:val="auto"/>
          <w:kern w:val="0"/>
          <w:sz w:val="28"/>
          <w:szCs w:val="28"/>
          <w:lang w:val="en-US" w:eastAsia="zh-CN" w:bidi="ar"/>
        </w:rPr>
        <w:t>c.</w:t>
      </w:r>
      <w:r>
        <w:rPr>
          <w:rFonts w:hint="eastAsia" w:ascii="宋体" w:hAnsi="宋体" w:eastAsia="宋体" w:cs="宋体"/>
          <w:color w:val="auto"/>
          <w:kern w:val="0"/>
          <w:sz w:val="28"/>
          <w:szCs w:val="28"/>
          <w:lang w:val="en-US" w:eastAsia="zh-CN" w:bidi="ar"/>
        </w:rPr>
        <w:t>支架拼接：主钢管柱与水平悬臂采用法兰连接，</w:t>
      </w:r>
      <w:r>
        <w:rPr>
          <w:rFonts w:hint="default" w:ascii="Times New Roman" w:hAnsi="Times New Roman" w:eastAsia="宋体" w:cs="Times New Roman"/>
          <w:color w:val="auto"/>
          <w:kern w:val="0"/>
          <w:sz w:val="28"/>
          <w:szCs w:val="28"/>
          <w:lang w:val="en-US" w:eastAsia="zh-CN" w:bidi="ar"/>
        </w:rPr>
        <w:t xml:space="preserve">M16 </w:t>
      </w:r>
      <w:r>
        <w:rPr>
          <w:rFonts w:hint="eastAsia" w:ascii="宋体" w:hAnsi="宋体" w:eastAsia="宋体" w:cs="宋体"/>
          <w:color w:val="auto"/>
          <w:kern w:val="0"/>
          <w:sz w:val="28"/>
          <w:szCs w:val="28"/>
          <w:lang w:val="en-US" w:eastAsia="zh-CN" w:bidi="ar"/>
        </w:rPr>
        <w:t xml:space="preserve">螺栓紧固 </w:t>
      </w:r>
    </w:p>
    <w:p w14:paraId="79350678">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力矩</w:t>
      </w:r>
      <w:r>
        <w:rPr>
          <w:rFonts w:hint="default" w:ascii="Times New Roman" w:hAnsi="Times New Roman" w:eastAsia="宋体" w:cs="Times New Roman"/>
          <w:color w:val="auto"/>
          <w:kern w:val="0"/>
          <w:sz w:val="28"/>
          <w:szCs w:val="28"/>
          <w:lang w:val="en-US" w:eastAsia="zh-CN" w:bidi="ar"/>
        </w:rPr>
        <w:t>≥45N·m</w:t>
      </w:r>
      <w:r>
        <w:rPr>
          <w:rFonts w:hint="eastAsia" w:ascii="宋体" w:hAnsi="宋体" w:eastAsia="宋体" w:cs="宋体"/>
          <w:color w:val="auto"/>
          <w:kern w:val="0"/>
          <w:sz w:val="28"/>
          <w:szCs w:val="28"/>
          <w:lang w:val="en-US" w:eastAsia="zh-CN" w:bidi="ar"/>
        </w:rPr>
        <w:t>，焊缝需满焊，经探伤检测合格后涂刷防锈漆</w:t>
      </w:r>
      <w:r>
        <w:rPr>
          <w:rFonts w:hint="default" w:ascii="Times New Roman" w:hAnsi="Times New Roman" w:eastAsia="宋体" w:cs="Times New Roman"/>
          <w:color w:val="auto"/>
          <w:kern w:val="0"/>
          <w:sz w:val="28"/>
          <w:szCs w:val="28"/>
          <w:lang w:val="en-US" w:eastAsia="zh-CN" w:bidi="ar"/>
        </w:rPr>
        <w:t>+</w:t>
      </w:r>
      <w:r>
        <w:rPr>
          <w:rFonts w:hint="eastAsia" w:ascii="宋体" w:hAnsi="宋体" w:eastAsia="宋体" w:cs="宋体"/>
          <w:color w:val="auto"/>
          <w:kern w:val="0"/>
          <w:sz w:val="28"/>
          <w:szCs w:val="28"/>
          <w:lang w:val="en-US" w:eastAsia="zh-CN" w:bidi="ar"/>
        </w:rPr>
        <w:t xml:space="preserve">防水涂层， </w:t>
      </w:r>
    </w:p>
    <w:p w14:paraId="444AA727">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确保无锈蚀渗漏。 </w:t>
      </w:r>
    </w:p>
    <w:p w14:paraId="3F813D3F">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②传感器与设备安装 </w:t>
      </w:r>
    </w:p>
    <w:p w14:paraId="59FCEF0E">
      <w:pPr>
        <w:keepNext w:val="0"/>
        <w:keepLines w:val="0"/>
        <w:pageBreakBefore w:val="0"/>
        <w:widowControl/>
        <w:suppressLineNumbers w:val="0"/>
        <w:wordWrap/>
        <w:overflowPunct/>
        <w:topLinePunct w:val="0"/>
        <w:bidi w:val="0"/>
        <w:spacing w:line="360" w:lineRule="auto"/>
        <w:jc w:val="left"/>
        <w:rPr>
          <w:color w:val="auto"/>
        </w:rPr>
      </w:pPr>
      <w:r>
        <w:rPr>
          <w:rFonts w:hint="default" w:ascii="Times New Roman" w:hAnsi="Times New Roman" w:eastAsia="宋体" w:cs="Times New Roman"/>
          <w:color w:val="auto"/>
          <w:kern w:val="0"/>
          <w:sz w:val="28"/>
          <w:szCs w:val="28"/>
          <w:lang w:val="en-US" w:eastAsia="zh-CN" w:bidi="ar"/>
        </w:rPr>
        <w:t>a.</w:t>
      </w:r>
      <w:r>
        <w:rPr>
          <w:rFonts w:hint="eastAsia" w:ascii="宋体" w:hAnsi="宋体" w:eastAsia="宋体" w:cs="宋体"/>
          <w:color w:val="auto"/>
          <w:kern w:val="0"/>
          <w:sz w:val="28"/>
          <w:szCs w:val="28"/>
          <w:lang w:val="en-US" w:eastAsia="zh-CN" w:bidi="ar"/>
        </w:rPr>
        <w:t xml:space="preserve">清理传感器探头（去除油污、保护膜），将流速传感器固定于 </w:t>
      </w:r>
    </w:p>
    <w:p w14:paraId="5CE5E90D">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水平悬臂末端，调整角度至 </w:t>
      </w:r>
      <w:r>
        <w:rPr>
          <w:rFonts w:hint="default" w:ascii="Times New Roman" w:hAnsi="Times New Roman" w:eastAsia="宋体" w:cs="Times New Roman"/>
          <w:color w:val="auto"/>
          <w:kern w:val="0"/>
          <w:sz w:val="28"/>
          <w:szCs w:val="28"/>
          <w:lang w:val="en-US" w:eastAsia="zh-CN" w:bidi="ar"/>
        </w:rPr>
        <w:t>30°</w:t>
      </w:r>
      <w:r>
        <w:rPr>
          <w:rFonts w:hint="eastAsia" w:ascii="宋体" w:hAnsi="宋体" w:eastAsia="宋体" w:cs="宋体"/>
          <w:color w:val="auto"/>
          <w:kern w:val="0"/>
          <w:sz w:val="28"/>
          <w:szCs w:val="28"/>
          <w:lang w:val="en-US" w:eastAsia="zh-CN" w:bidi="ar"/>
        </w:rPr>
        <w:t>～</w:t>
      </w:r>
      <w:r>
        <w:rPr>
          <w:rFonts w:hint="default" w:ascii="Times New Roman" w:hAnsi="Times New Roman" w:eastAsia="宋体" w:cs="Times New Roman"/>
          <w:color w:val="auto"/>
          <w:kern w:val="0"/>
          <w:sz w:val="28"/>
          <w:szCs w:val="28"/>
          <w:lang w:val="en-US" w:eastAsia="zh-CN" w:bidi="ar"/>
        </w:rPr>
        <w:t>60°</w:t>
      </w:r>
      <w:r>
        <w:rPr>
          <w:rFonts w:hint="eastAsia" w:ascii="宋体" w:hAnsi="宋体" w:eastAsia="宋体" w:cs="宋体"/>
          <w:color w:val="auto"/>
          <w:kern w:val="0"/>
          <w:sz w:val="28"/>
          <w:szCs w:val="28"/>
          <w:lang w:val="en-US" w:eastAsia="zh-CN" w:bidi="ar"/>
        </w:rPr>
        <w:t xml:space="preserve">，用水平尺校准并锁紧。 </w:t>
      </w:r>
    </w:p>
    <w:p w14:paraId="4FF03778">
      <w:pPr>
        <w:keepNext w:val="0"/>
        <w:keepLines w:val="0"/>
        <w:pageBreakBefore w:val="0"/>
        <w:widowControl/>
        <w:suppressLineNumbers w:val="0"/>
        <w:wordWrap/>
        <w:overflowPunct/>
        <w:topLinePunct w:val="0"/>
        <w:bidi w:val="0"/>
        <w:spacing w:line="360" w:lineRule="auto"/>
        <w:jc w:val="left"/>
        <w:rPr>
          <w:color w:val="auto"/>
        </w:rPr>
      </w:pPr>
      <w:r>
        <w:rPr>
          <w:rFonts w:hint="default" w:ascii="Times New Roman" w:hAnsi="Times New Roman" w:eastAsia="宋体" w:cs="Times New Roman"/>
          <w:color w:val="auto"/>
          <w:kern w:val="0"/>
          <w:sz w:val="28"/>
          <w:szCs w:val="28"/>
          <w:lang w:val="en-US" w:eastAsia="zh-CN" w:bidi="ar"/>
        </w:rPr>
        <w:t>b.</w:t>
      </w:r>
      <w:r>
        <w:rPr>
          <w:rFonts w:hint="eastAsia" w:ascii="宋体" w:hAnsi="宋体" w:eastAsia="宋体" w:cs="宋体"/>
          <w:color w:val="auto"/>
          <w:kern w:val="0"/>
          <w:sz w:val="28"/>
          <w:szCs w:val="28"/>
          <w:lang w:val="en-US" w:eastAsia="zh-CN" w:bidi="ar"/>
        </w:rPr>
        <w:t xml:space="preserve">超声波液位传感器安装于断面中心正上方，确保探头与水面垂 </w:t>
      </w:r>
    </w:p>
    <w:p w14:paraId="770E0533">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直，测量范围覆盖明渠最大水深</w:t>
      </w:r>
      <w:r>
        <w:rPr>
          <w:rFonts w:hint="default" w:ascii="Times New Roman" w:hAnsi="Times New Roman" w:eastAsia="宋体" w:cs="Times New Roman"/>
          <w:color w:val="auto"/>
          <w:kern w:val="0"/>
          <w:sz w:val="28"/>
          <w:szCs w:val="28"/>
          <w:lang w:val="en-US" w:eastAsia="zh-CN" w:bidi="ar"/>
        </w:rPr>
        <w:t xml:space="preserve">+50cm </w:t>
      </w:r>
      <w:r>
        <w:rPr>
          <w:rFonts w:hint="eastAsia" w:ascii="宋体" w:hAnsi="宋体" w:eastAsia="宋体" w:cs="宋体"/>
          <w:color w:val="auto"/>
          <w:kern w:val="0"/>
          <w:sz w:val="28"/>
          <w:szCs w:val="28"/>
          <w:lang w:val="en-US" w:eastAsia="zh-CN" w:bidi="ar"/>
        </w:rPr>
        <w:t xml:space="preserve">冗余量。 </w:t>
      </w:r>
    </w:p>
    <w:p w14:paraId="69440D3B">
      <w:pPr>
        <w:keepNext w:val="0"/>
        <w:keepLines w:val="0"/>
        <w:pageBreakBefore w:val="0"/>
        <w:widowControl/>
        <w:suppressLineNumbers w:val="0"/>
        <w:wordWrap/>
        <w:overflowPunct/>
        <w:topLinePunct w:val="0"/>
        <w:bidi w:val="0"/>
        <w:spacing w:line="360" w:lineRule="auto"/>
        <w:jc w:val="left"/>
        <w:rPr>
          <w:color w:val="auto"/>
        </w:rPr>
      </w:pPr>
      <w:r>
        <w:rPr>
          <w:rFonts w:hint="default" w:ascii="Times New Roman" w:hAnsi="Times New Roman" w:eastAsia="宋体" w:cs="Times New Roman"/>
          <w:color w:val="auto"/>
          <w:kern w:val="0"/>
          <w:sz w:val="28"/>
          <w:szCs w:val="28"/>
          <w:lang w:val="en-US" w:eastAsia="zh-CN" w:bidi="ar"/>
        </w:rPr>
        <w:t>c.</w:t>
      </w:r>
      <w:r>
        <w:rPr>
          <w:rFonts w:hint="eastAsia" w:ascii="宋体" w:hAnsi="宋体" w:eastAsia="宋体" w:cs="宋体"/>
          <w:color w:val="auto"/>
          <w:kern w:val="0"/>
          <w:sz w:val="28"/>
          <w:szCs w:val="28"/>
          <w:lang w:val="en-US" w:eastAsia="zh-CN" w:bidi="ar"/>
        </w:rPr>
        <w:t xml:space="preserve">主机与 </w:t>
      </w:r>
      <w:r>
        <w:rPr>
          <w:rFonts w:hint="default" w:ascii="Times New Roman" w:hAnsi="Times New Roman" w:eastAsia="宋体" w:cs="Times New Roman"/>
          <w:color w:val="auto"/>
          <w:kern w:val="0"/>
          <w:sz w:val="28"/>
          <w:szCs w:val="28"/>
          <w:lang w:val="en-US" w:eastAsia="zh-CN" w:bidi="ar"/>
        </w:rPr>
        <w:t xml:space="preserve">RTU </w:t>
      </w:r>
      <w:r>
        <w:rPr>
          <w:rFonts w:hint="eastAsia" w:ascii="宋体" w:hAnsi="宋体" w:eastAsia="宋体" w:cs="宋体"/>
          <w:color w:val="auto"/>
          <w:kern w:val="0"/>
          <w:sz w:val="28"/>
          <w:szCs w:val="28"/>
          <w:lang w:val="en-US" w:eastAsia="zh-CN" w:bidi="ar"/>
        </w:rPr>
        <w:t>遥测终端固定于支架立杆中部（高度</w:t>
      </w:r>
      <w:r>
        <w:rPr>
          <w:rFonts w:hint="default" w:ascii="Times New Roman" w:hAnsi="Times New Roman" w:eastAsia="宋体" w:cs="Times New Roman"/>
          <w:color w:val="auto"/>
          <w:kern w:val="0"/>
          <w:sz w:val="28"/>
          <w:szCs w:val="28"/>
          <w:lang w:val="en-US" w:eastAsia="zh-CN" w:bidi="ar"/>
        </w:rPr>
        <w:t xml:space="preserve">≥2.5m </w:t>
      </w:r>
      <w:r>
        <w:rPr>
          <w:rFonts w:hint="eastAsia" w:ascii="宋体" w:hAnsi="宋体" w:eastAsia="宋体" w:cs="宋体"/>
          <w:color w:val="auto"/>
          <w:kern w:val="0"/>
          <w:sz w:val="28"/>
          <w:szCs w:val="28"/>
          <w:lang w:val="en-US" w:eastAsia="zh-CN" w:bidi="ar"/>
        </w:rPr>
        <w:t xml:space="preserve">防破 </w:t>
      </w:r>
    </w:p>
    <w:p w14:paraId="20B42C51">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坏），主机防护等级需达 </w:t>
      </w:r>
      <w:r>
        <w:rPr>
          <w:rFonts w:hint="default" w:ascii="Times New Roman" w:hAnsi="Times New Roman" w:eastAsia="宋体" w:cs="Times New Roman"/>
          <w:color w:val="auto"/>
          <w:kern w:val="0"/>
          <w:sz w:val="28"/>
          <w:szCs w:val="28"/>
          <w:lang w:val="en-US" w:eastAsia="zh-CN" w:bidi="ar"/>
        </w:rPr>
        <w:t>IP68</w:t>
      </w:r>
      <w:r>
        <w:rPr>
          <w:rFonts w:hint="eastAsia" w:ascii="宋体" w:hAnsi="宋体" w:eastAsia="宋体" w:cs="宋体"/>
          <w:color w:val="auto"/>
          <w:kern w:val="0"/>
          <w:sz w:val="28"/>
          <w:szCs w:val="28"/>
          <w:lang w:val="en-US" w:eastAsia="zh-CN" w:bidi="ar"/>
        </w:rPr>
        <w:t xml:space="preserve">，接线端子采用防水端子盒封装，电缆进出口用密封胶封堵。 </w:t>
      </w:r>
    </w:p>
    <w:p w14:paraId="36B63DAB">
      <w:pPr>
        <w:keepNext w:val="0"/>
        <w:keepLines w:val="0"/>
        <w:pageBreakBefore w:val="0"/>
        <w:widowControl/>
        <w:suppressLineNumbers w:val="0"/>
        <w:wordWrap/>
        <w:overflowPunct/>
        <w:topLinePunct w:val="0"/>
        <w:bidi w:val="0"/>
        <w:spacing w:line="360" w:lineRule="auto"/>
        <w:jc w:val="left"/>
        <w:rPr>
          <w:color w:val="auto"/>
        </w:rPr>
      </w:pPr>
      <w:r>
        <w:rPr>
          <w:rFonts w:hint="default" w:ascii="Times New Roman" w:hAnsi="Times New Roman" w:eastAsia="宋体" w:cs="Times New Roman"/>
          <w:color w:val="auto"/>
          <w:kern w:val="0"/>
          <w:sz w:val="28"/>
          <w:szCs w:val="28"/>
          <w:lang w:val="en-US" w:eastAsia="zh-CN" w:bidi="ar"/>
        </w:rPr>
        <w:t>d.</w:t>
      </w:r>
      <w:r>
        <w:rPr>
          <w:rFonts w:hint="eastAsia" w:ascii="宋体" w:hAnsi="宋体" w:eastAsia="宋体" w:cs="宋体"/>
          <w:color w:val="auto"/>
          <w:kern w:val="0"/>
          <w:sz w:val="28"/>
          <w:szCs w:val="28"/>
          <w:lang w:val="en-US" w:eastAsia="zh-CN" w:bidi="ar"/>
        </w:rPr>
        <w:t>太阳能电池板安装于支架顶部，朝向正南，倾角为当地纬度</w:t>
      </w:r>
      <w:r>
        <w:rPr>
          <w:rFonts w:hint="default" w:ascii="Times New Roman" w:hAnsi="Times New Roman" w:eastAsia="宋体" w:cs="Times New Roman"/>
          <w:color w:val="auto"/>
          <w:kern w:val="0"/>
          <w:sz w:val="28"/>
          <w:szCs w:val="28"/>
          <w:lang w:val="en-US" w:eastAsia="zh-CN" w:bidi="ar"/>
        </w:rPr>
        <w:t>±5°</w:t>
      </w:r>
      <w:r>
        <w:rPr>
          <w:rFonts w:hint="eastAsia" w:ascii="宋体" w:hAnsi="宋体" w:eastAsia="宋体" w:cs="宋体"/>
          <w:color w:val="auto"/>
          <w:kern w:val="0"/>
          <w:sz w:val="28"/>
          <w:szCs w:val="28"/>
          <w:lang w:val="en-US" w:eastAsia="zh-CN" w:bidi="ar"/>
        </w:rPr>
        <w:t>，确保日均有效光照</w:t>
      </w:r>
      <w:r>
        <w:rPr>
          <w:rFonts w:hint="default" w:ascii="Times New Roman" w:hAnsi="Times New Roman" w:eastAsia="宋体" w:cs="Times New Roman"/>
          <w:color w:val="auto"/>
          <w:kern w:val="0"/>
          <w:sz w:val="28"/>
          <w:szCs w:val="28"/>
          <w:lang w:val="en-US" w:eastAsia="zh-CN" w:bidi="ar"/>
        </w:rPr>
        <w:t xml:space="preserve">≥4 </w:t>
      </w:r>
      <w:r>
        <w:rPr>
          <w:rFonts w:hint="eastAsia" w:ascii="宋体" w:hAnsi="宋体" w:eastAsia="宋体" w:cs="宋体"/>
          <w:color w:val="auto"/>
          <w:kern w:val="0"/>
          <w:sz w:val="28"/>
          <w:szCs w:val="28"/>
          <w:lang w:val="en-US" w:eastAsia="zh-CN" w:bidi="ar"/>
        </w:rPr>
        <w:t xml:space="preserve">小时；电池板支架需加装防风压加固件。 </w:t>
      </w:r>
    </w:p>
    <w:p w14:paraId="4C363096">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③断面参数校准 </w:t>
      </w:r>
    </w:p>
    <w:p w14:paraId="2221EE82">
      <w:pPr>
        <w:keepNext w:val="0"/>
        <w:keepLines w:val="0"/>
        <w:pageBreakBefore w:val="0"/>
        <w:widowControl/>
        <w:suppressLineNumbers w:val="0"/>
        <w:wordWrap/>
        <w:overflowPunct/>
        <w:topLinePunct w:val="0"/>
        <w:bidi w:val="0"/>
        <w:spacing w:line="360" w:lineRule="auto"/>
        <w:jc w:val="left"/>
        <w:rPr>
          <w:color w:val="auto"/>
        </w:rPr>
      </w:pPr>
      <w:r>
        <w:rPr>
          <w:rFonts w:hint="default" w:ascii="Times New Roman" w:hAnsi="Times New Roman" w:eastAsia="宋体" w:cs="Times New Roman"/>
          <w:color w:val="auto"/>
          <w:kern w:val="0"/>
          <w:sz w:val="28"/>
          <w:szCs w:val="28"/>
          <w:lang w:val="en-US" w:eastAsia="zh-CN" w:bidi="ar"/>
        </w:rPr>
        <w:t>a.</w:t>
      </w:r>
      <w:r>
        <w:rPr>
          <w:rFonts w:hint="eastAsia" w:ascii="宋体" w:hAnsi="宋体" w:eastAsia="宋体" w:cs="宋体"/>
          <w:color w:val="auto"/>
          <w:kern w:val="0"/>
          <w:sz w:val="28"/>
          <w:szCs w:val="28"/>
          <w:lang w:val="en-US" w:eastAsia="zh-CN" w:bidi="ar"/>
        </w:rPr>
        <w:t>按明渠类型（矩形</w:t>
      </w:r>
      <w:r>
        <w:rPr>
          <w:rFonts w:hint="default" w:ascii="Times New Roman" w:hAnsi="Times New Roman" w:eastAsia="宋体" w:cs="Times New Roman"/>
          <w:color w:val="auto"/>
          <w:kern w:val="0"/>
          <w:sz w:val="28"/>
          <w:szCs w:val="28"/>
          <w:lang w:val="en-US" w:eastAsia="zh-CN" w:bidi="ar"/>
        </w:rPr>
        <w:t>/</w:t>
      </w:r>
      <w:r>
        <w:rPr>
          <w:rFonts w:hint="eastAsia" w:ascii="宋体" w:hAnsi="宋体" w:eastAsia="宋体" w:cs="宋体"/>
          <w:color w:val="auto"/>
          <w:kern w:val="0"/>
          <w:sz w:val="28"/>
          <w:szCs w:val="28"/>
          <w:lang w:val="en-US" w:eastAsia="zh-CN" w:bidi="ar"/>
        </w:rPr>
        <w:t xml:space="preserve">梯形）在主机中设置断面参数：矩形渠输入渠宽与边坡角 </w:t>
      </w:r>
      <w:r>
        <w:rPr>
          <w:rFonts w:hint="default" w:ascii="Times New Roman" w:hAnsi="Times New Roman" w:eastAsia="宋体" w:cs="Times New Roman"/>
          <w:color w:val="auto"/>
          <w:kern w:val="0"/>
          <w:sz w:val="28"/>
          <w:szCs w:val="28"/>
          <w:lang w:val="en-US" w:eastAsia="zh-CN" w:bidi="ar"/>
        </w:rPr>
        <w:t>90°</w:t>
      </w:r>
      <w:r>
        <w:rPr>
          <w:rFonts w:hint="eastAsia" w:ascii="宋体" w:hAnsi="宋体" w:eastAsia="宋体" w:cs="宋体"/>
          <w:color w:val="auto"/>
          <w:kern w:val="0"/>
          <w:sz w:val="28"/>
          <w:szCs w:val="28"/>
          <w:lang w:val="en-US" w:eastAsia="zh-CN" w:bidi="ar"/>
        </w:rPr>
        <w:t xml:space="preserve">，梯形渠输入下底宽、边坡角及修正系数。 </w:t>
      </w:r>
    </w:p>
    <w:p w14:paraId="3B950DF4">
      <w:pPr>
        <w:keepNext w:val="0"/>
        <w:keepLines w:val="0"/>
        <w:pageBreakBefore w:val="0"/>
        <w:widowControl/>
        <w:suppressLineNumbers w:val="0"/>
        <w:wordWrap/>
        <w:overflowPunct/>
        <w:topLinePunct w:val="0"/>
        <w:bidi w:val="0"/>
        <w:spacing w:line="360" w:lineRule="auto"/>
        <w:jc w:val="left"/>
        <w:rPr>
          <w:color w:val="auto"/>
        </w:rPr>
      </w:pPr>
      <w:r>
        <w:rPr>
          <w:rFonts w:hint="default" w:ascii="Times New Roman" w:hAnsi="Times New Roman" w:eastAsia="宋体" w:cs="Times New Roman"/>
          <w:color w:val="auto"/>
          <w:kern w:val="0"/>
          <w:sz w:val="28"/>
          <w:szCs w:val="28"/>
          <w:lang w:val="en-US" w:eastAsia="zh-CN" w:bidi="ar"/>
        </w:rPr>
        <w:t>b.</w:t>
      </w:r>
      <w:r>
        <w:rPr>
          <w:rFonts w:hint="eastAsia" w:ascii="宋体" w:hAnsi="宋体" w:eastAsia="宋体" w:cs="宋体"/>
          <w:color w:val="auto"/>
          <w:kern w:val="0"/>
          <w:sz w:val="28"/>
          <w:szCs w:val="28"/>
          <w:lang w:val="en-US" w:eastAsia="zh-CN" w:bidi="ar"/>
        </w:rPr>
        <w:t xml:space="preserve">采用流速面积法校准：在断面均匀布置 </w:t>
      </w:r>
      <w:r>
        <w:rPr>
          <w:rFonts w:hint="default" w:ascii="Times New Roman" w:hAnsi="Times New Roman" w:eastAsia="宋体" w:cs="Times New Roman"/>
          <w:color w:val="auto"/>
          <w:kern w:val="0"/>
          <w:sz w:val="28"/>
          <w:szCs w:val="28"/>
          <w:lang w:val="en-US" w:eastAsia="zh-CN" w:bidi="ar"/>
        </w:rPr>
        <w:t xml:space="preserve">≥5 </w:t>
      </w:r>
      <w:r>
        <w:rPr>
          <w:rFonts w:hint="eastAsia" w:ascii="宋体" w:hAnsi="宋体" w:eastAsia="宋体" w:cs="宋体"/>
          <w:color w:val="auto"/>
          <w:kern w:val="0"/>
          <w:sz w:val="28"/>
          <w:szCs w:val="28"/>
          <w:lang w:val="en-US" w:eastAsia="zh-CN" w:bidi="ar"/>
        </w:rPr>
        <w:t>个测点，用标准流速仪测量各测点流速，计算标准流量，与设备显示值比对，误差</w:t>
      </w:r>
      <w:r>
        <w:rPr>
          <w:rFonts w:hint="default" w:ascii="Times New Roman" w:hAnsi="Times New Roman" w:eastAsia="宋体" w:cs="Times New Roman"/>
          <w:color w:val="auto"/>
          <w:kern w:val="0"/>
          <w:sz w:val="28"/>
          <w:szCs w:val="28"/>
          <w:lang w:val="en-US" w:eastAsia="zh-CN" w:bidi="ar"/>
        </w:rPr>
        <w:t xml:space="preserve">≤±5% </w:t>
      </w:r>
    </w:p>
    <w:p w14:paraId="54EAE6B2">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即为合格，不合格需重新调整传感器角度或断面参数。</w:t>
      </w:r>
    </w:p>
    <w:p w14:paraId="7697746B">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④电缆敷设与接线 </w:t>
      </w:r>
    </w:p>
    <w:p w14:paraId="635F8174">
      <w:pPr>
        <w:keepNext w:val="0"/>
        <w:keepLines w:val="0"/>
        <w:pageBreakBefore w:val="0"/>
        <w:widowControl/>
        <w:suppressLineNumbers w:val="0"/>
        <w:wordWrap/>
        <w:overflowPunct/>
        <w:topLinePunct w:val="0"/>
        <w:bidi w:val="0"/>
        <w:spacing w:line="360" w:lineRule="auto"/>
        <w:jc w:val="left"/>
        <w:rPr>
          <w:color w:val="auto"/>
        </w:rPr>
      </w:pPr>
      <w:r>
        <w:rPr>
          <w:rFonts w:hint="default" w:ascii="Times New Roman" w:hAnsi="Times New Roman" w:eastAsia="宋体" w:cs="Times New Roman"/>
          <w:color w:val="auto"/>
          <w:kern w:val="0"/>
          <w:sz w:val="28"/>
          <w:szCs w:val="28"/>
          <w:lang w:val="en-US" w:eastAsia="zh-CN" w:bidi="ar"/>
        </w:rPr>
        <w:t>a.</w:t>
      </w:r>
      <w:r>
        <w:rPr>
          <w:rFonts w:hint="eastAsia" w:ascii="宋体" w:hAnsi="宋体" w:eastAsia="宋体" w:cs="宋体"/>
          <w:color w:val="auto"/>
          <w:kern w:val="0"/>
          <w:sz w:val="28"/>
          <w:szCs w:val="28"/>
          <w:lang w:val="en-US" w:eastAsia="zh-CN" w:bidi="ar"/>
        </w:rPr>
        <w:t xml:space="preserve">电缆敷设：信号电缆与供电电缆分开穿 </w:t>
      </w:r>
      <w:r>
        <w:rPr>
          <w:rFonts w:hint="default" w:ascii="Times New Roman" w:hAnsi="Times New Roman" w:eastAsia="宋体" w:cs="Times New Roman"/>
          <w:color w:val="auto"/>
          <w:kern w:val="0"/>
          <w:sz w:val="28"/>
          <w:szCs w:val="28"/>
          <w:lang w:val="en-US" w:eastAsia="zh-CN" w:bidi="ar"/>
        </w:rPr>
        <w:t xml:space="preserve">PE </w:t>
      </w:r>
      <w:r>
        <w:rPr>
          <w:rFonts w:hint="eastAsia" w:ascii="宋体" w:hAnsi="宋体" w:eastAsia="宋体" w:cs="宋体"/>
          <w:color w:val="auto"/>
          <w:kern w:val="0"/>
          <w:sz w:val="28"/>
          <w:szCs w:val="28"/>
          <w:lang w:val="en-US" w:eastAsia="zh-CN" w:bidi="ar"/>
        </w:rPr>
        <w:t>管敷设，埋深</w:t>
      </w:r>
      <w:r>
        <w:rPr>
          <w:rFonts w:hint="default" w:ascii="Times New Roman" w:hAnsi="Times New Roman" w:eastAsia="宋体" w:cs="Times New Roman"/>
          <w:color w:val="auto"/>
          <w:kern w:val="0"/>
          <w:sz w:val="28"/>
          <w:szCs w:val="28"/>
          <w:lang w:val="en-US" w:eastAsia="zh-CN" w:bidi="ar"/>
        </w:rPr>
        <w:t>≥0.8m</w:t>
      </w:r>
      <w:r>
        <w:rPr>
          <w:rFonts w:hint="eastAsia" w:ascii="宋体" w:hAnsi="宋体" w:eastAsia="宋体" w:cs="宋体"/>
          <w:color w:val="auto"/>
          <w:kern w:val="0"/>
          <w:sz w:val="28"/>
          <w:szCs w:val="28"/>
          <w:lang w:val="en-US" w:eastAsia="zh-CN" w:bidi="ar"/>
        </w:rPr>
        <w:t xml:space="preserve">， </w:t>
      </w:r>
    </w:p>
    <w:p w14:paraId="016C9952">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穿线管两端用密封胶封堵，避免进水；明敷部分用电缆卡固定，固定 </w:t>
      </w:r>
    </w:p>
    <w:p w14:paraId="6D9AE136">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间距</w:t>
      </w:r>
      <w:r>
        <w:rPr>
          <w:rFonts w:hint="default" w:ascii="Times New Roman" w:hAnsi="Times New Roman" w:eastAsia="宋体" w:cs="Times New Roman"/>
          <w:color w:val="auto"/>
          <w:kern w:val="0"/>
          <w:sz w:val="28"/>
          <w:szCs w:val="28"/>
          <w:lang w:val="en-US" w:eastAsia="zh-CN" w:bidi="ar"/>
        </w:rPr>
        <w:t>≤1.2m</w:t>
      </w:r>
      <w:r>
        <w:rPr>
          <w:rFonts w:hint="eastAsia" w:ascii="宋体" w:hAnsi="宋体" w:eastAsia="宋体" w:cs="宋体"/>
          <w:color w:val="auto"/>
          <w:kern w:val="0"/>
          <w:sz w:val="28"/>
          <w:szCs w:val="28"/>
          <w:lang w:val="en-US" w:eastAsia="zh-CN" w:bidi="ar"/>
        </w:rPr>
        <w:t>，与动力线平行敷设间距</w:t>
      </w:r>
      <w:r>
        <w:rPr>
          <w:rFonts w:hint="default" w:ascii="Times New Roman" w:hAnsi="Times New Roman" w:eastAsia="宋体" w:cs="Times New Roman"/>
          <w:color w:val="auto"/>
          <w:kern w:val="0"/>
          <w:sz w:val="28"/>
          <w:szCs w:val="28"/>
          <w:lang w:val="en-US" w:eastAsia="zh-CN" w:bidi="ar"/>
        </w:rPr>
        <w:t>≥0.8m</w:t>
      </w:r>
      <w:r>
        <w:rPr>
          <w:rFonts w:hint="eastAsia" w:ascii="宋体" w:hAnsi="宋体" w:eastAsia="宋体" w:cs="宋体"/>
          <w:color w:val="auto"/>
          <w:kern w:val="0"/>
          <w:sz w:val="28"/>
          <w:szCs w:val="28"/>
          <w:lang w:val="en-US" w:eastAsia="zh-CN" w:bidi="ar"/>
        </w:rPr>
        <w:t xml:space="preserve">，交叉敷设时呈 </w:t>
      </w:r>
      <w:r>
        <w:rPr>
          <w:rFonts w:hint="default" w:ascii="Times New Roman" w:hAnsi="Times New Roman" w:eastAsia="宋体" w:cs="Times New Roman"/>
          <w:color w:val="auto"/>
          <w:kern w:val="0"/>
          <w:sz w:val="28"/>
          <w:szCs w:val="28"/>
          <w:lang w:val="en-US" w:eastAsia="zh-CN" w:bidi="ar"/>
        </w:rPr>
        <w:t>90°</w:t>
      </w:r>
      <w:r>
        <w:rPr>
          <w:rFonts w:hint="eastAsia" w:ascii="宋体" w:hAnsi="宋体" w:eastAsia="宋体" w:cs="宋体"/>
          <w:color w:val="auto"/>
          <w:kern w:val="0"/>
          <w:sz w:val="28"/>
          <w:szCs w:val="28"/>
          <w:lang w:val="en-US" w:eastAsia="zh-CN" w:bidi="ar"/>
        </w:rPr>
        <w:t xml:space="preserve">角。 </w:t>
      </w:r>
    </w:p>
    <w:p w14:paraId="1D98B7A4">
      <w:pPr>
        <w:keepNext w:val="0"/>
        <w:keepLines w:val="0"/>
        <w:pageBreakBefore w:val="0"/>
        <w:widowControl/>
        <w:suppressLineNumbers w:val="0"/>
        <w:wordWrap/>
        <w:overflowPunct/>
        <w:topLinePunct w:val="0"/>
        <w:bidi w:val="0"/>
        <w:spacing w:line="360" w:lineRule="auto"/>
        <w:jc w:val="left"/>
        <w:rPr>
          <w:color w:val="auto"/>
        </w:rPr>
      </w:pPr>
      <w:r>
        <w:rPr>
          <w:rFonts w:hint="default" w:ascii="Times New Roman" w:hAnsi="Times New Roman" w:eastAsia="宋体" w:cs="Times New Roman"/>
          <w:color w:val="auto"/>
          <w:kern w:val="0"/>
          <w:sz w:val="28"/>
          <w:szCs w:val="28"/>
          <w:lang w:val="en-US" w:eastAsia="zh-CN" w:bidi="ar"/>
        </w:rPr>
        <w:t>b.</w:t>
      </w:r>
      <w:r>
        <w:rPr>
          <w:rFonts w:hint="eastAsia" w:ascii="宋体" w:hAnsi="宋体" w:eastAsia="宋体" w:cs="宋体"/>
          <w:color w:val="auto"/>
          <w:kern w:val="0"/>
          <w:sz w:val="28"/>
          <w:szCs w:val="28"/>
          <w:lang w:val="en-US" w:eastAsia="zh-CN" w:bidi="ar"/>
        </w:rPr>
        <w:t xml:space="preserve">接线规范：主机供电接 </w:t>
      </w:r>
      <w:r>
        <w:rPr>
          <w:rFonts w:hint="default" w:ascii="Times New Roman" w:hAnsi="Times New Roman" w:eastAsia="宋体" w:cs="Times New Roman"/>
          <w:color w:val="auto"/>
          <w:kern w:val="0"/>
          <w:sz w:val="28"/>
          <w:szCs w:val="28"/>
          <w:lang w:val="en-US" w:eastAsia="zh-CN" w:bidi="ar"/>
        </w:rPr>
        <w:t xml:space="preserve">9-16V </w:t>
      </w:r>
      <w:r>
        <w:rPr>
          <w:rFonts w:hint="eastAsia" w:ascii="宋体" w:hAnsi="宋体" w:eastAsia="宋体" w:cs="宋体"/>
          <w:color w:val="auto"/>
          <w:kern w:val="0"/>
          <w:sz w:val="28"/>
          <w:szCs w:val="28"/>
          <w:lang w:val="en-US" w:eastAsia="zh-CN" w:bidi="ar"/>
        </w:rPr>
        <w:t xml:space="preserve">直流电源（红接 </w:t>
      </w:r>
      <w:r>
        <w:rPr>
          <w:rFonts w:hint="default" w:ascii="Times New Roman" w:hAnsi="Times New Roman" w:eastAsia="宋体" w:cs="Times New Roman"/>
          <w:color w:val="auto"/>
          <w:kern w:val="0"/>
          <w:sz w:val="28"/>
          <w:szCs w:val="28"/>
          <w:lang w:val="en-US" w:eastAsia="zh-CN" w:bidi="ar"/>
        </w:rPr>
        <w:t>V0+</w:t>
      </w:r>
      <w:r>
        <w:rPr>
          <w:rFonts w:hint="eastAsia" w:ascii="宋体" w:hAnsi="宋体" w:eastAsia="宋体" w:cs="宋体"/>
          <w:color w:val="auto"/>
          <w:kern w:val="0"/>
          <w:sz w:val="28"/>
          <w:szCs w:val="28"/>
          <w:lang w:val="en-US" w:eastAsia="zh-CN" w:bidi="ar"/>
        </w:rPr>
        <w:t xml:space="preserve">，黑接 </w:t>
      </w:r>
    </w:p>
    <w:p w14:paraId="31E07924">
      <w:pPr>
        <w:keepNext w:val="0"/>
        <w:keepLines w:val="0"/>
        <w:pageBreakBefore w:val="0"/>
        <w:widowControl/>
        <w:suppressLineNumbers w:val="0"/>
        <w:wordWrap/>
        <w:overflowPunct/>
        <w:topLinePunct w:val="0"/>
        <w:bidi w:val="0"/>
        <w:spacing w:line="360" w:lineRule="auto"/>
        <w:jc w:val="left"/>
        <w:rPr>
          <w:color w:val="auto"/>
        </w:rPr>
      </w:pPr>
      <w:r>
        <w:rPr>
          <w:rFonts w:hint="default" w:ascii="Times New Roman" w:hAnsi="Times New Roman" w:eastAsia="宋体" w:cs="Times New Roman"/>
          <w:color w:val="auto"/>
          <w:kern w:val="0"/>
          <w:sz w:val="28"/>
          <w:szCs w:val="28"/>
          <w:lang w:val="en-US" w:eastAsia="zh-CN" w:bidi="ar"/>
        </w:rPr>
        <w:t>V0-</w:t>
      </w:r>
      <w:r>
        <w:rPr>
          <w:rFonts w:hint="eastAsia" w:ascii="宋体" w:hAnsi="宋体" w:eastAsia="宋体" w:cs="宋体"/>
          <w:color w:val="auto"/>
          <w:kern w:val="0"/>
          <w:sz w:val="28"/>
          <w:szCs w:val="28"/>
          <w:lang w:val="en-US" w:eastAsia="zh-CN" w:bidi="ar"/>
        </w:rPr>
        <w:t xml:space="preserve">），传感器信号线对应接入 </w:t>
      </w:r>
      <w:r>
        <w:rPr>
          <w:rFonts w:hint="default" w:ascii="Times New Roman" w:hAnsi="Times New Roman" w:eastAsia="宋体" w:cs="Times New Roman"/>
          <w:color w:val="auto"/>
          <w:kern w:val="0"/>
          <w:sz w:val="28"/>
          <w:szCs w:val="28"/>
          <w:lang w:val="en-US" w:eastAsia="zh-CN" w:bidi="ar"/>
        </w:rPr>
        <w:t>485-A1</w:t>
      </w:r>
      <w:r>
        <w:rPr>
          <w:rFonts w:hint="eastAsia" w:ascii="宋体" w:hAnsi="宋体" w:eastAsia="宋体" w:cs="宋体"/>
          <w:color w:val="auto"/>
          <w:kern w:val="0"/>
          <w:sz w:val="28"/>
          <w:szCs w:val="28"/>
          <w:lang w:val="en-US" w:eastAsia="zh-CN" w:bidi="ar"/>
        </w:rPr>
        <w:t>、</w:t>
      </w:r>
      <w:r>
        <w:rPr>
          <w:rFonts w:hint="default" w:ascii="Times New Roman" w:hAnsi="Times New Roman" w:eastAsia="宋体" w:cs="Times New Roman"/>
          <w:color w:val="auto"/>
          <w:kern w:val="0"/>
          <w:sz w:val="28"/>
          <w:szCs w:val="28"/>
          <w:lang w:val="en-US" w:eastAsia="zh-CN" w:bidi="ar"/>
        </w:rPr>
        <w:t xml:space="preserve">485-B1 </w:t>
      </w:r>
      <w:r>
        <w:rPr>
          <w:rFonts w:hint="eastAsia" w:ascii="宋体" w:hAnsi="宋体" w:eastAsia="宋体" w:cs="宋体"/>
          <w:color w:val="auto"/>
          <w:kern w:val="0"/>
          <w:sz w:val="28"/>
          <w:szCs w:val="28"/>
          <w:lang w:val="en-US" w:eastAsia="zh-CN" w:bidi="ar"/>
        </w:rPr>
        <w:t xml:space="preserve">端子，屏蔽层单端接地（仅接主机接地端子，避免双端接地产生干扰）。 </w:t>
      </w:r>
    </w:p>
    <w:p w14:paraId="2F5BE9D3">
      <w:pPr>
        <w:keepNext w:val="0"/>
        <w:keepLines w:val="0"/>
        <w:pageBreakBefore w:val="0"/>
        <w:widowControl/>
        <w:suppressLineNumbers w:val="0"/>
        <w:wordWrap/>
        <w:overflowPunct/>
        <w:topLinePunct w:val="0"/>
        <w:bidi w:val="0"/>
        <w:spacing w:line="360" w:lineRule="auto"/>
        <w:jc w:val="left"/>
        <w:rPr>
          <w:color w:val="auto"/>
        </w:rPr>
      </w:pPr>
      <w:r>
        <w:rPr>
          <w:rFonts w:hint="default" w:ascii="Times New Roman" w:hAnsi="Times New Roman" w:eastAsia="宋体" w:cs="Times New Roman"/>
          <w:color w:val="auto"/>
          <w:kern w:val="0"/>
          <w:sz w:val="28"/>
          <w:szCs w:val="28"/>
          <w:lang w:val="en-US" w:eastAsia="zh-CN" w:bidi="ar"/>
        </w:rPr>
        <w:t xml:space="preserve">c.RTU </w:t>
      </w:r>
      <w:r>
        <w:rPr>
          <w:rFonts w:hint="eastAsia" w:ascii="宋体" w:hAnsi="宋体" w:eastAsia="宋体" w:cs="宋体"/>
          <w:color w:val="auto"/>
          <w:kern w:val="0"/>
          <w:sz w:val="28"/>
          <w:szCs w:val="28"/>
          <w:lang w:val="en-US" w:eastAsia="zh-CN" w:bidi="ar"/>
        </w:rPr>
        <w:t xml:space="preserve">配置：设置通讯协议为 </w:t>
      </w:r>
      <w:r>
        <w:rPr>
          <w:rFonts w:hint="default" w:ascii="Times New Roman" w:hAnsi="Times New Roman" w:eastAsia="宋体" w:cs="Times New Roman"/>
          <w:color w:val="auto"/>
          <w:kern w:val="0"/>
          <w:sz w:val="28"/>
          <w:szCs w:val="28"/>
          <w:lang w:val="en-US" w:eastAsia="zh-CN" w:bidi="ar"/>
        </w:rPr>
        <w:t>MODBUS-RTU</w:t>
      </w:r>
      <w:r>
        <w:rPr>
          <w:rFonts w:hint="eastAsia" w:ascii="宋体" w:hAnsi="宋体" w:eastAsia="宋体" w:cs="宋体"/>
          <w:color w:val="auto"/>
          <w:kern w:val="0"/>
          <w:sz w:val="28"/>
          <w:szCs w:val="28"/>
          <w:lang w:val="en-US" w:eastAsia="zh-CN" w:bidi="ar"/>
        </w:rPr>
        <w:t xml:space="preserve">（波特率 </w:t>
      </w:r>
      <w:r>
        <w:rPr>
          <w:rFonts w:hint="default" w:ascii="Times New Roman" w:hAnsi="Times New Roman" w:eastAsia="宋体" w:cs="Times New Roman"/>
          <w:color w:val="auto"/>
          <w:kern w:val="0"/>
          <w:sz w:val="28"/>
          <w:szCs w:val="28"/>
          <w:lang w:val="en-US" w:eastAsia="zh-CN" w:bidi="ar"/>
        </w:rPr>
        <w:t>9600</w:t>
      </w:r>
      <w:r>
        <w:rPr>
          <w:rFonts w:hint="eastAsia" w:ascii="宋体" w:hAnsi="宋体" w:eastAsia="宋体" w:cs="宋体"/>
          <w:color w:val="auto"/>
          <w:kern w:val="0"/>
          <w:sz w:val="28"/>
          <w:szCs w:val="28"/>
          <w:lang w:val="en-US" w:eastAsia="zh-CN" w:bidi="ar"/>
        </w:rPr>
        <w:t xml:space="preserve">， </w:t>
      </w:r>
    </w:p>
    <w:p w14:paraId="0AA685AE">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数据位 </w:t>
      </w:r>
      <w:r>
        <w:rPr>
          <w:rFonts w:hint="default" w:ascii="Times New Roman" w:hAnsi="Times New Roman" w:eastAsia="宋体" w:cs="Times New Roman"/>
          <w:color w:val="auto"/>
          <w:kern w:val="0"/>
          <w:sz w:val="28"/>
          <w:szCs w:val="28"/>
          <w:lang w:val="en-US" w:eastAsia="zh-CN" w:bidi="ar"/>
        </w:rPr>
        <w:t>8</w:t>
      </w:r>
      <w:r>
        <w:rPr>
          <w:rFonts w:hint="eastAsia" w:ascii="宋体" w:hAnsi="宋体" w:eastAsia="宋体" w:cs="宋体"/>
          <w:color w:val="auto"/>
          <w:kern w:val="0"/>
          <w:sz w:val="28"/>
          <w:szCs w:val="28"/>
          <w:lang w:val="en-US" w:eastAsia="zh-CN" w:bidi="ar"/>
        </w:rPr>
        <w:t xml:space="preserve">，停止位 </w:t>
      </w:r>
      <w:r>
        <w:rPr>
          <w:rFonts w:hint="default" w:ascii="Times New Roman" w:hAnsi="Times New Roman" w:eastAsia="宋体" w:cs="Times New Roman"/>
          <w:color w:val="auto"/>
          <w:kern w:val="0"/>
          <w:sz w:val="28"/>
          <w:szCs w:val="28"/>
          <w:lang w:val="en-US" w:eastAsia="zh-CN" w:bidi="ar"/>
        </w:rPr>
        <w:t>1</w:t>
      </w:r>
      <w:r>
        <w:rPr>
          <w:rFonts w:hint="eastAsia" w:ascii="宋体" w:hAnsi="宋体" w:eastAsia="宋体" w:cs="宋体"/>
          <w:color w:val="auto"/>
          <w:kern w:val="0"/>
          <w:sz w:val="28"/>
          <w:szCs w:val="28"/>
          <w:lang w:val="en-US" w:eastAsia="zh-CN" w:bidi="ar"/>
        </w:rPr>
        <w:t xml:space="preserve">，无校验），启用 </w:t>
      </w:r>
      <w:r>
        <w:rPr>
          <w:rFonts w:hint="default" w:ascii="Times New Roman" w:hAnsi="Times New Roman" w:eastAsia="宋体" w:cs="Times New Roman"/>
          <w:color w:val="auto"/>
          <w:kern w:val="0"/>
          <w:sz w:val="28"/>
          <w:szCs w:val="28"/>
          <w:lang w:val="en-US" w:eastAsia="zh-CN" w:bidi="ar"/>
        </w:rPr>
        <w:t>4G /</w:t>
      </w:r>
      <w:r>
        <w:rPr>
          <w:rFonts w:hint="eastAsia" w:ascii="宋体" w:hAnsi="宋体" w:eastAsia="宋体" w:cs="宋体"/>
          <w:color w:val="auto"/>
          <w:kern w:val="0"/>
          <w:sz w:val="28"/>
          <w:szCs w:val="28"/>
          <w:lang w:val="en-US" w:eastAsia="zh-CN" w:bidi="ar"/>
        </w:rPr>
        <w:t>北斗数据上报，上报间隔</w:t>
      </w:r>
      <w:r>
        <w:rPr>
          <w:rFonts w:hint="default" w:ascii="Times New Roman" w:hAnsi="Times New Roman" w:eastAsia="宋体" w:cs="Times New Roman"/>
          <w:color w:val="auto"/>
          <w:kern w:val="0"/>
          <w:sz w:val="28"/>
          <w:szCs w:val="28"/>
          <w:lang w:val="en-US" w:eastAsia="zh-CN" w:bidi="ar"/>
        </w:rPr>
        <w:t xml:space="preserve">1-60 </w:t>
      </w:r>
      <w:r>
        <w:rPr>
          <w:rFonts w:hint="eastAsia" w:ascii="宋体" w:hAnsi="宋体" w:eastAsia="宋体" w:cs="宋体"/>
          <w:color w:val="auto"/>
          <w:kern w:val="0"/>
          <w:sz w:val="28"/>
          <w:szCs w:val="28"/>
          <w:lang w:val="en-US" w:eastAsia="zh-CN" w:bidi="ar"/>
        </w:rPr>
        <w:t xml:space="preserve">秒可设，配置完成后进行通讯联调，确保数据正常上传至平台。 </w:t>
      </w:r>
    </w:p>
    <w:p w14:paraId="2CBA01F1">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⑤不停水安装注意事项 </w:t>
      </w:r>
    </w:p>
    <w:p w14:paraId="03F76C92">
      <w:pPr>
        <w:keepNext w:val="0"/>
        <w:keepLines w:val="0"/>
        <w:pageBreakBefore w:val="0"/>
        <w:widowControl/>
        <w:suppressLineNumbers w:val="0"/>
        <w:wordWrap/>
        <w:overflowPunct/>
        <w:topLinePunct w:val="0"/>
        <w:bidi w:val="0"/>
        <w:spacing w:line="360" w:lineRule="auto"/>
        <w:jc w:val="left"/>
        <w:rPr>
          <w:color w:val="auto"/>
        </w:rPr>
      </w:pPr>
      <w:r>
        <w:rPr>
          <w:rFonts w:hint="default" w:ascii="Times New Roman" w:hAnsi="Times New Roman" w:eastAsia="宋体" w:cs="Times New Roman"/>
          <w:color w:val="auto"/>
          <w:kern w:val="0"/>
          <w:sz w:val="28"/>
          <w:szCs w:val="28"/>
          <w:lang w:val="en-US" w:eastAsia="zh-CN" w:bidi="ar"/>
        </w:rPr>
        <w:t>a.</w:t>
      </w:r>
      <w:r>
        <w:rPr>
          <w:rFonts w:hint="eastAsia" w:ascii="宋体" w:hAnsi="宋体" w:eastAsia="宋体" w:cs="宋体"/>
          <w:color w:val="auto"/>
          <w:kern w:val="0"/>
          <w:sz w:val="28"/>
          <w:szCs w:val="28"/>
          <w:lang w:val="en-US" w:eastAsia="zh-CN" w:bidi="ar"/>
        </w:rPr>
        <w:t>搭建临时作业平台（承重</w:t>
      </w:r>
      <w:r>
        <w:rPr>
          <w:rFonts w:hint="default" w:ascii="Times New Roman" w:hAnsi="Times New Roman" w:eastAsia="宋体" w:cs="Times New Roman"/>
          <w:color w:val="auto"/>
          <w:kern w:val="0"/>
          <w:sz w:val="28"/>
          <w:szCs w:val="28"/>
          <w:lang w:val="en-US" w:eastAsia="zh-CN" w:bidi="ar"/>
        </w:rPr>
        <w:t>≥200kg</w:t>
      </w:r>
      <w:r>
        <w:rPr>
          <w:rFonts w:hint="eastAsia" w:ascii="宋体" w:hAnsi="宋体" w:eastAsia="宋体" w:cs="宋体"/>
          <w:color w:val="auto"/>
          <w:kern w:val="0"/>
          <w:sz w:val="28"/>
          <w:szCs w:val="28"/>
          <w:lang w:val="en-US" w:eastAsia="zh-CN" w:bidi="ar"/>
        </w:rPr>
        <w:t xml:space="preserve">），平台边缘加装防护栏杆（高 </w:t>
      </w:r>
    </w:p>
    <w:p w14:paraId="7338DF65">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度</w:t>
      </w:r>
      <w:r>
        <w:rPr>
          <w:rFonts w:hint="default" w:ascii="Times New Roman" w:hAnsi="Times New Roman" w:eastAsia="宋体" w:cs="Times New Roman"/>
          <w:color w:val="auto"/>
          <w:kern w:val="0"/>
          <w:sz w:val="28"/>
          <w:szCs w:val="28"/>
          <w:lang w:val="en-US" w:eastAsia="zh-CN" w:bidi="ar"/>
        </w:rPr>
        <w:t>≥1.2m</w:t>
      </w:r>
      <w:r>
        <w:rPr>
          <w:rFonts w:hint="eastAsia" w:ascii="宋体" w:hAnsi="宋体" w:eastAsia="宋体" w:cs="宋体"/>
          <w:color w:val="auto"/>
          <w:kern w:val="0"/>
          <w:sz w:val="28"/>
          <w:szCs w:val="28"/>
          <w:lang w:val="en-US" w:eastAsia="zh-CN" w:bidi="ar"/>
        </w:rPr>
        <w:t xml:space="preserve">），避免施工人员坠入明渠； </w:t>
      </w:r>
    </w:p>
    <w:p w14:paraId="15BF9F1C">
      <w:pPr>
        <w:keepNext w:val="0"/>
        <w:keepLines w:val="0"/>
        <w:pageBreakBefore w:val="0"/>
        <w:widowControl/>
        <w:suppressLineNumbers w:val="0"/>
        <w:wordWrap/>
        <w:overflowPunct/>
        <w:topLinePunct w:val="0"/>
        <w:bidi w:val="0"/>
        <w:spacing w:line="360" w:lineRule="auto"/>
        <w:jc w:val="left"/>
        <w:rPr>
          <w:color w:val="auto"/>
        </w:rPr>
      </w:pPr>
      <w:r>
        <w:rPr>
          <w:rFonts w:hint="default" w:ascii="Times New Roman" w:hAnsi="Times New Roman" w:eastAsia="宋体" w:cs="Times New Roman"/>
          <w:color w:val="auto"/>
          <w:kern w:val="0"/>
          <w:sz w:val="28"/>
          <w:szCs w:val="28"/>
          <w:lang w:val="en-US" w:eastAsia="zh-CN" w:bidi="ar"/>
        </w:rPr>
        <w:t>b.</w:t>
      </w:r>
      <w:r>
        <w:rPr>
          <w:rFonts w:hint="eastAsia" w:ascii="宋体" w:hAnsi="宋体" w:eastAsia="宋体" w:cs="宋体"/>
          <w:color w:val="auto"/>
          <w:kern w:val="0"/>
          <w:sz w:val="28"/>
          <w:szCs w:val="28"/>
          <w:lang w:val="en-US" w:eastAsia="zh-CN" w:bidi="ar"/>
        </w:rPr>
        <w:t xml:space="preserve">传感器安装时轻拿轻放，避免探头碰撞，安装后立即套上防护 </w:t>
      </w:r>
    </w:p>
    <w:p w14:paraId="1CC33AA2">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 xml:space="preserve">罩（不遮挡波束），调试完成后拆除。 </w:t>
      </w:r>
    </w:p>
    <w:p w14:paraId="35D9F277">
      <w:pPr>
        <w:keepNext w:val="0"/>
        <w:keepLines w:val="0"/>
        <w:pageBreakBefore w:val="0"/>
        <w:widowControl/>
        <w:suppressLineNumbers w:val="0"/>
        <w:wordWrap/>
        <w:overflowPunct/>
        <w:topLinePunct w:val="0"/>
        <w:bidi w:val="0"/>
        <w:spacing w:line="360" w:lineRule="auto"/>
        <w:jc w:val="left"/>
        <w:rPr>
          <w:color w:val="auto"/>
        </w:rPr>
      </w:pPr>
      <w:r>
        <w:rPr>
          <w:rFonts w:hint="default" w:ascii="Times New Roman" w:hAnsi="Times New Roman" w:eastAsia="宋体" w:cs="Times New Roman"/>
          <w:color w:val="auto"/>
          <w:kern w:val="0"/>
          <w:sz w:val="28"/>
          <w:szCs w:val="28"/>
          <w:lang w:val="en-US" w:eastAsia="zh-CN" w:bidi="ar"/>
        </w:rPr>
        <w:t>c.</w:t>
      </w:r>
      <w:r>
        <w:rPr>
          <w:rFonts w:hint="eastAsia" w:ascii="宋体" w:hAnsi="宋体" w:eastAsia="宋体" w:cs="宋体"/>
          <w:color w:val="auto"/>
          <w:kern w:val="0"/>
          <w:sz w:val="28"/>
          <w:szCs w:val="28"/>
          <w:lang w:val="en-US" w:eastAsia="zh-CN" w:bidi="ar"/>
        </w:rPr>
        <w:t xml:space="preserve">若需水下作业，电缆接头需选用水下专用防水接头，缠绕 </w:t>
      </w:r>
      <w:r>
        <w:rPr>
          <w:rFonts w:hint="default" w:ascii="Times New Roman" w:hAnsi="Times New Roman" w:eastAsia="宋体" w:cs="Times New Roman"/>
          <w:color w:val="auto"/>
          <w:kern w:val="0"/>
          <w:sz w:val="28"/>
          <w:szCs w:val="28"/>
          <w:lang w:val="en-US" w:eastAsia="zh-CN" w:bidi="ar"/>
        </w:rPr>
        <w:t xml:space="preserve">3 </w:t>
      </w:r>
      <w:r>
        <w:rPr>
          <w:rFonts w:hint="eastAsia" w:ascii="宋体" w:hAnsi="宋体" w:eastAsia="宋体" w:cs="宋体"/>
          <w:color w:val="auto"/>
          <w:kern w:val="0"/>
          <w:sz w:val="28"/>
          <w:szCs w:val="28"/>
          <w:lang w:val="en-US" w:eastAsia="zh-CN" w:bidi="ar"/>
        </w:rPr>
        <w:t xml:space="preserve">层 </w:t>
      </w:r>
    </w:p>
    <w:p w14:paraId="5B1CCD5C">
      <w:pPr>
        <w:keepNext w:val="0"/>
        <w:keepLines w:val="0"/>
        <w:pageBreakBefore w:val="0"/>
        <w:widowControl/>
        <w:suppressLineNumbers w:val="0"/>
        <w:wordWrap/>
        <w:overflowPunct/>
        <w:topLinePunct w:val="0"/>
        <w:bidi w:val="0"/>
        <w:spacing w:line="360" w:lineRule="auto"/>
        <w:jc w:val="left"/>
        <w:rPr>
          <w:color w:val="auto"/>
        </w:rPr>
      </w:pPr>
      <w:r>
        <w:rPr>
          <w:rFonts w:hint="eastAsia" w:ascii="宋体" w:hAnsi="宋体" w:eastAsia="宋体" w:cs="宋体"/>
          <w:color w:val="auto"/>
          <w:kern w:val="0"/>
          <w:sz w:val="28"/>
          <w:szCs w:val="28"/>
          <w:lang w:val="en-US" w:eastAsia="zh-CN" w:bidi="ar"/>
        </w:rPr>
        <w:t>生料带后涂抹防水胶，外层加装防水热缩管，确保密封无渗漏。</w:t>
      </w:r>
    </w:p>
    <w:p w14:paraId="519CD5D3">
      <w:pPr>
        <w:keepNext w:val="0"/>
        <w:keepLines w:val="0"/>
        <w:pageBreakBefore w:val="0"/>
        <w:widowControl/>
        <w:numPr>
          <w:ilvl w:val="0"/>
          <w:numId w:val="0"/>
        </w:numPr>
        <w:suppressLineNumbers w:val="0"/>
        <w:wordWrap/>
        <w:overflowPunct/>
        <w:topLinePunct w:val="0"/>
        <w:bidi w:val="0"/>
        <w:spacing w:line="360" w:lineRule="auto"/>
        <w:ind w:leftChars="0"/>
        <w:jc w:val="left"/>
        <w:rPr>
          <w:rFonts w:hint="eastAsia" w:asciiTheme="minorEastAsia" w:hAnsiTheme="minorEastAsia" w:eastAsiaTheme="minorEastAsia" w:cstheme="minorEastAsia"/>
          <w:b/>
          <w:bCs/>
          <w:color w:val="auto"/>
          <w:kern w:val="0"/>
          <w:sz w:val="28"/>
          <w:szCs w:val="28"/>
          <w:lang w:val="en-US" w:eastAsia="zh-CN" w:bidi="ar"/>
        </w:rPr>
      </w:pPr>
      <w:r>
        <w:rPr>
          <w:rFonts w:hint="eastAsia" w:asciiTheme="minorEastAsia" w:hAnsiTheme="minorEastAsia" w:cstheme="minorEastAsia"/>
          <w:b/>
          <w:bCs/>
          <w:color w:val="auto"/>
          <w:kern w:val="0"/>
          <w:sz w:val="28"/>
          <w:szCs w:val="28"/>
          <w:lang w:val="en-US" w:eastAsia="zh-CN" w:bidi="ar"/>
        </w:rPr>
        <w:t>8、</w:t>
      </w:r>
      <w:r>
        <w:rPr>
          <w:rFonts w:hint="eastAsia" w:asciiTheme="minorEastAsia" w:hAnsiTheme="minorEastAsia" w:eastAsiaTheme="minorEastAsia" w:cstheme="minorEastAsia"/>
          <w:b/>
          <w:bCs/>
          <w:color w:val="auto"/>
          <w:kern w:val="0"/>
          <w:sz w:val="28"/>
          <w:szCs w:val="28"/>
          <w:lang w:val="en-US" w:eastAsia="zh-CN" w:bidi="ar"/>
        </w:rPr>
        <w:t>信息化平台</w:t>
      </w:r>
    </w:p>
    <w:p w14:paraId="456B08F9">
      <w:pPr>
        <w:pStyle w:val="2"/>
        <w:keepNext w:val="0"/>
        <w:keepLines w:val="0"/>
        <w:pageBreakBefore w:val="0"/>
        <w:numPr>
          <w:ilvl w:val="0"/>
          <w:numId w:val="0"/>
        </w:numPr>
        <w:wordWrap/>
        <w:overflowPunct/>
        <w:topLinePunct w:val="0"/>
        <w:bidi w:val="0"/>
        <w:spacing w:line="360" w:lineRule="auto"/>
        <w:ind w:firstLine="560" w:firstLineChars="200"/>
        <w:rPr>
          <w:rFonts w:hint="eastAsia" w:ascii="宋体" w:hAnsi="宋体" w:eastAsia="宋体" w:cs="宋体"/>
          <w:snapToGrid w:val="0"/>
          <w:color w:val="auto"/>
          <w:kern w:val="0"/>
          <w:sz w:val="28"/>
          <w:szCs w:val="28"/>
          <w:lang w:val="en-US" w:eastAsia="zh-CN" w:bidi="ar"/>
        </w:rPr>
      </w:pPr>
      <w:r>
        <w:rPr>
          <w:rFonts w:hint="eastAsia" w:ascii="宋体" w:hAnsi="宋体" w:eastAsia="宋体" w:cs="宋体"/>
          <w:color w:val="auto"/>
          <w:kern w:val="0"/>
          <w:sz w:val="28"/>
          <w:szCs w:val="28"/>
          <w:lang w:val="en-US" w:eastAsia="zh-CN" w:bidi="ar"/>
        </w:rPr>
        <w:t>成交供应商须为本项目配套提供信息化管理平台，配套部署、调试、运维、升级等相关费用均包含在投标报价内，采购人不再支付平台购置</w:t>
      </w:r>
      <w:r>
        <w:rPr>
          <w:rFonts w:hint="eastAsia" w:ascii="宋体" w:hAnsi="宋体" w:eastAsia="宋体" w:cs="宋体"/>
          <w:snapToGrid w:val="0"/>
          <w:color w:val="auto"/>
          <w:kern w:val="0"/>
          <w:sz w:val="28"/>
          <w:szCs w:val="28"/>
          <w:lang w:val="en-US" w:eastAsia="zh-CN" w:bidi="ar"/>
        </w:rPr>
        <w:t>及使用费用。</w:t>
      </w:r>
      <w:r>
        <w:rPr>
          <w:rFonts w:hint="eastAsia" w:ascii="宋体" w:hAnsi="宋体" w:eastAsia="宋体" w:cs="宋体"/>
          <w:b/>
          <w:bCs/>
          <w:snapToGrid w:val="0"/>
          <w:color w:val="auto"/>
          <w:kern w:val="0"/>
          <w:sz w:val="28"/>
          <w:szCs w:val="28"/>
          <w:lang w:val="en-US" w:eastAsia="zh-CN" w:bidi="ar"/>
        </w:rPr>
        <w:t>（须提供承诺函原件扫描件并加盖供应商公章，格式自拟）</w:t>
      </w:r>
    </w:p>
    <w:p w14:paraId="2D4EBEA1">
      <w:pPr>
        <w:pStyle w:val="2"/>
        <w:keepNext w:val="0"/>
        <w:keepLines w:val="0"/>
        <w:pageBreakBefore w:val="0"/>
        <w:numPr>
          <w:ilvl w:val="0"/>
          <w:numId w:val="0"/>
        </w:numPr>
        <w:wordWrap/>
        <w:overflowPunct/>
        <w:topLinePunct w:val="0"/>
        <w:bidi w:val="0"/>
        <w:spacing w:line="360" w:lineRule="auto"/>
        <w:ind w:firstLine="560" w:firstLineChars="200"/>
        <w:rPr>
          <w:rFonts w:hint="eastAsia"/>
          <w:color w:val="auto"/>
          <w:lang w:val="en-US" w:eastAsia="zh-CN"/>
        </w:rPr>
      </w:pPr>
      <w:r>
        <w:rPr>
          <w:rFonts w:hint="eastAsia" w:ascii="宋体" w:hAnsi="宋体" w:eastAsia="宋体" w:cs="宋体"/>
          <w:snapToGrid w:val="0"/>
          <w:color w:val="auto"/>
          <w:kern w:val="0"/>
          <w:sz w:val="28"/>
          <w:szCs w:val="28"/>
          <w:lang w:val="en-US" w:eastAsia="zh-CN" w:bidi="ar"/>
        </w:rPr>
        <w:t>吉安市农业用水计量设施目前正从传统分散管理向现代化系统管控转型，整体呈现“三个全覆盖”特征：一是重点灌区智能计量全覆盖，黄泥埠等中型灌区已实现输水管道与智能计量设施同步建设； 二是数据监测网络全覆盖，通过对接省级监测系统构建“空天地”一体化感知体系；三是管护机制全覆盖，建立了从建设到运行的全生命周期管理流程。吉安通过政策统筹与资源整合，实现了设施运行质量的全域均衡提升。</w:t>
      </w:r>
    </w:p>
    <w:p w14:paraId="68DC5095">
      <w:pPr>
        <w:keepNext w:val="0"/>
        <w:keepLines w:val="0"/>
        <w:pageBreakBefore w:val="0"/>
        <w:widowControl/>
        <w:numPr>
          <w:ilvl w:val="0"/>
          <w:numId w:val="2"/>
        </w:numPr>
        <w:suppressLineNumbers w:val="0"/>
        <w:wordWrap/>
        <w:overflowPunct/>
        <w:topLinePunct w:val="0"/>
        <w:bidi w:val="0"/>
        <w:spacing w:line="360" w:lineRule="auto"/>
        <w:jc w:val="left"/>
        <w:rPr>
          <w:rFonts w:hint="eastAsia" w:ascii="宋体" w:hAnsi="宋体" w:eastAsia="宋体" w:cs="宋体"/>
          <w:b/>
          <w:bCs/>
          <w:color w:val="auto"/>
          <w:kern w:val="0"/>
          <w:sz w:val="28"/>
          <w:szCs w:val="28"/>
          <w:lang w:val="en-US" w:eastAsia="zh-CN" w:bidi="ar"/>
        </w:rPr>
      </w:pPr>
      <w:r>
        <w:rPr>
          <w:rFonts w:hint="eastAsia" w:ascii="宋体" w:hAnsi="宋体" w:eastAsia="宋体" w:cs="宋体"/>
          <w:b/>
          <w:bCs/>
          <w:color w:val="auto"/>
          <w:kern w:val="0"/>
          <w:sz w:val="28"/>
          <w:szCs w:val="28"/>
          <w:lang w:val="en-US" w:eastAsia="zh-CN" w:bidi="ar"/>
        </w:rPr>
        <w:t>拟派人员</w:t>
      </w:r>
    </w:p>
    <w:p w14:paraId="2F7C139E">
      <w:pPr>
        <w:keepNext w:val="0"/>
        <w:keepLines w:val="0"/>
        <w:pageBreakBefore w:val="0"/>
        <w:widowControl/>
        <w:suppressLineNumbers w:val="0"/>
        <w:wordWrap/>
        <w:overflowPunct/>
        <w:topLinePunct w:val="0"/>
        <w:bidi w:val="0"/>
        <w:spacing w:line="360" w:lineRule="auto"/>
        <w:ind w:firstLine="560" w:firstLineChars="200"/>
        <w:jc w:val="left"/>
        <w:rPr>
          <w:rFonts w:hint="eastAsia"/>
          <w:color w:val="auto"/>
          <w:lang w:val="en-US" w:eastAsia="zh-CN"/>
        </w:rPr>
      </w:pPr>
      <w:r>
        <w:rPr>
          <w:rFonts w:hint="eastAsia" w:ascii="宋体" w:hAnsi="宋体" w:eastAsia="宋体" w:cs="宋体"/>
          <w:snapToGrid w:val="0"/>
          <w:color w:val="auto"/>
          <w:kern w:val="0"/>
          <w:sz w:val="28"/>
          <w:szCs w:val="28"/>
          <w:lang w:val="en-US" w:eastAsia="zh-CN" w:bidi="ar"/>
        </w:rPr>
        <w:t>9.1拟派项目负责人具有水利水电工程专业二级及以上注册建造师及具备有效的安全生产考核合格(B类)证书。</w:t>
      </w:r>
      <w:r>
        <w:rPr>
          <w:rFonts w:hint="eastAsia" w:ascii="宋体" w:hAnsi="宋体" w:eastAsia="宋体" w:cs="宋体"/>
          <w:b/>
          <w:bCs/>
          <w:snapToGrid w:val="0"/>
          <w:color w:val="auto"/>
          <w:kern w:val="0"/>
          <w:sz w:val="28"/>
          <w:szCs w:val="28"/>
          <w:lang w:val="en-US" w:eastAsia="zh-CN" w:bidi="ar"/>
        </w:rPr>
        <w:t>（提供建造师证书、安全生产考核合格(B类)证书原件扫描件并加盖供应商公章、提供开标前六个月任意一个月为其缴纳的的社保凭证）</w:t>
      </w:r>
    </w:p>
    <w:p w14:paraId="4F7F6A28">
      <w:pPr>
        <w:keepNext w:val="0"/>
        <w:keepLines w:val="0"/>
        <w:pageBreakBefore w:val="0"/>
        <w:widowControl/>
        <w:suppressLineNumbers w:val="0"/>
        <w:wordWrap/>
        <w:overflowPunct/>
        <w:topLinePunct w:val="0"/>
        <w:bidi w:val="0"/>
        <w:spacing w:line="360" w:lineRule="auto"/>
        <w:ind w:firstLine="560" w:firstLineChars="200"/>
        <w:jc w:val="left"/>
        <w:rPr>
          <w:rFonts w:hint="eastAsia" w:ascii="宋体" w:hAnsi="宋体" w:eastAsia="宋体" w:cs="宋体"/>
          <w:b/>
          <w:bCs/>
          <w:snapToGrid w:val="0"/>
          <w:color w:val="auto"/>
          <w:kern w:val="0"/>
          <w:sz w:val="28"/>
          <w:szCs w:val="28"/>
          <w:lang w:val="en-US" w:eastAsia="zh-CN" w:bidi="ar"/>
        </w:rPr>
      </w:pPr>
      <w:r>
        <w:rPr>
          <w:rFonts w:hint="eastAsia" w:ascii="宋体" w:hAnsi="宋体" w:eastAsia="宋体" w:cs="宋体"/>
          <w:snapToGrid w:val="0"/>
          <w:color w:val="auto"/>
          <w:kern w:val="0"/>
          <w:sz w:val="28"/>
          <w:szCs w:val="28"/>
          <w:lang w:val="en-US" w:eastAsia="zh-CN" w:bidi="ar"/>
        </w:rPr>
        <w:t>9.2拟派项目技术负责人具备信息化系统管理相关证书；</w:t>
      </w:r>
      <w:r>
        <w:rPr>
          <w:rFonts w:hint="eastAsia" w:ascii="宋体" w:hAnsi="宋体" w:eastAsia="宋体" w:cs="宋体"/>
          <w:b/>
          <w:bCs/>
          <w:snapToGrid w:val="0"/>
          <w:color w:val="auto"/>
          <w:kern w:val="0"/>
          <w:sz w:val="28"/>
          <w:szCs w:val="28"/>
          <w:lang w:val="en-US" w:eastAsia="zh-CN" w:bidi="ar"/>
        </w:rPr>
        <w:t>（提供信息化系统管理相关证书原件扫描件并加盖供应商公章、提供开标前六个月任意一个月为其缴纳的的社保凭证）</w:t>
      </w:r>
    </w:p>
    <w:p w14:paraId="21B7E21F">
      <w:pPr>
        <w:keepNext w:val="0"/>
        <w:keepLines w:val="0"/>
        <w:pageBreakBefore w:val="0"/>
        <w:widowControl/>
        <w:numPr>
          <w:ilvl w:val="0"/>
          <w:numId w:val="3"/>
        </w:numPr>
        <w:suppressLineNumbers w:val="0"/>
        <w:wordWrap/>
        <w:overflowPunct/>
        <w:topLinePunct w:val="0"/>
        <w:bidi w:val="0"/>
        <w:spacing w:line="360" w:lineRule="auto"/>
        <w:jc w:val="left"/>
        <w:rPr>
          <w:rFonts w:hint="default" w:ascii="宋体" w:hAnsi="宋体" w:eastAsia="宋体" w:cs="宋体"/>
          <w:b/>
          <w:bCs/>
          <w:color w:val="auto"/>
          <w:kern w:val="0"/>
          <w:sz w:val="28"/>
          <w:szCs w:val="28"/>
          <w:lang w:val="en-US" w:eastAsia="zh-CN" w:bidi="ar"/>
        </w:rPr>
      </w:pPr>
      <w:r>
        <w:rPr>
          <w:rFonts w:hint="default" w:ascii="宋体" w:hAnsi="宋体" w:eastAsia="宋体" w:cs="宋体"/>
          <w:b/>
          <w:bCs/>
          <w:color w:val="auto"/>
          <w:kern w:val="0"/>
          <w:sz w:val="28"/>
          <w:szCs w:val="28"/>
          <w:lang w:val="en-US" w:eastAsia="zh-CN" w:bidi="ar"/>
        </w:rPr>
        <w:t>商务条件</w:t>
      </w:r>
    </w:p>
    <w:p w14:paraId="751763AF">
      <w:pPr>
        <w:pStyle w:val="2"/>
        <w:keepNext w:val="0"/>
        <w:keepLines w:val="0"/>
        <w:pageBreakBefore w:val="0"/>
        <w:numPr>
          <w:ilvl w:val="0"/>
          <w:numId w:val="0"/>
        </w:numPr>
        <w:wordWrap/>
        <w:overflowPunct/>
        <w:topLinePunct w:val="0"/>
        <w:bidi w:val="0"/>
        <w:spacing w:line="360" w:lineRule="auto"/>
        <w:ind w:firstLine="560" w:firstLineChars="200"/>
        <w:rPr>
          <w:rFonts w:hint="eastAsia" w:ascii="宋体" w:hAnsi="宋体" w:eastAsia="宋体" w:cs="宋体"/>
          <w:snapToGrid w:val="0"/>
          <w:color w:val="auto"/>
          <w:kern w:val="0"/>
          <w:sz w:val="28"/>
          <w:szCs w:val="28"/>
          <w:lang w:val="en-US" w:eastAsia="zh-CN" w:bidi="ar"/>
        </w:rPr>
      </w:pPr>
      <w:r>
        <w:rPr>
          <w:rFonts w:hint="eastAsia" w:ascii="宋体" w:hAnsi="宋体" w:eastAsia="宋体" w:cs="宋体"/>
          <w:snapToGrid w:val="0"/>
          <w:color w:val="auto"/>
          <w:kern w:val="0"/>
          <w:sz w:val="28"/>
          <w:szCs w:val="28"/>
          <w:lang w:val="en-US" w:eastAsia="zh-CN" w:bidi="ar"/>
        </w:rPr>
        <w:t>1、合同履行期限：签订合同之日起20天内完成施工、安装、调试。</w:t>
      </w:r>
    </w:p>
    <w:p w14:paraId="76BF1147">
      <w:pPr>
        <w:pStyle w:val="3"/>
        <w:keepNext w:val="0"/>
        <w:keepLines w:val="0"/>
        <w:pageBreakBefore w:val="0"/>
        <w:numPr>
          <w:ilvl w:val="0"/>
          <w:numId w:val="0"/>
        </w:numPr>
        <w:wordWrap/>
        <w:overflowPunct/>
        <w:topLinePunct w:val="0"/>
        <w:bidi w:val="0"/>
        <w:spacing w:line="360" w:lineRule="auto"/>
        <w:ind w:firstLine="560" w:firstLineChars="200"/>
        <w:rPr>
          <w:rFonts w:hint="eastAsia" w:ascii="宋体" w:hAnsi="宋体" w:eastAsia="宋体" w:cs="宋体"/>
          <w:snapToGrid w:val="0"/>
          <w:color w:val="auto"/>
          <w:kern w:val="0"/>
          <w:sz w:val="28"/>
          <w:szCs w:val="28"/>
          <w:lang w:val="en-US" w:eastAsia="zh-CN" w:bidi="ar"/>
        </w:rPr>
      </w:pPr>
      <w:r>
        <w:rPr>
          <w:rFonts w:hint="eastAsia" w:ascii="宋体" w:hAnsi="宋体" w:eastAsia="宋体" w:cs="宋体"/>
          <w:snapToGrid w:val="0"/>
          <w:color w:val="auto"/>
          <w:kern w:val="0"/>
          <w:sz w:val="28"/>
          <w:szCs w:val="28"/>
          <w:lang w:val="en-US" w:eastAsia="zh-CN" w:bidi="ar"/>
        </w:rPr>
        <w:t>2、付款方式：采购合同签订后，所有货物到场并验收合格后支付合同价款的95%，剩余的5%，30日内付至合同价款的100%。</w:t>
      </w:r>
    </w:p>
    <w:p w14:paraId="10CE8F4C">
      <w:pPr>
        <w:pStyle w:val="3"/>
        <w:keepNext w:val="0"/>
        <w:keepLines w:val="0"/>
        <w:pageBreakBefore w:val="0"/>
        <w:numPr>
          <w:ilvl w:val="0"/>
          <w:numId w:val="0"/>
        </w:numPr>
        <w:wordWrap/>
        <w:overflowPunct/>
        <w:topLinePunct w:val="0"/>
        <w:bidi w:val="0"/>
        <w:spacing w:line="360" w:lineRule="auto"/>
        <w:ind w:firstLine="560" w:firstLineChars="200"/>
        <w:rPr>
          <w:rFonts w:hint="default" w:ascii="宋体" w:hAnsi="宋体" w:eastAsia="宋体" w:cs="宋体"/>
          <w:snapToGrid w:val="0"/>
          <w:color w:val="auto"/>
          <w:kern w:val="0"/>
          <w:sz w:val="28"/>
          <w:szCs w:val="28"/>
          <w:lang w:val="en-US" w:eastAsia="zh-CN" w:bidi="ar"/>
        </w:rPr>
      </w:pPr>
      <w:r>
        <w:rPr>
          <w:rFonts w:hint="eastAsia" w:ascii="宋体" w:hAnsi="宋体" w:eastAsia="宋体" w:cs="宋体"/>
          <w:snapToGrid w:val="0"/>
          <w:color w:val="auto"/>
          <w:kern w:val="0"/>
          <w:sz w:val="28"/>
          <w:szCs w:val="28"/>
          <w:lang w:val="en-US" w:eastAsia="zh-CN" w:bidi="ar"/>
        </w:rPr>
        <w:t>3、交货地点：采购人指定地点</w:t>
      </w:r>
    </w:p>
    <w:p w14:paraId="4814BD14">
      <w:pPr>
        <w:keepNext w:val="0"/>
        <w:keepLines w:val="0"/>
        <w:pageBreakBefore w:val="0"/>
        <w:widowControl/>
        <w:suppressLineNumbers w:val="0"/>
        <w:wordWrap/>
        <w:overflowPunct/>
        <w:topLinePunct w:val="0"/>
        <w:bidi w:val="0"/>
        <w:spacing w:line="360" w:lineRule="auto"/>
        <w:ind w:firstLine="560" w:firstLineChars="200"/>
        <w:jc w:val="left"/>
        <w:rPr>
          <w:rFonts w:hint="eastAsia" w:ascii="宋体" w:hAnsi="宋体" w:eastAsia="宋体" w:cs="宋体"/>
          <w:color w:val="auto"/>
          <w:kern w:val="0"/>
          <w:sz w:val="28"/>
          <w:szCs w:val="28"/>
          <w:lang w:val="en-US" w:eastAsia="zh-CN" w:bidi="ar"/>
        </w:rPr>
      </w:pPr>
      <w:r>
        <w:rPr>
          <w:rFonts w:hint="eastAsia" w:ascii="宋体" w:hAnsi="宋体" w:eastAsia="宋体" w:cs="宋体"/>
          <w:color w:val="auto"/>
          <w:kern w:val="0"/>
          <w:sz w:val="28"/>
          <w:szCs w:val="28"/>
          <w:lang w:val="en-US" w:eastAsia="zh-CN" w:bidi="ar"/>
        </w:rPr>
        <w:t>3、包装和运输</w:t>
      </w:r>
    </w:p>
    <w:p w14:paraId="4552F51C">
      <w:pPr>
        <w:keepNext w:val="0"/>
        <w:keepLines w:val="0"/>
        <w:pageBreakBefore w:val="0"/>
        <w:widowControl/>
        <w:suppressLineNumbers w:val="0"/>
        <w:wordWrap/>
        <w:overflowPunct/>
        <w:topLinePunct w:val="0"/>
        <w:bidi w:val="0"/>
        <w:spacing w:line="360" w:lineRule="auto"/>
        <w:ind w:firstLine="560" w:firstLineChars="200"/>
        <w:jc w:val="left"/>
        <w:rPr>
          <w:rFonts w:hint="eastAsia" w:ascii="宋体" w:hAnsi="宋体" w:eastAsia="宋体" w:cs="宋体"/>
          <w:color w:val="auto"/>
          <w:kern w:val="0"/>
          <w:sz w:val="28"/>
          <w:szCs w:val="28"/>
          <w:lang w:val="en-US" w:eastAsia="zh-CN" w:bidi="ar"/>
        </w:rPr>
      </w:pPr>
      <w:r>
        <w:rPr>
          <w:rFonts w:hint="eastAsia" w:ascii="宋体" w:hAnsi="宋体" w:eastAsia="宋体" w:cs="宋体"/>
          <w:color w:val="auto"/>
          <w:kern w:val="0"/>
          <w:sz w:val="28"/>
          <w:szCs w:val="28"/>
          <w:lang w:val="en-US" w:eastAsia="zh-CN" w:bidi="ar"/>
        </w:rPr>
        <w:t>（1）产品包装要求须符合《商品包装政府采购需求标准（试行）》、《快递包装政府采购需求标准（试行）》标准要求。</w:t>
      </w:r>
    </w:p>
    <w:p w14:paraId="514E911C">
      <w:pPr>
        <w:keepNext w:val="0"/>
        <w:keepLines w:val="0"/>
        <w:pageBreakBefore w:val="0"/>
        <w:widowControl/>
        <w:suppressLineNumbers w:val="0"/>
        <w:wordWrap/>
        <w:overflowPunct/>
        <w:topLinePunct w:val="0"/>
        <w:bidi w:val="0"/>
        <w:spacing w:line="360" w:lineRule="auto"/>
        <w:ind w:firstLine="560" w:firstLineChars="200"/>
        <w:jc w:val="left"/>
        <w:rPr>
          <w:rFonts w:hint="eastAsia" w:ascii="宋体" w:hAnsi="宋体" w:eastAsia="宋体" w:cs="宋体"/>
          <w:color w:val="auto"/>
          <w:kern w:val="0"/>
          <w:sz w:val="28"/>
          <w:szCs w:val="28"/>
          <w:lang w:val="en-US" w:eastAsia="zh-CN" w:bidi="ar"/>
        </w:rPr>
      </w:pPr>
      <w:r>
        <w:rPr>
          <w:rFonts w:hint="eastAsia" w:ascii="宋体" w:hAnsi="宋体" w:eastAsia="宋体" w:cs="宋体"/>
          <w:color w:val="auto"/>
          <w:kern w:val="0"/>
          <w:sz w:val="28"/>
          <w:szCs w:val="28"/>
          <w:lang w:val="en-US" w:eastAsia="zh-CN" w:bidi="ar"/>
        </w:rPr>
        <w:t>（2）成交供应商提供货物采用厂商出厂包装，并且符合该货物的包装运输要求，包括在包装（箱）外侧面按运输规定或安全要求进行运输注意事项标记，标注好货物的收件人信息。成交供应商应承担由于其包装或其保护措施不妥而引起货物锈蚀、损坏和丢失的任何损失的责任或费用。</w:t>
      </w:r>
    </w:p>
    <w:p w14:paraId="5BBF27AA">
      <w:pPr>
        <w:keepNext w:val="0"/>
        <w:keepLines w:val="0"/>
        <w:pageBreakBefore w:val="0"/>
        <w:widowControl/>
        <w:suppressLineNumbers w:val="0"/>
        <w:wordWrap/>
        <w:overflowPunct/>
        <w:topLinePunct w:val="0"/>
        <w:bidi w:val="0"/>
        <w:spacing w:line="360" w:lineRule="auto"/>
        <w:ind w:firstLine="560" w:firstLineChars="200"/>
        <w:jc w:val="left"/>
        <w:rPr>
          <w:rFonts w:hint="eastAsia" w:ascii="宋体" w:hAnsi="宋体" w:eastAsia="宋体" w:cs="宋体"/>
          <w:color w:val="auto"/>
          <w:kern w:val="0"/>
          <w:sz w:val="28"/>
          <w:szCs w:val="28"/>
          <w:lang w:val="en-US" w:eastAsia="zh-CN" w:bidi="ar"/>
        </w:rPr>
      </w:pPr>
      <w:r>
        <w:rPr>
          <w:rFonts w:hint="eastAsia" w:ascii="宋体" w:hAnsi="宋体" w:eastAsia="宋体" w:cs="宋体"/>
          <w:color w:val="auto"/>
          <w:kern w:val="0"/>
          <w:sz w:val="28"/>
          <w:szCs w:val="28"/>
          <w:lang w:val="en-US" w:eastAsia="zh-CN" w:bidi="ar"/>
        </w:rPr>
        <w:t>（3）所有货物包装（箱）外须标注好货物的信息。</w:t>
      </w:r>
    </w:p>
    <w:p w14:paraId="21735954">
      <w:pPr>
        <w:pStyle w:val="2"/>
        <w:keepNext w:val="0"/>
        <w:keepLines w:val="0"/>
        <w:pageBreakBefore w:val="0"/>
        <w:wordWrap/>
        <w:overflowPunct/>
        <w:topLinePunct w:val="0"/>
        <w:bidi w:val="0"/>
        <w:spacing w:line="360" w:lineRule="auto"/>
        <w:ind w:firstLine="560" w:firstLineChars="200"/>
        <w:rPr>
          <w:rFonts w:hint="eastAsia" w:ascii="宋体" w:hAnsi="宋体" w:eastAsia="宋体" w:cs="宋体"/>
          <w:snapToGrid w:val="0"/>
          <w:color w:val="auto"/>
          <w:kern w:val="0"/>
          <w:sz w:val="28"/>
          <w:szCs w:val="28"/>
          <w:lang w:val="en-US" w:eastAsia="zh-CN" w:bidi="ar"/>
        </w:rPr>
      </w:pPr>
      <w:r>
        <w:rPr>
          <w:rFonts w:hint="eastAsia" w:ascii="宋体" w:hAnsi="宋体" w:eastAsia="宋体" w:cs="宋体"/>
          <w:snapToGrid w:val="0"/>
          <w:color w:val="auto"/>
          <w:kern w:val="0"/>
          <w:sz w:val="28"/>
          <w:szCs w:val="28"/>
          <w:lang w:val="en-US" w:eastAsia="zh-CN" w:bidi="ar"/>
        </w:rPr>
        <w:t>4、验收</w:t>
      </w:r>
    </w:p>
    <w:p w14:paraId="4CECDAF9">
      <w:pPr>
        <w:pStyle w:val="2"/>
        <w:keepNext w:val="0"/>
        <w:keepLines w:val="0"/>
        <w:pageBreakBefore w:val="0"/>
        <w:wordWrap/>
        <w:overflowPunct/>
        <w:topLinePunct w:val="0"/>
        <w:bidi w:val="0"/>
        <w:spacing w:line="360" w:lineRule="auto"/>
        <w:ind w:firstLine="560" w:firstLineChars="200"/>
        <w:rPr>
          <w:rFonts w:hint="eastAsia" w:ascii="宋体" w:hAnsi="宋体" w:eastAsia="宋体" w:cs="宋体"/>
          <w:snapToGrid w:val="0"/>
          <w:color w:val="auto"/>
          <w:kern w:val="0"/>
          <w:sz w:val="28"/>
          <w:szCs w:val="28"/>
          <w:lang w:val="en-US" w:eastAsia="zh-CN" w:bidi="ar"/>
        </w:rPr>
      </w:pPr>
      <w:r>
        <w:rPr>
          <w:rFonts w:hint="eastAsia" w:ascii="宋体" w:hAnsi="宋体" w:eastAsia="宋体" w:cs="宋体"/>
          <w:snapToGrid w:val="0"/>
          <w:color w:val="auto"/>
          <w:kern w:val="0"/>
          <w:sz w:val="28"/>
          <w:szCs w:val="28"/>
          <w:lang w:val="en-US" w:eastAsia="zh-CN" w:bidi="ar"/>
        </w:rPr>
        <w:t>（1）若有货物验收不合格，成交供应商应在采购人指定的期限内免费更换为合格货物；逾期未更换或更换后仍不合格的，采购人有权扣除该部分货物对应的合同价款，并要求成交供应商承担由此造成的损失。采购人不得因部分货物不合格而拒付合格货物的货款，也不得没收全部货物。</w:t>
      </w:r>
    </w:p>
    <w:p w14:paraId="243D93FA">
      <w:pPr>
        <w:pStyle w:val="2"/>
        <w:keepNext w:val="0"/>
        <w:keepLines w:val="0"/>
        <w:pageBreakBefore w:val="0"/>
        <w:wordWrap/>
        <w:overflowPunct/>
        <w:topLinePunct w:val="0"/>
        <w:bidi w:val="0"/>
        <w:spacing w:line="360" w:lineRule="auto"/>
        <w:ind w:firstLine="560" w:firstLineChars="200"/>
        <w:rPr>
          <w:rFonts w:hint="eastAsia" w:ascii="宋体" w:hAnsi="宋体" w:eastAsia="宋体" w:cs="宋体"/>
          <w:snapToGrid w:val="0"/>
          <w:color w:val="auto"/>
          <w:kern w:val="0"/>
          <w:sz w:val="28"/>
          <w:szCs w:val="28"/>
          <w:lang w:val="en-US" w:eastAsia="zh-CN" w:bidi="ar"/>
        </w:rPr>
      </w:pPr>
      <w:r>
        <w:rPr>
          <w:rFonts w:hint="eastAsia" w:ascii="宋体" w:hAnsi="宋体" w:eastAsia="宋体" w:cs="宋体"/>
          <w:snapToGrid w:val="0"/>
          <w:color w:val="auto"/>
          <w:kern w:val="0"/>
          <w:sz w:val="28"/>
          <w:szCs w:val="28"/>
          <w:lang w:val="en-US" w:eastAsia="zh-CN" w:bidi="ar"/>
        </w:rPr>
        <w:t>（2）对已初步验收的货物，在安装调试和最终验收环节，采购人如发现存在潜在的质量问题，应书面形式在质量保证期内向成交供应商提出异议，成交供应商应当在收到异议后的十日内予以书面答复（十日内不书面答复的视为成交供应商同意采购人异议）。经确认存在质量问题且属于原厂家更换范畴的，成交供应商应及时给予免费更换，并由采购人重新组织验收，验收不合格的，参照初步验收程序，采购人不支付合同剩余款项。</w:t>
      </w:r>
    </w:p>
    <w:p w14:paraId="5B75998E">
      <w:pPr>
        <w:pStyle w:val="2"/>
        <w:keepNext w:val="0"/>
        <w:keepLines w:val="0"/>
        <w:pageBreakBefore w:val="0"/>
        <w:wordWrap/>
        <w:overflowPunct/>
        <w:topLinePunct w:val="0"/>
        <w:bidi w:val="0"/>
        <w:spacing w:line="360" w:lineRule="auto"/>
        <w:ind w:firstLine="560" w:firstLineChars="200"/>
        <w:rPr>
          <w:rFonts w:hint="eastAsia" w:ascii="宋体" w:hAnsi="宋体" w:eastAsia="宋体" w:cs="宋体"/>
          <w:snapToGrid w:val="0"/>
          <w:color w:val="auto"/>
          <w:kern w:val="0"/>
          <w:sz w:val="28"/>
          <w:szCs w:val="28"/>
          <w:lang w:val="en-US" w:eastAsia="zh-CN" w:bidi="ar"/>
        </w:rPr>
      </w:pPr>
      <w:r>
        <w:rPr>
          <w:rFonts w:hint="eastAsia" w:ascii="宋体" w:hAnsi="宋体" w:eastAsia="宋体" w:cs="宋体"/>
          <w:snapToGrid w:val="0"/>
          <w:color w:val="auto"/>
          <w:kern w:val="0"/>
          <w:sz w:val="28"/>
          <w:szCs w:val="28"/>
          <w:lang w:val="en-US" w:eastAsia="zh-CN" w:bidi="ar"/>
        </w:rPr>
        <w:t>（3）交付的货物数量和质量均符合本合同约定的，由采购人和成交供应商出具最终验收报告。全部货物经采购人最终验收合格后，货物的风险转移到采购人，此前货物灭失、损坏等风险由成交供应商承担。</w:t>
      </w:r>
    </w:p>
    <w:p w14:paraId="15E12A0E">
      <w:pPr>
        <w:pStyle w:val="3"/>
        <w:keepNext w:val="0"/>
        <w:keepLines w:val="0"/>
        <w:pageBreakBefore w:val="0"/>
        <w:wordWrap/>
        <w:overflowPunct/>
        <w:topLinePunct w:val="0"/>
        <w:bidi w:val="0"/>
        <w:spacing w:line="360" w:lineRule="auto"/>
        <w:ind w:left="0" w:leftChars="0" w:firstLine="560" w:firstLineChars="200"/>
        <w:rPr>
          <w:rFonts w:hint="eastAsia" w:ascii="宋体" w:hAnsi="宋体" w:eastAsia="宋体" w:cs="宋体"/>
          <w:snapToGrid w:val="0"/>
          <w:color w:val="auto"/>
          <w:kern w:val="0"/>
          <w:sz w:val="28"/>
          <w:szCs w:val="28"/>
          <w:lang w:val="en-US" w:eastAsia="zh-CN" w:bidi="ar"/>
        </w:rPr>
      </w:pPr>
      <w:r>
        <w:rPr>
          <w:rFonts w:hint="eastAsia" w:ascii="宋体" w:hAnsi="宋体" w:eastAsia="宋体" w:cs="宋体"/>
          <w:snapToGrid w:val="0"/>
          <w:color w:val="auto"/>
          <w:kern w:val="0"/>
          <w:sz w:val="28"/>
          <w:szCs w:val="28"/>
          <w:lang w:val="en-US" w:eastAsia="zh-CN" w:bidi="ar"/>
        </w:rPr>
        <w:t>5、</w:t>
      </w:r>
      <w:r>
        <w:rPr>
          <w:rFonts w:hint="default" w:ascii="宋体" w:hAnsi="宋体" w:eastAsia="宋体" w:cs="宋体"/>
          <w:snapToGrid w:val="0"/>
          <w:color w:val="auto"/>
          <w:kern w:val="0"/>
          <w:sz w:val="28"/>
          <w:szCs w:val="28"/>
          <w:lang w:val="en-US" w:eastAsia="zh-CN" w:bidi="ar"/>
        </w:rPr>
        <w:t>售后服务</w:t>
      </w:r>
    </w:p>
    <w:p w14:paraId="7E722CA7">
      <w:pPr>
        <w:pStyle w:val="3"/>
        <w:keepNext w:val="0"/>
        <w:keepLines w:val="0"/>
        <w:pageBreakBefore w:val="0"/>
        <w:wordWrap/>
        <w:overflowPunct/>
        <w:topLinePunct w:val="0"/>
        <w:bidi w:val="0"/>
        <w:spacing w:line="360" w:lineRule="auto"/>
        <w:rPr>
          <w:rFonts w:hint="default" w:ascii="宋体" w:hAnsi="宋体" w:eastAsia="宋体" w:cs="宋体"/>
          <w:snapToGrid w:val="0"/>
          <w:color w:val="auto"/>
          <w:kern w:val="0"/>
          <w:sz w:val="28"/>
          <w:szCs w:val="28"/>
          <w:lang w:val="en-US" w:eastAsia="zh-CN" w:bidi="ar"/>
        </w:rPr>
      </w:pPr>
      <w:r>
        <w:rPr>
          <w:rFonts w:hint="eastAsia" w:ascii="宋体" w:hAnsi="宋体" w:eastAsia="宋体" w:cs="宋体"/>
          <w:snapToGrid w:val="0"/>
          <w:color w:val="auto"/>
          <w:kern w:val="0"/>
          <w:sz w:val="28"/>
          <w:szCs w:val="28"/>
          <w:lang w:val="en-US" w:eastAsia="zh-CN" w:bidi="ar"/>
        </w:rPr>
        <w:t>（1）</w:t>
      </w:r>
      <w:r>
        <w:rPr>
          <w:rFonts w:hint="default" w:ascii="宋体" w:hAnsi="宋体" w:eastAsia="宋体" w:cs="宋体"/>
          <w:snapToGrid w:val="0"/>
          <w:color w:val="auto"/>
          <w:kern w:val="0"/>
          <w:sz w:val="28"/>
          <w:szCs w:val="28"/>
          <w:lang w:val="en-US" w:eastAsia="zh-CN" w:bidi="ar"/>
        </w:rPr>
        <w:t>自货物验收合格之日起，成交供应商对所供货物提供12个月的缺陷责任期。因货物质量原因导致修理或更换部分的缺陷责任期从完工验收合格之日起计算。</w:t>
      </w:r>
    </w:p>
    <w:p w14:paraId="1D258F6B">
      <w:pPr>
        <w:pStyle w:val="3"/>
        <w:keepNext w:val="0"/>
        <w:keepLines w:val="0"/>
        <w:pageBreakBefore w:val="0"/>
        <w:wordWrap/>
        <w:overflowPunct/>
        <w:topLinePunct w:val="0"/>
        <w:bidi w:val="0"/>
        <w:spacing w:line="360" w:lineRule="auto"/>
        <w:rPr>
          <w:rFonts w:hint="default" w:ascii="宋体" w:hAnsi="宋体" w:eastAsia="宋体" w:cs="宋体"/>
          <w:snapToGrid w:val="0"/>
          <w:color w:val="auto"/>
          <w:kern w:val="0"/>
          <w:sz w:val="28"/>
          <w:szCs w:val="28"/>
          <w:lang w:val="en-US" w:eastAsia="zh-CN" w:bidi="ar"/>
        </w:rPr>
      </w:pPr>
      <w:r>
        <w:rPr>
          <w:rFonts w:hint="eastAsia" w:ascii="宋体" w:hAnsi="宋体" w:eastAsia="宋体" w:cs="宋体"/>
          <w:snapToGrid w:val="0"/>
          <w:color w:val="auto"/>
          <w:kern w:val="0"/>
          <w:sz w:val="28"/>
          <w:szCs w:val="28"/>
          <w:lang w:val="en-US" w:eastAsia="zh-CN" w:bidi="ar"/>
        </w:rPr>
        <w:t>（2）</w:t>
      </w:r>
      <w:r>
        <w:rPr>
          <w:rFonts w:hint="default" w:ascii="宋体" w:hAnsi="宋体" w:eastAsia="宋体" w:cs="宋体"/>
          <w:snapToGrid w:val="0"/>
          <w:color w:val="auto"/>
          <w:kern w:val="0"/>
          <w:sz w:val="28"/>
          <w:szCs w:val="28"/>
          <w:lang w:val="en-US" w:eastAsia="zh-CN" w:bidi="ar"/>
        </w:rPr>
        <w:t>在初始运行阶段，根据采购人要求，成交供应商负责对采购人指定的人员在采购人处进行7个工作日以上的免费培训，培训内容包括合同货物的操作技能、工作原理、日常维护、故障检修和安全事项等。</w:t>
      </w:r>
    </w:p>
    <w:p w14:paraId="360D1A7E">
      <w:pPr>
        <w:pStyle w:val="3"/>
        <w:keepNext w:val="0"/>
        <w:keepLines w:val="0"/>
        <w:pageBreakBefore w:val="0"/>
        <w:wordWrap/>
        <w:overflowPunct/>
        <w:topLinePunct w:val="0"/>
        <w:bidi w:val="0"/>
        <w:spacing w:line="360" w:lineRule="auto"/>
        <w:rPr>
          <w:rFonts w:hint="default" w:ascii="宋体" w:hAnsi="宋体" w:eastAsia="宋体" w:cs="宋体"/>
          <w:snapToGrid w:val="0"/>
          <w:color w:val="auto"/>
          <w:kern w:val="0"/>
          <w:sz w:val="28"/>
          <w:szCs w:val="28"/>
          <w:lang w:val="en-US" w:eastAsia="zh-CN" w:bidi="ar"/>
        </w:rPr>
      </w:pPr>
      <w:r>
        <w:rPr>
          <w:rFonts w:hint="eastAsia" w:ascii="宋体" w:hAnsi="宋体" w:eastAsia="宋体" w:cs="宋体"/>
          <w:snapToGrid w:val="0"/>
          <w:color w:val="auto"/>
          <w:kern w:val="0"/>
          <w:sz w:val="28"/>
          <w:szCs w:val="28"/>
          <w:lang w:val="en-US" w:eastAsia="zh-CN" w:bidi="ar"/>
        </w:rPr>
        <w:t>（3）</w:t>
      </w:r>
      <w:r>
        <w:rPr>
          <w:rFonts w:hint="default" w:ascii="宋体" w:hAnsi="宋体" w:eastAsia="宋体" w:cs="宋体"/>
          <w:snapToGrid w:val="0"/>
          <w:color w:val="auto"/>
          <w:kern w:val="0"/>
          <w:sz w:val="28"/>
          <w:szCs w:val="28"/>
          <w:lang w:val="en-US" w:eastAsia="zh-CN" w:bidi="ar"/>
        </w:rPr>
        <w:t>缺陷责任期内，成交供应商所提供的维修及技术服务不收取任何费用（含运输、关税、材料、人工、差旅等费用及成交供应商在缺陷责任期内免费为设备更换备品备件）。成交供应商所提供的人员费用及其财产损失由成交供应商承担，</w:t>
      </w:r>
    </w:p>
    <w:p w14:paraId="75859E52">
      <w:pPr>
        <w:pStyle w:val="3"/>
        <w:keepNext w:val="0"/>
        <w:keepLines w:val="0"/>
        <w:pageBreakBefore w:val="0"/>
        <w:wordWrap/>
        <w:overflowPunct/>
        <w:topLinePunct w:val="0"/>
        <w:bidi w:val="0"/>
        <w:spacing w:line="360" w:lineRule="auto"/>
        <w:rPr>
          <w:rFonts w:hint="default" w:ascii="宋体" w:hAnsi="宋体" w:eastAsia="宋体" w:cs="宋体"/>
          <w:snapToGrid w:val="0"/>
          <w:color w:val="auto"/>
          <w:kern w:val="0"/>
          <w:sz w:val="28"/>
          <w:szCs w:val="28"/>
          <w:lang w:val="en-US" w:eastAsia="zh-CN" w:bidi="ar"/>
        </w:rPr>
      </w:pPr>
      <w:r>
        <w:rPr>
          <w:rFonts w:hint="eastAsia" w:ascii="宋体" w:hAnsi="宋体" w:eastAsia="宋体" w:cs="宋体"/>
          <w:snapToGrid w:val="0"/>
          <w:color w:val="auto"/>
          <w:kern w:val="0"/>
          <w:sz w:val="28"/>
          <w:szCs w:val="28"/>
          <w:lang w:val="en-US" w:eastAsia="zh-CN" w:bidi="ar"/>
        </w:rPr>
        <w:t>（4）</w:t>
      </w:r>
      <w:r>
        <w:rPr>
          <w:rFonts w:hint="default" w:ascii="宋体" w:hAnsi="宋体" w:eastAsia="宋体" w:cs="宋体"/>
          <w:snapToGrid w:val="0"/>
          <w:color w:val="auto"/>
          <w:kern w:val="0"/>
          <w:sz w:val="28"/>
          <w:szCs w:val="28"/>
          <w:lang w:val="en-US" w:eastAsia="zh-CN" w:bidi="ar"/>
        </w:rPr>
        <w:t>缺陷责任期后，成交供应商向采购人提供终身维修及服务，其费用按不高于材料成本价和历次服务费的标准执行，否则采购人有权按自己核定的价格向成交供应商付款。</w:t>
      </w:r>
    </w:p>
    <w:p w14:paraId="25B91ECE">
      <w:pPr>
        <w:pStyle w:val="3"/>
        <w:keepNext w:val="0"/>
        <w:keepLines w:val="0"/>
        <w:pageBreakBefore w:val="0"/>
        <w:wordWrap/>
        <w:overflowPunct/>
        <w:topLinePunct w:val="0"/>
        <w:bidi w:val="0"/>
        <w:spacing w:line="360" w:lineRule="auto"/>
        <w:rPr>
          <w:rFonts w:hint="default" w:ascii="宋体" w:hAnsi="宋体" w:eastAsia="宋体" w:cs="宋体"/>
          <w:snapToGrid w:val="0"/>
          <w:color w:val="auto"/>
          <w:kern w:val="0"/>
          <w:sz w:val="28"/>
          <w:szCs w:val="28"/>
          <w:lang w:val="en-US" w:eastAsia="zh-CN" w:bidi="ar"/>
        </w:rPr>
      </w:pPr>
      <w:r>
        <w:rPr>
          <w:rFonts w:hint="eastAsia" w:ascii="宋体" w:hAnsi="宋体" w:eastAsia="宋体" w:cs="宋体"/>
          <w:snapToGrid w:val="0"/>
          <w:color w:val="auto"/>
          <w:kern w:val="0"/>
          <w:sz w:val="28"/>
          <w:szCs w:val="28"/>
          <w:lang w:val="en-US" w:eastAsia="zh-CN" w:bidi="ar"/>
        </w:rPr>
        <w:t>（5）</w:t>
      </w:r>
      <w:r>
        <w:rPr>
          <w:rFonts w:hint="default" w:ascii="宋体" w:hAnsi="宋体" w:eastAsia="宋体" w:cs="宋体"/>
          <w:snapToGrid w:val="0"/>
          <w:color w:val="auto"/>
          <w:kern w:val="0"/>
          <w:sz w:val="28"/>
          <w:szCs w:val="28"/>
          <w:lang w:val="en-US" w:eastAsia="zh-CN" w:bidi="ar"/>
        </w:rPr>
        <w:t>缺陷责任期内或缺陷责任期结束后，如货物出现故障，成交供应商在接到采购人通知后3小时内须做出响应，6小时内免费给予技术支持或到达现场维修排除故障。如成交供应商未在规定时间排除故障或更换问题货物，采购人有权委托第三方或自行修理，相关费用由成交供应商支付。</w:t>
      </w:r>
    </w:p>
    <w:p w14:paraId="271CEE79">
      <w:pPr>
        <w:keepNext w:val="0"/>
        <w:keepLines w:val="0"/>
        <w:pageBreakBefore w:val="0"/>
        <w:widowControl/>
        <w:numPr>
          <w:ilvl w:val="0"/>
          <w:numId w:val="0"/>
        </w:numPr>
        <w:suppressLineNumbers w:val="0"/>
        <w:wordWrap/>
        <w:overflowPunct/>
        <w:topLinePunct w:val="0"/>
        <w:bidi w:val="0"/>
        <w:spacing w:line="360" w:lineRule="auto"/>
        <w:ind w:leftChars="0" w:firstLine="560" w:firstLineChars="200"/>
        <w:jc w:val="both"/>
        <w:rPr>
          <w:rFonts w:hint="eastAsia" w:ascii="宋体" w:hAnsi="宋体" w:eastAsia="宋体" w:cs="宋体"/>
          <w:snapToGrid w:val="0"/>
          <w:color w:val="auto"/>
          <w:kern w:val="0"/>
          <w:sz w:val="28"/>
          <w:szCs w:val="28"/>
          <w:lang w:val="en-US" w:eastAsia="zh-CN" w:bidi="ar"/>
        </w:rPr>
      </w:pPr>
      <w:r>
        <w:rPr>
          <w:rFonts w:hint="eastAsia" w:ascii="宋体" w:hAnsi="宋体" w:eastAsia="宋体" w:cs="宋体"/>
          <w:snapToGrid w:val="0"/>
          <w:color w:val="auto"/>
          <w:kern w:val="0"/>
          <w:sz w:val="28"/>
          <w:szCs w:val="28"/>
          <w:lang w:val="en-US" w:eastAsia="zh-CN" w:bidi="ar"/>
        </w:rPr>
        <w:t>6、知识产权归属和处理方式</w:t>
      </w:r>
    </w:p>
    <w:p w14:paraId="3F058B57">
      <w:pPr>
        <w:pStyle w:val="2"/>
        <w:keepNext w:val="0"/>
        <w:keepLines w:val="0"/>
        <w:pageBreakBefore w:val="0"/>
        <w:wordWrap/>
        <w:overflowPunct/>
        <w:topLinePunct w:val="0"/>
        <w:bidi w:val="0"/>
        <w:spacing w:line="360" w:lineRule="auto"/>
        <w:ind w:firstLine="560" w:firstLineChars="200"/>
        <w:rPr>
          <w:rFonts w:hint="eastAsia" w:ascii="宋体" w:hAnsi="宋体" w:eastAsia="宋体" w:cs="宋体"/>
          <w:snapToGrid w:val="0"/>
          <w:color w:val="auto"/>
          <w:kern w:val="0"/>
          <w:sz w:val="28"/>
          <w:szCs w:val="28"/>
          <w:lang w:val="en-US" w:eastAsia="zh-CN" w:bidi="ar"/>
        </w:rPr>
      </w:pPr>
      <w:r>
        <w:rPr>
          <w:rFonts w:hint="default" w:ascii="宋体" w:hAnsi="宋体" w:eastAsia="宋体" w:cs="宋体"/>
          <w:snapToGrid w:val="0"/>
          <w:color w:val="auto"/>
          <w:kern w:val="0"/>
          <w:sz w:val="28"/>
          <w:szCs w:val="28"/>
          <w:lang w:val="en-US" w:eastAsia="zh-CN" w:bidi="ar"/>
        </w:rPr>
        <w:t>成交供应商对其所销售的货物应当享有知识产权或经权利人合法授权，保证没有侵犯任何第三人的知识产权等权利。因违反前述约定对第三人构成侵权的，应当由成交供应商向第三人承担法律责任；采购人依法向第三人赔偿后，有权向成交供应商追偿。采购人有其他损失的，成交供应商应当赔偿。</w:t>
      </w:r>
    </w:p>
    <w:p w14:paraId="785DBCA3">
      <w:pPr>
        <w:keepNext w:val="0"/>
        <w:keepLines w:val="0"/>
        <w:widowControl/>
        <w:numPr>
          <w:ilvl w:val="0"/>
          <w:numId w:val="0"/>
        </w:numPr>
        <w:suppressLineNumbers w:val="0"/>
        <w:ind w:leftChars="0" w:firstLine="560" w:firstLineChars="200"/>
        <w:jc w:val="left"/>
        <w:rPr>
          <w:rFonts w:hint="eastAsia" w:ascii="宋体" w:hAnsi="宋体" w:eastAsia="宋体" w:cs="宋体"/>
          <w:b w:val="0"/>
          <w:bCs w:val="0"/>
          <w:snapToGrid w:val="0"/>
          <w:color w:val="auto"/>
          <w:kern w:val="0"/>
          <w:sz w:val="28"/>
          <w:szCs w:val="28"/>
          <w:lang w:val="en-US" w:eastAsia="zh-CN" w:bidi="ar"/>
        </w:rPr>
      </w:pPr>
      <w:r>
        <w:rPr>
          <w:rFonts w:hint="eastAsia" w:ascii="宋体" w:hAnsi="宋体" w:eastAsia="宋体" w:cs="宋体"/>
          <w:b w:val="0"/>
          <w:bCs w:val="0"/>
          <w:color w:val="auto"/>
          <w:kern w:val="0"/>
          <w:sz w:val="28"/>
          <w:szCs w:val="28"/>
          <w:lang w:val="en-US" w:eastAsia="zh-CN" w:bidi="ar"/>
        </w:rPr>
        <w:t>7、</w:t>
      </w:r>
      <w:r>
        <w:rPr>
          <w:rFonts w:hint="eastAsia" w:ascii="宋体" w:hAnsi="宋体" w:eastAsia="宋体" w:cs="宋体"/>
          <w:b w:val="0"/>
          <w:bCs w:val="0"/>
          <w:snapToGrid w:val="0"/>
          <w:color w:val="auto"/>
          <w:kern w:val="0"/>
          <w:sz w:val="28"/>
          <w:szCs w:val="28"/>
          <w:lang w:val="en-US" w:eastAsia="zh-CN" w:bidi="ar"/>
        </w:rPr>
        <w:t>其他未尽事宜，请与采购人联系。</w:t>
      </w:r>
    </w:p>
    <w:p w14:paraId="718E087E">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MS PGothic">
    <w:panose1 w:val="020B0600070205080204"/>
    <w:charset w:val="80"/>
    <w:family w:val="auto"/>
    <w:pitch w:val="default"/>
    <w:sig w:usb0="E00002FF" w:usb1="6AC7FDFB" w:usb2="08000012" w:usb3="00000000" w:csb0="4002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D6B4B4"/>
    <w:multiLevelType w:val="singleLevel"/>
    <w:tmpl w:val="8ED6B4B4"/>
    <w:lvl w:ilvl="0" w:tentative="0">
      <w:start w:val="7"/>
      <w:numFmt w:val="decimal"/>
      <w:suff w:val="nothing"/>
      <w:lvlText w:val="%1、"/>
      <w:lvlJc w:val="left"/>
    </w:lvl>
  </w:abstractNum>
  <w:abstractNum w:abstractNumId="1">
    <w:nsid w:val="F91EE594"/>
    <w:multiLevelType w:val="singleLevel"/>
    <w:tmpl w:val="F91EE594"/>
    <w:lvl w:ilvl="0" w:tentative="0">
      <w:start w:val="2"/>
      <w:numFmt w:val="chineseCounting"/>
      <w:suff w:val="space"/>
      <w:lvlText w:val="（%1）"/>
      <w:lvlJc w:val="left"/>
      <w:rPr>
        <w:rFonts w:hint="eastAsia"/>
      </w:rPr>
    </w:lvl>
  </w:abstractNum>
  <w:abstractNum w:abstractNumId="2">
    <w:nsid w:val="2D82C871"/>
    <w:multiLevelType w:val="singleLevel"/>
    <w:tmpl w:val="2D82C871"/>
    <w:lvl w:ilvl="0" w:tentative="0">
      <w:start w:val="9"/>
      <w:numFmt w:val="decimal"/>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3A097D"/>
    <w:rsid w:val="2A3A09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24</Pages>
  <Words>0</Words>
  <Characters>0</Characters>
  <Lines>0</Lines>
  <Paragraphs>0</Paragraphs>
  <TotalTime>0</TotalTime>
  <ScaleCrop>false</ScaleCrop>
  <LinksUpToDate>false</LinksUpToDate>
  <CharactersWithSpaces>0</CharactersWithSpaces>
  <Application>WPS Office_12.1.0.26884_F1E327BC-269C-435d-A152-05C5408002CA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2026-06-22T09:53:00Z</dcterms:created>
  <dc:creator>Administrator</dc:creator>
  <cp:lastModifiedBy>Administrator</cp:lastModifiedBy>
  <dcterms:modified xsi:type="dcterms:W3CDTF">2026-06-22T09:54:08Z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2052-12.1.0.26884</vt:lpwstr>
  </property>
  <property fmtid="{D5CDD505-2E9C-101B-9397-08002B2CF9AE}" pid="3" name="ICV">
    <vt:lpwstr>78D1EEA426074D8E83756B507AD321B5_11</vt:lpwstr>
  </property>
  <property fmtid="{D5CDD505-2E9C-101B-9397-08002B2CF9AE}" pid="4" name="KSOTemplateDocerSaveRecord">
    <vt:lpwstr>eyJoZGlkIjoiNWFkNjZkOTAzY2JjZWNlZDMyMGU5MTAyNWNmNWExNjkiLCJ1c2VySWQiOiIzMDA1NDUxMDEifQ==</vt:lpwstr>
  </property>
</Properties>
</file>