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adjustRightInd w:val="0"/>
        <w:snapToGrid w:val="0"/>
        <w:spacing w:before="0" w:after="0" w:line="360" w:lineRule="auto"/>
        <w:ind w:firstLine="643" w:firstLineChars="200"/>
        <w:rPr>
          <w:rFonts w:hint="eastAsia" w:ascii="黑体" w:hAnsi="黑体" w:eastAsia="黑体" w:cs="宋体"/>
          <w:color w:val="auto"/>
          <w:sz w:val="28"/>
          <w:szCs w:val="28"/>
          <w:highlight w:val="white"/>
        </w:rPr>
      </w:pPr>
      <w:bookmarkStart w:id="0" w:name="_Toc31858_WPSOffice_Level2"/>
      <w:bookmarkStart w:id="1" w:name="_Toc6931_WPSOffice_Level2"/>
      <w:r>
        <w:rPr>
          <w:rFonts w:hint="eastAsia" w:hAnsi="宋体" w:cs="宋体"/>
          <w:b/>
          <w:bCs/>
          <w:sz w:val="32"/>
          <w:szCs w:val="32"/>
          <w:highlight w:val="none"/>
        </w:rPr>
        <w:t>二、</w:t>
      </w:r>
      <w:bookmarkEnd w:id="0"/>
      <w:bookmarkEnd w:id="1"/>
      <w:bookmarkStart w:id="2" w:name="_Toc1789_WPSOffice_Level2"/>
      <w:bookmarkStart w:id="3" w:name="_Toc11809_WPSOffice_Level2"/>
      <w:bookmarkStart w:id="4" w:name="_Toc20218_WPSOffice_Level1"/>
      <w:bookmarkStart w:id="5" w:name="_Toc9753_WPSOffice_Level2"/>
      <w:r>
        <w:rPr>
          <w:rFonts w:hint="eastAsia" w:hAnsi="宋体" w:cs="宋体"/>
          <w:b/>
          <w:bCs/>
          <w:sz w:val="32"/>
          <w:szCs w:val="32"/>
          <w:highlight w:val="none"/>
        </w:rPr>
        <w:t>服务需求</w:t>
      </w:r>
      <w:bookmarkEnd w:id="2"/>
    </w:p>
    <w:p>
      <w:pPr>
        <w:adjustRightInd w:val="0"/>
        <w:snapToGrid w:val="0"/>
        <w:spacing w:line="360" w:lineRule="auto"/>
        <w:ind w:firstLine="480" w:firstLineChars="200"/>
        <w:jc w:val="left"/>
        <w:rPr>
          <w:rFonts w:hint="eastAsia" w:hAnsi="宋体" w:cs="宋体"/>
          <w:b/>
          <w:bCs/>
          <w:sz w:val="24"/>
          <w:szCs w:val="24"/>
        </w:rPr>
      </w:pPr>
      <w:bookmarkStart w:id="6" w:name="OLE_LINK1"/>
      <w:r>
        <w:rPr>
          <w:rFonts w:hint="eastAsia" w:hAnsi="宋体" w:cs="宋体"/>
          <w:b/>
          <w:bCs/>
          <w:sz w:val="24"/>
          <w:szCs w:val="24"/>
          <w:highlight w:val="white"/>
        </w:rPr>
        <w:t>1</w:t>
      </w:r>
      <w:r>
        <w:rPr>
          <w:rFonts w:hint="eastAsia" w:hAnsi="宋体" w:cs="宋体"/>
          <w:kern w:val="2"/>
          <w:sz w:val="24"/>
          <w:szCs w:val="24"/>
          <w:highlight w:val="white"/>
        </w:rPr>
        <w:t>．</w:t>
      </w:r>
      <w:r>
        <w:rPr>
          <w:rFonts w:hint="eastAsia" w:hAnsi="宋体" w:cs="宋体"/>
          <w:b/>
          <w:bCs/>
          <w:sz w:val="24"/>
          <w:szCs w:val="24"/>
          <w:highlight w:val="white"/>
        </w:rPr>
        <w:t>管护范围</w:t>
      </w:r>
    </w:p>
    <w:p>
      <w:pPr>
        <w:adjustRightInd w:val="0"/>
        <w:snapToGrid w:val="0"/>
        <w:spacing w:line="360" w:lineRule="auto"/>
        <w:ind w:firstLine="480" w:firstLineChars="200"/>
        <w:jc w:val="left"/>
        <w:rPr>
          <w:rFonts w:hint="eastAsia" w:hAnsi="宋体" w:cs="宋体"/>
          <w:sz w:val="24"/>
          <w:szCs w:val="24"/>
        </w:rPr>
      </w:pPr>
      <w:r>
        <w:rPr>
          <w:rFonts w:hint="eastAsia" w:hAnsi="宋体" w:cs="宋体"/>
          <w:sz w:val="24"/>
          <w:szCs w:val="24"/>
          <w:highlight w:val="white"/>
        </w:rPr>
        <w:t>本合同的管护范围包括:（1）农田水利工程：中型灌区骨干渠道工程、渠系建筑物、管护设施、灌区水电站的巡查巡检、维修养护、运行操作（含电站发电）、大修；（</w:t>
      </w:r>
      <w:r>
        <w:rPr>
          <w:rFonts w:hint="eastAsia" w:hAnsi="宋体" w:cs="宋体"/>
          <w:sz w:val="24"/>
          <w:szCs w:val="24"/>
        </w:rPr>
        <w:t>2</w:t>
      </w:r>
      <w:r>
        <w:rPr>
          <w:rFonts w:hint="eastAsia" w:hAnsi="宋体" w:cs="宋体"/>
          <w:sz w:val="24"/>
          <w:szCs w:val="24"/>
          <w:highlight w:val="white"/>
        </w:rPr>
        <w:t>）灌溉蓄水工程：以灌溉为主要任务的小型水库的巡查巡检、维修养护、大修；（</w:t>
      </w:r>
      <w:r>
        <w:rPr>
          <w:rFonts w:hint="eastAsia" w:hAnsi="宋体" w:cs="宋体"/>
          <w:sz w:val="24"/>
          <w:szCs w:val="24"/>
        </w:rPr>
        <w:t>3</w:t>
      </w:r>
      <w:r>
        <w:rPr>
          <w:rFonts w:hint="eastAsia" w:hAnsi="宋体" w:cs="宋体"/>
          <w:sz w:val="24"/>
          <w:szCs w:val="24"/>
          <w:highlight w:val="white"/>
        </w:rPr>
        <w:t>）防洪排涝工程：县城及规模以上乡村堤防、排涝泵站、排涝沟渠的巡查巡检、维修养护、运行操作、大修；（</w:t>
      </w:r>
      <w:r>
        <w:rPr>
          <w:rFonts w:hint="eastAsia" w:hAnsi="宋体" w:cs="宋体"/>
          <w:sz w:val="24"/>
          <w:szCs w:val="24"/>
        </w:rPr>
        <w:t>4</w:t>
      </w:r>
      <w:r>
        <w:rPr>
          <w:rFonts w:hint="eastAsia" w:hAnsi="宋体" w:cs="宋体"/>
          <w:sz w:val="24"/>
          <w:szCs w:val="24"/>
          <w:highlight w:val="white"/>
        </w:rPr>
        <w:t>）生态水利工程：县城拦河坝的巡查巡检、维修养护、运行操作、大修</w:t>
      </w:r>
      <w:r>
        <w:rPr>
          <w:rFonts w:hint="eastAsia" w:hAnsi="宋体" w:cs="宋体"/>
          <w:sz w:val="24"/>
          <w:szCs w:val="24"/>
        </w:rPr>
        <w:t>；（5）县城河（渠）道水域保洁。</w:t>
      </w:r>
    </w:p>
    <w:p>
      <w:pPr>
        <w:adjustRightInd w:val="0"/>
        <w:snapToGrid w:val="0"/>
        <w:spacing w:line="360" w:lineRule="auto"/>
        <w:ind w:firstLine="480" w:firstLineChars="200"/>
        <w:jc w:val="left"/>
        <w:rPr>
          <w:rFonts w:hint="eastAsia" w:hAnsi="宋体" w:cs="宋体"/>
          <w:sz w:val="24"/>
          <w:szCs w:val="24"/>
        </w:rPr>
      </w:pPr>
      <w:r>
        <w:rPr>
          <w:rFonts w:hint="eastAsia" w:hAnsi="宋体" w:cs="宋体"/>
          <w:sz w:val="24"/>
          <w:szCs w:val="24"/>
        </w:rPr>
        <w:t>具体工程或范围清单如下：</w:t>
      </w:r>
    </w:p>
    <w:p>
      <w:pPr>
        <w:adjustRightInd w:val="0"/>
        <w:snapToGrid w:val="0"/>
        <w:spacing w:line="360" w:lineRule="auto"/>
        <w:ind w:firstLine="480" w:firstLineChars="200"/>
        <w:jc w:val="left"/>
        <w:rPr>
          <w:rFonts w:hint="eastAsia" w:hAnsi="宋体" w:cs="宋体"/>
          <w:b/>
          <w:bCs/>
          <w:sz w:val="24"/>
          <w:szCs w:val="24"/>
        </w:rPr>
      </w:pPr>
      <w:r>
        <w:rPr>
          <w:rFonts w:hint="eastAsia" w:hAnsi="宋体" w:cs="宋体"/>
          <w:b/>
          <w:bCs/>
          <w:sz w:val="24"/>
          <w:szCs w:val="24"/>
          <w:highlight w:val="white"/>
        </w:rPr>
        <w:t>1.1 县管中型灌区工程</w:t>
      </w:r>
    </w:p>
    <w:p>
      <w:pPr>
        <w:adjustRightInd w:val="0"/>
        <w:snapToGrid w:val="0"/>
        <w:spacing w:line="360" w:lineRule="auto"/>
        <w:ind w:firstLine="480" w:firstLineChars="200"/>
        <w:jc w:val="left"/>
        <w:rPr>
          <w:rFonts w:hint="eastAsia" w:hAnsi="宋体" w:cs="宋体"/>
          <w:sz w:val="24"/>
          <w:szCs w:val="24"/>
        </w:rPr>
      </w:pPr>
      <w:r>
        <w:rPr>
          <w:rFonts w:hint="eastAsia" w:hAnsi="宋体" w:cs="宋体"/>
          <w:sz w:val="24"/>
          <w:szCs w:val="24"/>
          <w:highlight w:val="white"/>
        </w:rPr>
        <w:t>1.1.1骨干渠道</w:t>
      </w:r>
    </w:p>
    <w:tbl>
      <w:tblPr>
        <w:tblStyle w:val="4"/>
        <w:tblW w:w="8286" w:type="dxa"/>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656"/>
        <w:gridCol w:w="1180"/>
        <w:gridCol w:w="1182"/>
        <w:gridCol w:w="1416"/>
        <w:gridCol w:w="1656"/>
        <w:gridCol w:w="1196"/>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trPr>
        <w:tc>
          <w:tcPr>
            <w:tcW w:w="1656"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灌区名称</w:t>
            </w:r>
          </w:p>
        </w:tc>
        <w:tc>
          <w:tcPr>
            <w:tcW w:w="1180"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干渠名称</w:t>
            </w:r>
          </w:p>
        </w:tc>
        <w:tc>
          <w:tcPr>
            <w:tcW w:w="1182"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长度(km)</w:t>
            </w:r>
          </w:p>
        </w:tc>
        <w:tc>
          <w:tcPr>
            <w:tcW w:w="1416"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灌区名称</w:t>
            </w:r>
          </w:p>
        </w:tc>
        <w:tc>
          <w:tcPr>
            <w:tcW w:w="1656"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干沟名称</w:t>
            </w:r>
          </w:p>
        </w:tc>
        <w:tc>
          <w:tcPr>
            <w:tcW w:w="1196"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长度(km)</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trPr>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1180"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东干渠</w:t>
            </w:r>
          </w:p>
        </w:tc>
        <w:tc>
          <w:tcPr>
            <w:tcW w:w="1182" w:type="dxa"/>
            <w:shd w:val="clear" w:color="auto" w:fill="FFFFFF"/>
            <w:noWrap/>
            <w:vAlign w:val="center"/>
          </w:tcPr>
          <w:p>
            <w:pPr>
              <w:widowControl/>
              <w:adjustRightInd w:val="0"/>
              <w:snapToGrid w:val="0"/>
              <w:jc w:val="right"/>
              <w:rPr>
                <w:rFonts w:hint="eastAsia" w:hAnsi="宋体" w:cs="宋体"/>
                <w:color w:val="000000"/>
                <w:sz w:val="24"/>
                <w:szCs w:val="24"/>
              </w:rPr>
            </w:pPr>
            <w:r>
              <w:rPr>
                <w:rFonts w:hint="eastAsia" w:hAnsi="宋体" w:cs="宋体"/>
                <w:color w:val="000000"/>
                <w:sz w:val="24"/>
                <w:szCs w:val="24"/>
                <w:highlight w:val="white"/>
              </w:rPr>
              <w:t>31.5</w:t>
            </w:r>
          </w:p>
        </w:tc>
        <w:tc>
          <w:tcPr>
            <w:tcW w:w="141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东皋排洪渠</w:t>
            </w:r>
          </w:p>
        </w:tc>
        <w:tc>
          <w:tcPr>
            <w:tcW w:w="119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trPr>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1180"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西干渠</w:t>
            </w:r>
          </w:p>
        </w:tc>
        <w:tc>
          <w:tcPr>
            <w:tcW w:w="1182" w:type="dxa"/>
            <w:shd w:val="clear" w:color="auto" w:fill="FFFFFF"/>
            <w:noWrap/>
            <w:vAlign w:val="center"/>
          </w:tcPr>
          <w:p>
            <w:pPr>
              <w:widowControl/>
              <w:adjustRightInd w:val="0"/>
              <w:snapToGrid w:val="0"/>
              <w:jc w:val="right"/>
              <w:rPr>
                <w:rFonts w:hint="eastAsia" w:hAnsi="宋体" w:cs="宋体"/>
                <w:color w:val="000000"/>
                <w:sz w:val="24"/>
                <w:szCs w:val="24"/>
              </w:rPr>
            </w:pPr>
            <w:r>
              <w:rPr>
                <w:rFonts w:hint="eastAsia" w:hAnsi="宋体" w:cs="宋体"/>
                <w:color w:val="000000"/>
                <w:sz w:val="24"/>
                <w:szCs w:val="24"/>
                <w:highlight w:val="white"/>
              </w:rPr>
              <w:t>4.5</w:t>
            </w:r>
          </w:p>
        </w:tc>
        <w:tc>
          <w:tcPr>
            <w:tcW w:w="141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城南排洪渠</w:t>
            </w:r>
          </w:p>
        </w:tc>
        <w:tc>
          <w:tcPr>
            <w:tcW w:w="119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trPr>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1180"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低干渠</w:t>
            </w:r>
          </w:p>
        </w:tc>
        <w:tc>
          <w:tcPr>
            <w:tcW w:w="1182" w:type="dxa"/>
            <w:shd w:val="clear" w:color="auto" w:fill="FFFFFF"/>
            <w:noWrap/>
            <w:vAlign w:val="center"/>
          </w:tcPr>
          <w:p>
            <w:pPr>
              <w:widowControl/>
              <w:adjustRightInd w:val="0"/>
              <w:snapToGrid w:val="0"/>
              <w:jc w:val="right"/>
              <w:rPr>
                <w:rFonts w:hint="eastAsia" w:hAnsi="宋体" w:cs="宋体"/>
                <w:color w:val="000000"/>
                <w:sz w:val="24"/>
                <w:szCs w:val="24"/>
              </w:rPr>
            </w:pPr>
            <w:r>
              <w:rPr>
                <w:rFonts w:hint="eastAsia" w:hAnsi="宋体" w:cs="宋体"/>
                <w:color w:val="000000"/>
                <w:sz w:val="24"/>
                <w:szCs w:val="24"/>
                <w:highlight w:val="white"/>
              </w:rPr>
              <w:t>27</w:t>
            </w:r>
          </w:p>
        </w:tc>
        <w:tc>
          <w:tcPr>
            <w:tcW w:w="141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牛头脑排洪渠</w:t>
            </w:r>
          </w:p>
        </w:tc>
        <w:tc>
          <w:tcPr>
            <w:tcW w:w="119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0.5</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trPr>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1180"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高干渠</w:t>
            </w:r>
          </w:p>
        </w:tc>
        <w:tc>
          <w:tcPr>
            <w:tcW w:w="1182" w:type="dxa"/>
            <w:shd w:val="clear" w:color="auto" w:fill="FFFFFF"/>
            <w:noWrap/>
            <w:vAlign w:val="center"/>
          </w:tcPr>
          <w:p>
            <w:pPr>
              <w:widowControl/>
              <w:adjustRightInd w:val="0"/>
              <w:snapToGrid w:val="0"/>
              <w:jc w:val="right"/>
              <w:rPr>
                <w:rFonts w:hint="eastAsia" w:hAnsi="宋体" w:cs="宋体"/>
                <w:color w:val="000000"/>
                <w:sz w:val="24"/>
                <w:szCs w:val="24"/>
              </w:rPr>
            </w:pPr>
            <w:r>
              <w:rPr>
                <w:rFonts w:hint="eastAsia" w:hAnsi="宋体" w:cs="宋体"/>
                <w:color w:val="000000"/>
                <w:sz w:val="24"/>
                <w:szCs w:val="24"/>
                <w:highlight w:val="white"/>
              </w:rPr>
              <w:t>6.952</w:t>
            </w:r>
          </w:p>
        </w:tc>
        <w:tc>
          <w:tcPr>
            <w:tcW w:w="141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枚溪排洪渠</w:t>
            </w:r>
          </w:p>
        </w:tc>
        <w:tc>
          <w:tcPr>
            <w:tcW w:w="119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0.5</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trPr>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1180"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总干渠</w:t>
            </w:r>
          </w:p>
        </w:tc>
        <w:tc>
          <w:tcPr>
            <w:tcW w:w="1182" w:type="dxa"/>
            <w:shd w:val="clear" w:color="auto" w:fill="FFFFFF"/>
            <w:noWrap/>
            <w:vAlign w:val="center"/>
          </w:tcPr>
          <w:p>
            <w:pPr>
              <w:widowControl/>
              <w:adjustRightInd w:val="0"/>
              <w:snapToGrid w:val="0"/>
              <w:jc w:val="right"/>
              <w:rPr>
                <w:rFonts w:hint="eastAsia" w:hAnsi="宋体" w:cs="宋体"/>
                <w:color w:val="000000"/>
                <w:sz w:val="24"/>
                <w:szCs w:val="24"/>
              </w:rPr>
            </w:pPr>
            <w:r>
              <w:rPr>
                <w:rFonts w:hint="eastAsia" w:hAnsi="宋体" w:cs="宋体"/>
                <w:color w:val="000000"/>
                <w:sz w:val="24"/>
                <w:szCs w:val="24"/>
                <w:highlight w:val="white"/>
              </w:rPr>
              <w:t>3.823</w:t>
            </w:r>
          </w:p>
        </w:tc>
        <w:tc>
          <w:tcPr>
            <w:tcW w:w="141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云岗排洪渠</w:t>
            </w:r>
          </w:p>
        </w:tc>
        <w:tc>
          <w:tcPr>
            <w:tcW w:w="119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0.526</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trPr>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rPr>
              <w:t>黄坑水陂灌区</w:t>
            </w:r>
          </w:p>
        </w:tc>
        <w:tc>
          <w:tcPr>
            <w:tcW w:w="1180"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rPr>
              <w:t>干 渠</w:t>
            </w:r>
          </w:p>
        </w:tc>
        <w:tc>
          <w:tcPr>
            <w:tcW w:w="1182" w:type="dxa"/>
            <w:shd w:val="clear" w:color="auto" w:fill="FFFFFF"/>
            <w:noWrap/>
            <w:vAlign w:val="center"/>
          </w:tcPr>
          <w:p>
            <w:pPr>
              <w:widowControl/>
              <w:adjustRightInd w:val="0"/>
              <w:snapToGrid w:val="0"/>
              <w:jc w:val="right"/>
              <w:rPr>
                <w:rFonts w:hint="eastAsia" w:hAnsi="宋体" w:cs="宋体"/>
                <w:color w:val="000000"/>
                <w:sz w:val="24"/>
                <w:szCs w:val="24"/>
              </w:rPr>
            </w:pPr>
            <w:r>
              <w:rPr>
                <w:rFonts w:hint="eastAsia" w:hAnsi="宋体" w:cs="宋体"/>
                <w:color w:val="000000"/>
                <w:sz w:val="24"/>
                <w:szCs w:val="24"/>
              </w:rPr>
              <w:t>16.5</w:t>
            </w:r>
          </w:p>
        </w:tc>
        <w:tc>
          <w:tcPr>
            <w:tcW w:w="141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桥背排洪渠</w:t>
            </w:r>
          </w:p>
        </w:tc>
        <w:tc>
          <w:tcPr>
            <w:tcW w:w="119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0.926</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trPr>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合计</w:t>
            </w:r>
          </w:p>
        </w:tc>
        <w:tc>
          <w:tcPr>
            <w:tcW w:w="1180"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　</w:t>
            </w:r>
          </w:p>
        </w:tc>
        <w:tc>
          <w:tcPr>
            <w:tcW w:w="118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90.275</w:t>
            </w:r>
          </w:p>
        </w:tc>
        <w:tc>
          <w:tcPr>
            <w:tcW w:w="141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合计</w:t>
            </w:r>
          </w:p>
        </w:tc>
        <w:tc>
          <w:tcPr>
            <w:tcW w:w="165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　</w:t>
            </w:r>
          </w:p>
        </w:tc>
        <w:tc>
          <w:tcPr>
            <w:tcW w:w="119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6.452</w:t>
            </w:r>
          </w:p>
        </w:tc>
      </w:tr>
    </w:tbl>
    <w:p>
      <w:pPr>
        <w:adjustRightInd w:val="0"/>
        <w:snapToGrid w:val="0"/>
        <w:spacing w:line="360" w:lineRule="auto"/>
        <w:ind w:firstLine="480" w:firstLineChars="200"/>
        <w:jc w:val="left"/>
        <w:rPr>
          <w:rFonts w:hint="eastAsia" w:hAnsi="宋体" w:cs="宋体"/>
          <w:sz w:val="24"/>
          <w:szCs w:val="24"/>
          <w:highlight w:val="white"/>
        </w:rPr>
      </w:pPr>
      <w:r>
        <w:rPr>
          <w:rFonts w:hint="eastAsia" w:hAnsi="宋体" w:cs="宋体"/>
          <w:sz w:val="24"/>
          <w:szCs w:val="24"/>
          <w:highlight w:val="white"/>
        </w:rPr>
        <w:t>黄坑水陂灌区含遂川江灌区一期工程实施后的干、支管工程。</w:t>
      </w:r>
    </w:p>
    <w:p>
      <w:pPr>
        <w:adjustRightInd w:val="0"/>
        <w:snapToGrid w:val="0"/>
        <w:spacing w:line="360" w:lineRule="auto"/>
        <w:ind w:firstLine="480" w:firstLineChars="200"/>
        <w:jc w:val="left"/>
        <w:rPr>
          <w:rFonts w:hint="eastAsia" w:hAnsi="宋体" w:cs="宋体"/>
          <w:sz w:val="24"/>
          <w:szCs w:val="24"/>
        </w:rPr>
      </w:pPr>
      <w:r>
        <w:rPr>
          <w:rFonts w:hint="eastAsia" w:hAnsi="宋体" w:cs="宋体"/>
          <w:sz w:val="24"/>
          <w:szCs w:val="24"/>
          <w:highlight w:val="white"/>
        </w:rPr>
        <w:t>1.1.2渠系建筑物</w:t>
      </w:r>
    </w:p>
    <w:p>
      <w:pPr>
        <w:adjustRightInd w:val="0"/>
        <w:snapToGrid w:val="0"/>
        <w:spacing w:line="360" w:lineRule="auto"/>
        <w:ind w:firstLine="480" w:firstLineChars="200"/>
        <w:jc w:val="left"/>
        <w:rPr>
          <w:rFonts w:hint="eastAsia" w:hAnsi="宋体" w:cs="宋体"/>
          <w:sz w:val="24"/>
          <w:szCs w:val="24"/>
        </w:rPr>
      </w:pPr>
      <w:r>
        <w:rPr>
          <w:rFonts w:hint="eastAsia" w:hAnsi="宋体" w:cs="宋体"/>
          <w:sz w:val="24"/>
          <w:szCs w:val="24"/>
        </w:rPr>
        <w:t>管护范围内渠系建筑物包括灌区骨干渠道上的水闸、涵洞、箱涵、倒虹吸管、渡槽、分水闸、分水涵、机耕桥及跨路箱涵等，其中的主要建筑物详见下表：</w:t>
      </w:r>
    </w:p>
    <w:tbl>
      <w:tblPr>
        <w:tblStyle w:val="4"/>
        <w:tblW w:w="8286" w:type="dxa"/>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776"/>
        <w:gridCol w:w="2607"/>
        <w:gridCol w:w="1432"/>
        <w:gridCol w:w="2471"/>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85" w:hRule="atLeast"/>
          <w:tblHeader/>
        </w:trPr>
        <w:tc>
          <w:tcPr>
            <w:tcW w:w="1776"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灌区名称</w:t>
            </w:r>
          </w:p>
        </w:tc>
        <w:tc>
          <w:tcPr>
            <w:tcW w:w="2607"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建筑物名称</w:t>
            </w:r>
          </w:p>
        </w:tc>
        <w:tc>
          <w:tcPr>
            <w:tcW w:w="1432"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所在桩号</w:t>
            </w:r>
          </w:p>
        </w:tc>
        <w:tc>
          <w:tcPr>
            <w:tcW w:w="2471"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闸门（水泵）数</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东干渠陂首进水闸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DK0+000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西干渠陂首进水闸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XK0+000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西干渠渡头泄水闸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XK0+450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西干渠狗中坛泄水闸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XK0+720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岗仔下泄水闸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DK2+238</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高陂补水闸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rPr>
              <w:t>DK4+395</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高陂泄水闸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DK5+132</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府前河补水闸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DK9+218</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塘江泄水闸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DK10+603</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牛头脑泄水闸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DK14+087</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4</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石牌泄水闸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DK17+750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龙陂进水闸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DK18+120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枚溪泄水闸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DK18+650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江头上泄水闸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DK20+900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岭下水泄闸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DK22+978</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敬老院泄水闸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DK23+200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钱塘泄水闸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DK24+537</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东塘泄水闸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DK26+115</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大坝冲沙闸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大坝</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高陂涵洞</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DK4+360</w:t>
            </w:r>
          </w:p>
        </w:tc>
        <w:tc>
          <w:tcPr>
            <w:tcW w:w="2471" w:type="dxa"/>
            <w:shd w:val="clear" w:color="auto" w:fill="FFFFFF"/>
            <w:noWrap/>
            <w:vAlign w:val="center"/>
          </w:tcPr>
          <w:p>
            <w:pPr>
              <w:widowControl/>
              <w:adjustRightInd w:val="0"/>
              <w:snapToGrid w:val="0"/>
              <w:jc w:val="left"/>
              <w:rPr>
                <w:rFonts w:hint="eastAsia" w:hAnsi="宋体" w:cs="宋体"/>
                <w:color w:val="000000"/>
                <w:sz w:val="24"/>
                <w:szCs w:val="24"/>
                <w:highlight w:val="white"/>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龙镜渡槽</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DK8+178</w:t>
            </w:r>
          </w:p>
        </w:tc>
        <w:tc>
          <w:tcPr>
            <w:tcW w:w="2471" w:type="dxa"/>
            <w:shd w:val="clear" w:color="auto" w:fill="FFFFFF"/>
            <w:noWrap/>
            <w:vAlign w:val="center"/>
          </w:tcPr>
          <w:p>
            <w:pPr>
              <w:widowControl/>
              <w:adjustRightInd w:val="0"/>
              <w:snapToGrid w:val="0"/>
              <w:jc w:val="left"/>
              <w:rPr>
                <w:rFonts w:hint="eastAsia" w:hAnsi="宋体" w:cs="宋体"/>
                <w:color w:val="000000"/>
                <w:sz w:val="24"/>
                <w:szCs w:val="24"/>
              </w:rPr>
            </w:pPr>
            <w:r>
              <w:rPr>
                <w:rFonts w:hint="eastAsia" w:hAnsi="宋体" w:cs="宋体"/>
                <w:color w:val="000000"/>
                <w:sz w:val="24"/>
                <w:szCs w:val="24"/>
                <w:highlight w:val="white"/>
              </w:rPr>
              <w:t>　</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龙陂涵洞</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DK18+120</w:t>
            </w:r>
          </w:p>
        </w:tc>
        <w:tc>
          <w:tcPr>
            <w:tcW w:w="2471" w:type="dxa"/>
            <w:shd w:val="clear" w:color="auto" w:fill="FFFFFF"/>
            <w:noWrap/>
            <w:vAlign w:val="center"/>
          </w:tcPr>
          <w:p>
            <w:pPr>
              <w:widowControl/>
              <w:adjustRightInd w:val="0"/>
              <w:snapToGrid w:val="0"/>
              <w:jc w:val="left"/>
              <w:rPr>
                <w:rFonts w:hint="eastAsia" w:hAnsi="宋体" w:cs="宋体"/>
                <w:color w:val="000000"/>
                <w:sz w:val="24"/>
                <w:szCs w:val="24"/>
              </w:rPr>
            </w:pPr>
            <w:r>
              <w:rPr>
                <w:rFonts w:hint="eastAsia" w:hAnsi="宋体" w:cs="宋体"/>
                <w:color w:val="000000"/>
                <w:sz w:val="24"/>
                <w:szCs w:val="24"/>
                <w:highlight w:val="white"/>
              </w:rPr>
              <w:t>　</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良洲隧洞</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XK0+720</w:t>
            </w:r>
          </w:p>
        </w:tc>
        <w:tc>
          <w:tcPr>
            <w:tcW w:w="2471" w:type="dxa"/>
            <w:shd w:val="clear" w:color="auto" w:fill="FFFFFF"/>
            <w:noWrap/>
            <w:vAlign w:val="center"/>
          </w:tcPr>
          <w:p>
            <w:pPr>
              <w:widowControl/>
              <w:adjustRightInd w:val="0"/>
              <w:snapToGrid w:val="0"/>
              <w:jc w:val="left"/>
              <w:rPr>
                <w:rFonts w:hint="eastAsia" w:hAnsi="宋体" w:cs="宋体"/>
                <w:color w:val="000000"/>
                <w:sz w:val="24"/>
                <w:szCs w:val="24"/>
              </w:rPr>
            </w:pPr>
            <w:r>
              <w:rPr>
                <w:rFonts w:hint="eastAsia" w:hAnsi="宋体" w:cs="宋体"/>
                <w:color w:val="000000"/>
                <w:sz w:val="24"/>
                <w:szCs w:val="24"/>
                <w:highlight w:val="white"/>
              </w:rPr>
              <w:t>　</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东塘倒虹吸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DK26+015</w:t>
            </w:r>
          </w:p>
        </w:tc>
        <w:tc>
          <w:tcPr>
            <w:tcW w:w="2471" w:type="dxa"/>
            <w:shd w:val="clear" w:color="auto" w:fill="FFFFFF"/>
            <w:noWrap/>
            <w:vAlign w:val="center"/>
          </w:tcPr>
          <w:p>
            <w:pPr>
              <w:widowControl/>
              <w:adjustRightInd w:val="0"/>
              <w:snapToGrid w:val="0"/>
              <w:jc w:val="left"/>
              <w:rPr>
                <w:rFonts w:hint="eastAsia" w:hAnsi="宋体" w:cs="宋体"/>
                <w:color w:val="000000"/>
                <w:sz w:val="24"/>
                <w:szCs w:val="24"/>
              </w:rPr>
            </w:pPr>
            <w:r>
              <w:rPr>
                <w:rFonts w:hint="eastAsia" w:hAnsi="宋体" w:cs="宋体"/>
                <w:color w:val="000000"/>
                <w:sz w:val="24"/>
                <w:szCs w:val="24"/>
                <w:highlight w:val="white"/>
              </w:rPr>
              <w:t>　</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网埠低泄洪闸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DK1+445</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岭排低泄洪闸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DK5+083</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岭上泄洪闸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DK6+971</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任溪泄洪闸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DK9+807</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圆塘分洪闸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DK11+200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龙土泄洪闸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DK12+456</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芦洲进水闸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DK14+861</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大塘口泄洪闸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DK15+706</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大塘口节制闸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DK15+517</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厦溪泄洪闸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DK20+469</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云岗泄洪闸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GK0+778</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桥背泄洪闸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GK1+531</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八斗畏泄洪闸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GK3+468</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岭排高泄洪闸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GK5+602</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柏树下泄洪闸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GK6+952</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云岗分水闸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ZK3+823</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银山排洪闸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ZK3+123</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西门排洪闸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ZK1+083</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陂首进水闸</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ZK+000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任溪渡槽</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DK10+113</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北澳陂灌区</w:t>
            </w:r>
          </w:p>
        </w:tc>
        <w:tc>
          <w:tcPr>
            <w:tcW w:w="2607" w:type="dxa"/>
            <w:shd w:val="clear" w:color="auto" w:fill="FFFFFF"/>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芦洲涵洞</w:t>
            </w:r>
          </w:p>
        </w:tc>
        <w:tc>
          <w:tcPr>
            <w:tcW w:w="1432"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DK13+600</w:t>
            </w:r>
          </w:p>
        </w:tc>
        <w:tc>
          <w:tcPr>
            <w:tcW w:w="2471" w:type="dxa"/>
            <w:shd w:val="clear" w:color="auto" w:fill="FFFFFF"/>
            <w:noWrap/>
            <w:vAlign w:val="center"/>
          </w:tcPr>
          <w:p>
            <w:pPr>
              <w:widowControl/>
              <w:adjustRightInd w:val="0"/>
              <w:snapToGrid w:val="0"/>
              <w:jc w:val="center"/>
              <w:rPr>
                <w:rFonts w:hint="eastAsia" w:hAnsi="宋体" w:cs="宋体"/>
                <w:color w:val="000000"/>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85" w:hRule="atLeast"/>
        </w:trPr>
        <w:tc>
          <w:tcPr>
            <w:tcW w:w="1776"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黄坑水陂灌区</w:t>
            </w:r>
          </w:p>
        </w:tc>
        <w:tc>
          <w:tcPr>
            <w:tcW w:w="6510" w:type="dxa"/>
            <w:gridSpan w:val="3"/>
            <w:shd w:val="clear" w:color="auto" w:fill="FFFFFF"/>
            <w:vAlign w:val="center"/>
          </w:tcPr>
          <w:p>
            <w:pPr>
              <w:widowControl/>
              <w:adjustRightInd w:val="0"/>
              <w:snapToGrid w:val="0"/>
              <w:jc w:val="left"/>
              <w:rPr>
                <w:rFonts w:hint="eastAsia" w:hAnsi="宋体" w:cs="宋体"/>
                <w:color w:val="000000"/>
                <w:sz w:val="24"/>
                <w:szCs w:val="24"/>
                <w:highlight w:val="white"/>
              </w:rPr>
            </w:pPr>
            <w:r>
              <w:rPr>
                <w:rFonts w:hint="eastAsia" w:hAnsi="宋体" w:cs="宋体"/>
                <w:color w:val="000000"/>
                <w:sz w:val="24"/>
                <w:szCs w:val="24"/>
                <w:highlight w:val="white"/>
              </w:rPr>
              <w:t>以遂川江一期工程改造后数量为准。</w:t>
            </w:r>
          </w:p>
        </w:tc>
      </w:tr>
    </w:tbl>
    <w:p>
      <w:pPr>
        <w:widowControl/>
        <w:adjustRightInd w:val="0"/>
        <w:snapToGrid w:val="0"/>
        <w:spacing w:line="360" w:lineRule="auto"/>
        <w:ind w:firstLine="480" w:firstLineChars="200"/>
        <w:jc w:val="left"/>
        <w:rPr>
          <w:rFonts w:hint="eastAsia" w:hAnsi="宋体" w:cs="宋体"/>
          <w:sz w:val="24"/>
          <w:szCs w:val="24"/>
        </w:rPr>
      </w:pPr>
      <w:r>
        <w:rPr>
          <w:rFonts w:hint="eastAsia" w:hAnsi="宋体" w:cs="宋体"/>
          <w:sz w:val="24"/>
          <w:szCs w:val="24"/>
          <w:highlight w:val="white"/>
        </w:rPr>
        <w:t>1.1.3灌区管护设施</w:t>
      </w:r>
    </w:p>
    <w:tbl>
      <w:tblPr>
        <w:tblStyle w:val="4"/>
        <w:tblW w:w="8286" w:type="dxa"/>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2169"/>
        <w:gridCol w:w="4551"/>
        <w:gridCol w:w="1566"/>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13" w:hRule="atLeast"/>
        </w:trPr>
        <w:tc>
          <w:tcPr>
            <w:tcW w:w="2169"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灌区名称</w:t>
            </w:r>
          </w:p>
        </w:tc>
        <w:tc>
          <w:tcPr>
            <w:tcW w:w="4551"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设施名称</w:t>
            </w:r>
          </w:p>
        </w:tc>
        <w:tc>
          <w:tcPr>
            <w:tcW w:w="1566" w:type="dxa"/>
            <w:shd w:val="clear" w:color="auto" w:fill="FFFFFF"/>
            <w:noWrap/>
            <w:vAlign w:val="center"/>
          </w:tcPr>
          <w:p>
            <w:pPr>
              <w:widowControl/>
              <w:adjustRightInd w:val="0"/>
              <w:snapToGrid w:val="0"/>
              <w:jc w:val="center"/>
              <w:rPr>
                <w:rFonts w:hint="eastAsia" w:hAnsi="宋体" w:cs="宋体"/>
                <w:b/>
                <w:color w:val="000000"/>
                <w:sz w:val="24"/>
                <w:szCs w:val="24"/>
              </w:rPr>
            </w:pPr>
            <w:r>
              <w:rPr>
                <w:rFonts w:hint="eastAsia" w:hAnsi="宋体" w:cs="宋体"/>
                <w:b/>
                <w:color w:val="000000"/>
                <w:sz w:val="24"/>
                <w:szCs w:val="24"/>
                <w:highlight w:val="white"/>
              </w:rPr>
              <w:t>数量</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2169"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4551" w:type="dxa"/>
            <w:shd w:val="clear" w:color="auto" w:fill="FFFFFF"/>
            <w:noWrap/>
            <w:vAlign w:val="center"/>
          </w:tcPr>
          <w:p>
            <w:pPr>
              <w:widowControl/>
              <w:adjustRightInd w:val="0"/>
              <w:snapToGrid w:val="0"/>
              <w:jc w:val="left"/>
              <w:rPr>
                <w:rFonts w:hint="eastAsia" w:hAnsi="宋体" w:cs="宋体"/>
                <w:color w:val="000000"/>
                <w:sz w:val="24"/>
                <w:szCs w:val="24"/>
              </w:rPr>
            </w:pPr>
            <w:r>
              <w:rPr>
                <w:rFonts w:hint="eastAsia" w:hAnsi="宋体" w:cs="宋体"/>
                <w:color w:val="000000"/>
                <w:sz w:val="24"/>
                <w:szCs w:val="24"/>
                <w:highlight w:val="white"/>
              </w:rPr>
              <w:t>视频监控设备</w:t>
            </w:r>
          </w:p>
        </w:tc>
        <w:tc>
          <w:tcPr>
            <w:tcW w:w="1566"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rPr>
              <w:t>28套</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2169"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4551" w:type="dxa"/>
            <w:shd w:val="clear" w:color="auto" w:fill="FFFFFF"/>
            <w:noWrap/>
            <w:vAlign w:val="center"/>
          </w:tcPr>
          <w:p>
            <w:pPr>
              <w:widowControl/>
              <w:adjustRightInd w:val="0"/>
              <w:snapToGrid w:val="0"/>
              <w:jc w:val="left"/>
              <w:rPr>
                <w:rFonts w:hint="eastAsia" w:hAnsi="宋体" w:cs="宋体"/>
                <w:color w:val="000000"/>
                <w:sz w:val="24"/>
                <w:szCs w:val="24"/>
              </w:rPr>
            </w:pPr>
            <w:r>
              <w:rPr>
                <w:rFonts w:hint="eastAsia" w:hAnsi="宋体" w:cs="宋体"/>
                <w:color w:val="000000"/>
                <w:sz w:val="24"/>
                <w:szCs w:val="24"/>
                <w:highlight w:val="white"/>
              </w:rPr>
              <w:t>用水量测设施</w:t>
            </w:r>
          </w:p>
        </w:tc>
        <w:tc>
          <w:tcPr>
            <w:tcW w:w="1566"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rPr>
              <w:t>18套</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2169" w:type="dxa"/>
            <w:shd w:val="clear" w:color="auto" w:fill="FFFFFF"/>
            <w:noWrap/>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南澳陂灌区</w:t>
            </w:r>
          </w:p>
        </w:tc>
        <w:tc>
          <w:tcPr>
            <w:tcW w:w="4551" w:type="dxa"/>
            <w:shd w:val="clear" w:color="auto" w:fill="FFFFFF"/>
            <w:noWrap/>
            <w:vAlign w:val="center"/>
          </w:tcPr>
          <w:p>
            <w:pPr>
              <w:widowControl/>
              <w:adjustRightInd w:val="0"/>
              <w:snapToGrid w:val="0"/>
              <w:jc w:val="left"/>
              <w:rPr>
                <w:rFonts w:hint="eastAsia" w:hAnsi="宋体" w:cs="宋体"/>
                <w:color w:val="000000"/>
                <w:sz w:val="24"/>
                <w:szCs w:val="24"/>
                <w:highlight w:val="white"/>
              </w:rPr>
            </w:pPr>
            <w:r>
              <w:rPr>
                <w:rFonts w:hint="eastAsia" w:hAnsi="宋体" w:cs="宋体"/>
                <w:color w:val="000000"/>
                <w:sz w:val="24"/>
                <w:szCs w:val="24"/>
                <w:highlight w:val="white"/>
              </w:rPr>
              <w:t>闸门远控设备</w:t>
            </w:r>
          </w:p>
        </w:tc>
        <w:tc>
          <w:tcPr>
            <w:tcW w:w="1566"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rPr>
              <w:t>8套</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2169" w:type="dxa"/>
            <w:shd w:val="clear" w:color="auto" w:fill="FFFFFF"/>
            <w:noWrap/>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南澳陂灌区</w:t>
            </w:r>
          </w:p>
        </w:tc>
        <w:tc>
          <w:tcPr>
            <w:tcW w:w="4551" w:type="dxa"/>
            <w:shd w:val="clear" w:color="auto" w:fill="FFFFFF"/>
            <w:noWrap/>
            <w:vAlign w:val="center"/>
          </w:tcPr>
          <w:p>
            <w:pPr>
              <w:widowControl/>
              <w:adjustRightInd w:val="0"/>
              <w:snapToGrid w:val="0"/>
              <w:jc w:val="left"/>
              <w:rPr>
                <w:rFonts w:hint="eastAsia" w:hAnsi="宋体" w:cs="宋体"/>
                <w:color w:val="000000"/>
                <w:sz w:val="24"/>
                <w:szCs w:val="24"/>
              </w:rPr>
            </w:pPr>
            <w:r>
              <w:rPr>
                <w:rFonts w:hint="eastAsia" w:hAnsi="宋体" w:cs="宋体"/>
                <w:color w:val="000000"/>
                <w:sz w:val="24"/>
                <w:szCs w:val="24"/>
                <w:highlight w:val="white"/>
              </w:rPr>
              <w:t>管理房</w:t>
            </w:r>
          </w:p>
        </w:tc>
        <w:tc>
          <w:tcPr>
            <w:tcW w:w="1566"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rPr>
              <w:t>3栋</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atLeast"/>
        </w:trPr>
        <w:tc>
          <w:tcPr>
            <w:tcW w:w="2169"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北澳陂灌区</w:t>
            </w:r>
          </w:p>
        </w:tc>
        <w:tc>
          <w:tcPr>
            <w:tcW w:w="4551" w:type="dxa"/>
            <w:shd w:val="clear" w:color="auto" w:fill="FFFFFF"/>
            <w:noWrap/>
            <w:vAlign w:val="center"/>
          </w:tcPr>
          <w:p>
            <w:pPr>
              <w:widowControl/>
              <w:adjustRightInd w:val="0"/>
              <w:snapToGrid w:val="0"/>
              <w:jc w:val="left"/>
              <w:rPr>
                <w:rFonts w:hint="eastAsia" w:hAnsi="宋体" w:cs="宋体"/>
                <w:sz w:val="24"/>
                <w:szCs w:val="24"/>
              </w:rPr>
            </w:pPr>
            <w:r>
              <w:rPr>
                <w:rFonts w:hint="eastAsia" w:hAnsi="宋体" w:cs="宋体"/>
                <w:sz w:val="24"/>
                <w:szCs w:val="24"/>
                <w:highlight w:val="white"/>
              </w:rPr>
              <w:t>视频监控设备</w:t>
            </w:r>
          </w:p>
        </w:tc>
        <w:tc>
          <w:tcPr>
            <w:tcW w:w="1566"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rPr>
              <w:t>18套</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atLeast"/>
        </w:trPr>
        <w:tc>
          <w:tcPr>
            <w:tcW w:w="2169"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北澳陂灌区</w:t>
            </w:r>
          </w:p>
        </w:tc>
        <w:tc>
          <w:tcPr>
            <w:tcW w:w="4551" w:type="dxa"/>
            <w:shd w:val="clear" w:color="auto" w:fill="FFFFFF"/>
            <w:noWrap/>
            <w:vAlign w:val="center"/>
          </w:tcPr>
          <w:p>
            <w:pPr>
              <w:widowControl/>
              <w:adjustRightInd w:val="0"/>
              <w:snapToGrid w:val="0"/>
              <w:jc w:val="left"/>
              <w:rPr>
                <w:rFonts w:hint="eastAsia" w:hAnsi="宋体" w:cs="宋体"/>
                <w:sz w:val="24"/>
                <w:szCs w:val="24"/>
              </w:rPr>
            </w:pPr>
            <w:r>
              <w:rPr>
                <w:rFonts w:hint="eastAsia" w:hAnsi="宋体" w:cs="宋体"/>
                <w:sz w:val="24"/>
                <w:szCs w:val="24"/>
                <w:highlight w:val="white"/>
              </w:rPr>
              <w:t>用水量测设施</w:t>
            </w:r>
          </w:p>
        </w:tc>
        <w:tc>
          <w:tcPr>
            <w:tcW w:w="1566"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rPr>
              <w:t>7套</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atLeast"/>
        </w:trPr>
        <w:tc>
          <w:tcPr>
            <w:tcW w:w="2169" w:type="dxa"/>
            <w:shd w:val="clear" w:color="auto" w:fill="FFFFFF"/>
            <w:noWrap/>
            <w:vAlign w:val="center"/>
          </w:tcPr>
          <w:p>
            <w:pPr>
              <w:widowControl/>
              <w:adjustRightInd w:val="0"/>
              <w:snapToGrid w:val="0"/>
              <w:jc w:val="center"/>
              <w:rPr>
                <w:rFonts w:hint="eastAsia" w:hAnsi="宋体" w:cs="宋体"/>
                <w:sz w:val="24"/>
                <w:szCs w:val="24"/>
                <w:highlight w:val="white"/>
              </w:rPr>
            </w:pPr>
            <w:r>
              <w:rPr>
                <w:rFonts w:hint="eastAsia" w:hAnsi="宋体" w:cs="宋体"/>
                <w:sz w:val="24"/>
                <w:szCs w:val="24"/>
                <w:highlight w:val="white"/>
              </w:rPr>
              <w:t>北澳陂灌区</w:t>
            </w:r>
          </w:p>
        </w:tc>
        <w:tc>
          <w:tcPr>
            <w:tcW w:w="4551" w:type="dxa"/>
            <w:shd w:val="clear" w:color="auto" w:fill="FFFFFF"/>
            <w:noWrap/>
            <w:vAlign w:val="center"/>
          </w:tcPr>
          <w:p>
            <w:pPr>
              <w:widowControl/>
              <w:adjustRightInd w:val="0"/>
              <w:snapToGrid w:val="0"/>
              <w:jc w:val="left"/>
              <w:rPr>
                <w:rFonts w:hint="eastAsia" w:hAnsi="宋体" w:cs="宋体"/>
                <w:sz w:val="24"/>
                <w:szCs w:val="24"/>
                <w:highlight w:val="white"/>
              </w:rPr>
            </w:pPr>
            <w:r>
              <w:rPr>
                <w:rFonts w:hint="eastAsia" w:hAnsi="宋体" w:cs="宋体"/>
                <w:color w:val="000000"/>
                <w:sz w:val="24"/>
                <w:szCs w:val="24"/>
                <w:highlight w:val="white"/>
              </w:rPr>
              <w:t>闸门远控设备（含一体化闸）</w:t>
            </w:r>
          </w:p>
        </w:tc>
        <w:tc>
          <w:tcPr>
            <w:tcW w:w="1566"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rPr>
              <w:t>7套</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atLeast"/>
        </w:trPr>
        <w:tc>
          <w:tcPr>
            <w:tcW w:w="2169"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北澳陂灌区</w:t>
            </w:r>
          </w:p>
        </w:tc>
        <w:tc>
          <w:tcPr>
            <w:tcW w:w="4551" w:type="dxa"/>
            <w:shd w:val="clear" w:color="auto" w:fill="FFFFFF"/>
            <w:noWrap/>
            <w:vAlign w:val="center"/>
          </w:tcPr>
          <w:p>
            <w:pPr>
              <w:widowControl/>
              <w:adjustRightInd w:val="0"/>
              <w:snapToGrid w:val="0"/>
              <w:jc w:val="left"/>
              <w:rPr>
                <w:rFonts w:hint="eastAsia" w:hAnsi="宋体" w:cs="宋体"/>
                <w:sz w:val="24"/>
                <w:szCs w:val="24"/>
              </w:rPr>
            </w:pPr>
            <w:r>
              <w:rPr>
                <w:rFonts w:hint="eastAsia" w:hAnsi="宋体" w:cs="宋体"/>
                <w:sz w:val="24"/>
                <w:szCs w:val="24"/>
                <w:highlight w:val="white"/>
              </w:rPr>
              <w:t>管理房</w:t>
            </w:r>
          </w:p>
        </w:tc>
        <w:tc>
          <w:tcPr>
            <w:tcW w:w="1566" w:type="dxa"/>
            <w:shd w:val="clear" w:color="auto" w:fill="FFFFFF"/>
            <w:noWrap/>
            <w:vAlign w:val="center"/>
          </w:tcPr>
          <w:p>
            <w:pPr>
              <w:widowControl/>
              <w:adjustRightInd w:val="0"/>
              <w:snapToGrid w:val="0"/>
              <w:jc w:val="center"/>
              <w:rPr>
                <w:rFonts w:hint="eastAsia" w:hAnsi="宋体" w:cs="宋体"/>
                <w:sz w:val="24"/>
                <w:szCs w:val="24"/>
              </w:rPr>
            </w:pPr>
            <w:r>
              <w:rPr>
                <w:rFonts w:hint="eastAsia" w:hAnsi="宋体" w:cs="宋体"/>
                <w:sz w:val="24"/>
                <w:szCs w:val="24"/>
              </w:rPr>
              <w:t>1栋</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547" w:hRule="atLeast"/>
        </w:trPr>
        <w:tc>
          <w:tcPr>
            <w:tcW w:w="2169" w:type="dxa"/>
            <w:shd w:val="clear" w:color="auto" w:fill="FFFFFF"/>
            <w:noWrap/>
            <w:vAlign w:val="center"/>
          </w:tcPr>
          <w:p>
            <w:pPr>
              <w:widowControl/>
              <w:adjustRightInd w:val="0"/>
              <w:snapToGrid w:val="0"/>
              <w:jc w:val="center"/>
              <w:rPr>
                <w:rFonts w:hint="eastAsia" w:hAnsi="宋体" w:cs="宋体"/>
                <w:bCs/>
                <w:sz w:val="24"/>
                <w:szCs w:val="24"/>
                <w:highlight w:val="white"/>
              </w:rPr>
            </w:pPr>
            <w:r>
              <w:rPr>
                <w:rFonts w:hint="eastAsia" w:hAnsi="宋体" w:cs="宋体"/>
                <w:bCs/>
                <w:sz w:val="24"/>
                <w:szCs w:val="24"/>
                <w:highlight w:val="white"/>
              </w:rPr>
              <w:t>黄坑水陂灌区</w:t>
            </w:r>
          </w:p>
        </w:tc>
        <w:tc>
          <w:tcPr>
            <w:tcW w:w="4551" w:type="dxa"/>
            <w:shd w:val="clear" w:color="auto" w:fill="FFFFFF"/>
            <w:noWrap/>
            <w:vAlign w:val="center"/>
          </w:tcPr>
          <w:p>
            <w:pPr>
              <w:widowControl/>
              <w:adjustRightInd w:val="0"/>
              <w:snapToGrid w:val="0"/>
              <w:jc w:val="left"/>
              <w:rPr>
                <w:rFonts w:hint="eastAsia" w:hAnsi="宋体" w:cs="宋体"/>
                <w:bCs/>
                <w:sz w:val="24"/>
                <w:szCs w:val="24"/>
              </w:rPr>
            </w:pPr>
            <w:r>
              <w:rPr>
                <w:rFonts w:hint="eastAsia" w:hAnsi="宋体" w:cs="宋体"/>
                <w:bCs/>
                <w:sz w:val="24"/>
                <w:szCs w:val="24"/>
              </w:rPr>
              <w:t>管理房</w:t>
            </w:r>
          </w:p>
        </w:tc>
        <w:tc>
          <w:tcPr>
            <w:tcW w:w="1566" w:type="dxa"/>
            <w:shd w:val="clear" w:color="auto" w:fill="FFFFFF"/>
            <w:noWrap/>
            <w:vAlign w:val="center"/>
          </w:tcPr>
          <w:p>
            <w:pPr>
              <w:widowControl/>
              <w:adjustRightInd w:val="0"/>
              <w:snapToGrid w:val="0"/>
              <w:jc w:val="center"/>
              <w:rPr>
                <w:rFonts w:hint="eastAsia" w:hAnsi="宋体" w:cs="宋体"/>
                <w:bCs/>
                <w:sz w:val="24"/>
                <w:szCs w:val="24"/>
              </w:rPr>
            </w:pPr>
            <w:r>
              <w:rPr>
                <w:rFonts w:hint="eastAsia" w:hAnsi="宋体" w:cs="宋体"/>
                <w:bCs/>
                <w:sz w:val="24"/>
                <w:szCs w:val="24"/>
              </w:rPr>
              <w:t>1栋</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891" w:hRule="atLeast"/>
        </w:trPr>
        <w:tc>
          <w:tcPr>
            <w:tcW w:w="8286" w:type="dxa"/>
            <w:gridSpan w:val="3"/>
            <w:shd w:val="clear" w:color="auto" w:fill="FFFFFF"/>
            <w:noWrap/>
            <w:vAlign w:val="center"/>
          </w:tcPr>
          <w:p>
            <w:pPr>
              <w:widowControl/>
              <w:adjustRightInd w:val="0"/>
              <w:snapToGrid w:val="0"/>
              <w:jc w:val="left"/>
              <w:rPr>
                <w:rFonts w:hint="eastAsia" w:hAnsi="宋体" w:cs="宋体"/>
                <w:b/>
                <w:sz w:val="24"/>
                <w:szCs w:val="24"/>
              </w:rPr>
            </w:pPr>
            <w:r>
              <w:rPr>
                <w:rFonts w:hint="eastAsia" w:hAnsi="宋体" w:cs="宋体"/>
                <w:bCs/>
                <w:sz w:val="24"/>
                <w:szCs w:val="24"/>
              </w:rPr>
              <w:t>包括灌区上的标志牌、警示牌、宣传牌、救生绳、安全护栏、里程碑、里程桩、防溺水“四个一”设施等其它相关管护设施。</w:t>
            </w:r>
          </w:p>
        </w:tc>
      </w:tr>
    </w:tbl>
    <w:p>
      <w:pPr>
        <w:widowControl/>
        <w:adjustRightInd w:val="0"/>
        <w:snapToGrid w:val="0"/>
        <w:spacing w:line="360" w:lineRule="auto"/>
        <w:ind w:firstLine="480" w:firstLineChars="200"/>
        <w:jc w:val="left"/>
        <w:rPr>
          <w:rFonts w:hint="eastAsia" w:hAnsi="宋体" w:cs="宋体"/>
          <w:sz w:val="24"/>
          <w:szCs w:val="24"/>
        </w:rPr>
      </w:pPr>
      <w:r>
        <w:rPr>
          <w:rFonts w:hint="eastAsia" w:hAnsi="宋体" w:cs="宋体"/>
          <w:sz w:val="24"/>
          <w:szCs w:val="24"/>
          <w:highlight w:val="white"/>
        </w:rPr>
        <w:t>1.1.4灌区电站</w:t>
      </w:r>
    </w:p>
    <w:p>
      <w:pPr>
        <w:widowControl/>
        <w:adjustRightInd w:val="0"/>
        <w:snapToGrid w:val="0"/>
        <w:spacing w:line="360" w:lineRule="auto"/>
        <w:ind w:firstLine="480" w:firstLineChars="200"/>
        <w:jc w:val="left"/>
        <w:rPr>
          <w:rFonts w:hint="eastAsia" w:hAnsi="宋体" w:cs="宋体"/>
          <w:color w:val="000000"/>
          <w:sz w:val="24"/>
          <w:szCs w:val="24"/>
        </w:rPr>
      </w:pPr>
      <w:r>
        <w:rPr>
          <w:rFonts w:hint="eastAsia" w:hAnsi="宋体" w:cs="宋体"/>
          <w:sz w:val="24"/>
          <w:szCs w:val="24"/>
        </w:rPr>
        <w:t>包括北澳陂灌区柏树下电站、南澳陂灌区里口电站（含水轮发电机组、变压器、前池、压力管道、厂房、尾水渠及附属设设施。</w:t>
      </w:r>
    </w:p>
    <w:p>
      <w:pPr>
        <w:widowControl/>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1.2</w:t>
      </w:r>
      <w:r>
        <w:rPr>
          <w:rFonts w:hAnsi="宋体" w:cs="宋体"/>
          <w:b/>
          <w:bCs/>
          <w:sz w:val="24"/>
          <w:szCs w:val="24"/>
        </w:rPr>
        <w:t>灌溉蓄水工程</w:t>
      </w:r>
    </w:p>
    <w:p>
      <w:pPr>
        <w:widowControl/>
        <w:adjustRightInd w:val="0"/>
        <w:snapToGrid w:val="0"/>
        <w:spacing w:line="360" w:lineRule="auto"/>
        <w:ind w:left="480"/>
        <w:rPr>
          <w:rFonts w:hint="eastAsia" w:hAnsi="宋体" w:cs="宋体"/>
          <w:sz w:val="24"/>
          <w:szCs w:val="24"/>
        </w:rPr>
      </w:pPr>
      <w:r>
        <w:rPr>
          <w:rFonts w:hint="eastAsia" w:hAnsi="宋体" w:cs="宋体"/>
          <w:sz w:val="24"/>
          <w:szCs w:val="24"/>
        </w:rPr>
        <w:t>管护范围内灌溉蓄水工程为27座小型水库，具体见下表：</w:t>
      </w:r>
    </w:p>
    <w:tbl>
      <w:tblPr>
        <w:tblStyle w:val="4"/>
        <w:tblW w:w="8286" w:type="dxa"/>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901"/>
        <w:gridCol w:w="2055"/>
        <w:gridCol w:w="2363"/>
        <w:gridCol w:w="1061"/>
        <w:gridCol w:w="1906"/>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blHeader/>
        </w:trPr>
        <w:tc>
          <w:tcPr>
            <w:tcW w:w="901" w:type="dxa"/>
            <w:noWrap/>
            <w:vAlign w:val="center"/>
          </w:tcPr>
          <w:p>
            <w:pPr>
              <w:widowControl/>
              <w:adjustRightInd w:val="0"/>
              <w:snapToGrid w:val="0"/>
              <w:jc w:val="center"/>
              <w:rPr>
                <w:rFonts w:hint="eastAsia" w:hAnsi="宋体" w:cs="宋体"/>
                <w:b/>
                <w:bCs/>
                <w:sz w:val="24"/>
                <w:szCs w:val="24"/>
              </w:rPr>
            </w:pPr>
            <w:r>
              <w:rPr>
                <w:rFonts w:hint="eastAsia" w:hAnsi="宋体" w:cs="宋体"/>
                <w:b/>
                <w:bCs/>
                <w:sz w:val="24"/>
                <w:szCs w:val="24"/>
                <w:highlight w:val="white"/>
              </w:rPr>
              <w:t>序号</w:t>
            </w:r>
          </w:p>
        </w:tc>
        <w:tc>
          <w:tcPr>
            <w:tcW w:w="2055" w:type="dxa"/>
            <w:noWrap/>
            <w:vAlign w:val="center"/>
          </w:tcPr>
          <w:p>
            <w:pPr>
              <w:widowControl/>
              <w:adjustRightInd w:val="0"/>
              <w:snapToGrid w:val="0"/>
              <w:jc w:val="center"/>
              <w:rPr>
                <w:rFonts w:hint="eastAsia" w:hAnsi="宋体" w:cs="宋体"/>
                <w:b/>
                <w:bCs/>
                <w:sz w:val="24"/>
                <w:szCs w:val="24"/>
              </w:rPr>
            </w:pPr>
            <w:r>
              <w:rPr>
                <w:rFonts w:hint="eastAsia" w:hAnsi="宋体" w:cs="宋体"/>
                <w:b/>
                <w:bCs/>
                <w:sz w:val="24"/>
                <w:szCs w:val="24"/>
                <w:highlight w:val="white"/>
              </w:rPr>
              <w:t>水库名称</w:t>
            </w:r>
          </w:p>
        </w:tc>
        <w:tc>
          <w:tcPr>
            <w:tcW w:w="2363" w:type="dxa"/>
            <w:noWrap/>
            <w:vAlign w:val="center"/>
          </w:tcPr>
          <w:p>
            <w:pPr>
              <w:widowControl/>
              <w:adjustRightInd w:val="0"/>
              <w:snapToGrid w:val="0"/>
              <w:jc w:val="center"/>
              <w:rPr>
                <w:rFonts w:hint="eastAsia" w:hAnsi="宋体" w:cs="宋体"/>
                <w:b/>
                <w:bCs/>
                <w:sz w:val="24"/>
                <w:szCs w:val="24"/>
              </w:rPr>
            </w:pPr>
            <w:r>
              <w:rPr>
                <w:rFonts w:hint="eastAsia" w:hAnsi="宋体" w:cs="宋体"/>
                <w:b/>
                <w:bCs/>
                <w:sz w:val="24"/>
                <w:szCs w:val="24"/>
                <w:highlight w:val="white"/>
              </w:rPr>
              <w:t>地理位置</w:t>
            </w:r>
          </w:p>
        </w:tc>
        <w:tc>
          <w:tcPr>
            <w:tcW w:w="1061" w:type="dxa"/>
            <w:noWrap/>
            <w:vAlign w:val="center"/>
          </w:tcPr>
          <w:p>
            <w:pPr>
              <w:widowControl/>
              <w:adjustRightInd w:val="0"/>
              <w:snapToGrid w:val="0"/>
              <w:jc w:val="center"/>
              <w:rPr>
                <w:rFonts w:hint="eastAsia" w:hAnsi="宋体" w:cs="宋体"/>
                <w:b/>
                <w:bCs/>
                <w:sz w:val="24"/>
                <w:szCs w:val="24"/>
              </w:rPr>
            </w:pPr>
            <w:r>
              <w:rPr>
                <w:rFonts w:hint="eastAsia" w:hAnsi="宋体" w:cs="宋体"/>
                <w:b/>
                <w:bCs/>
                <w:sz w:val="24"/>
                <w:szCs w:val="24"/>
                <w:highlight w:val="white"/>
              </w:rPr>
              <w:t>规模</w:t>
            </w:r>
          </w:p>
        </w:tc>
        <w:tc>
          <w:tcPr>
            <w:tcW w:w="1906" w:type="dxa"/>
            <w:noWrap/>
            <w:vAlign w:val="center"/>
          </w:tcPr>
          <w:p>
            <w:pPr>
              <w:widowControl/>
              <w:adjustRightInd w:val="0"/>
              <w:snapToGrid w:val="0"/>
              <w:jc w:val="center"/>
              <w:rPr>
                <w:rFonts w:hint="eastAsia" w:hAnsi="宋体" w:cs="宋体"/>
                <w:b/>
                <w:bCs/>
                <w:sz w:val="24"/>
                <w:szCs w:val="24"/>
              </w:rPr>
            </w:pPr>
            <w:r>
              <w:rPr>
                <w:rFonts w:hint="eastAsia" w:hAnsi="宋体" w:cs="宋体"/>
                <w:b/>
                <w:bCs/>
                <w:sz w:val="24"/>
                <w:szCs w:val="24"/>
                <w:highlight w:val="white"/>
              </w:rPr>
              <w:t>总库容（万m</w:t>
            </w:r>
            <w:r>
              <w:rPr>
                <w:rFonts w:hint="eastAsia" w:hAnsi="宋体" w:cs="宋体"/>
                <w:b/>
                <w:bCs/>
                <w:sz w:val="24"/>
                <w:szCs w:val="24"/>
                <w:highlight w:val="white"/>
                <w:vertAlign w:val="superscript"/>
              </w:rPr>
              <w:t>3</w:t>
            </w:r>
            <w:r>
              <w:rPr>
                <w:rFonts w:hint="eastAsia" w:hAnsi="宋体" w:cs="宋体"/>
                <w:b/>
                <w:bCs/>
                <w:sz w:val="24"/>
                <w:szCs w:val="24"/>
                <w:highlight w:val="white"/>
              </w:rPr>
              <w:t>）</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highlight w:val="white"/>
              </w:rPr>
            </w:pPr>
            <w:r>
              <w:rPr>
                <w:rFonts w:hint="eastAsia" w:hAnsi="宋体" w:cs="宋体"/>
                <w:sz w:val="24"/>
                <w:szCs w:val="24"/>
                <w:highlight w:val="white"/>
              </w:rPr>
              <w:t>1</w:t>
            </w:r>
          </w:p>
        </w:tc>
        <w:tc>
          <w:tcPr>
            <w:tcW w:w="2055" w:type="dxa"/>
            <w:vAlign w:val="center"/>
          </w:tcPr>
          <w:p>
            <w:pPr>
              <w:widowControl/>
              <w:adjustRightInd w:val="0"/>
              <w:snapToGrid w:val="0"/>
              <w:jc w:val="center"/>
              <w:rPr>
                <w:rFonts w:hint="eastAsia" w:hAnsi="宋体" w:cs="宋体"/>
                <w:sz w:val="24"/>
                <w:szCs w:val="24"/>
                <w:highlight w:val="white"/>
              </w:rPr>
            </w:pPr>
            <w:r>
              <w:rPr>
                <w:rFonts w:hint="eastAsia" w:hAnsi="宋体" w:cs="宋体"/>
                <w:sz w:val="24"/>
                <w:szCs w:val="24"/>
                <w:highlight w:val="white"/>
              </w:rPr>
              <w:t>北澳陂水库</w:t>
            </w:r>
          </w:p>
        </w:tc>
        <w:tc>
          <w:tcPr>
            <w:tcW w:w="2363" w:type="dxa"/>
            <w:vAlign w:val="center"/>
          </w:tcPr>
          <w:p>
            <w:pPr>
              <w:widowControl/>
              <w:adjustRightInd w:val="0"/>
              <w:snapToGrid w:val="0"/>
              <w:jc w:val="center"/>
              <w:rPr>
                <w:rFonts w:hint="eastAsia" w:hAnsi="宋体" w:cs="宋体"/>
                <w:sz w:val="24"/>
                <w:szCs w:val="24"/>
                <w:highlight w:val="white"/>
              </w:rPr>
            </w:pPr>
            <w:r>
              <w:rPr>
                <w:rFonts w:hint="eastAsia" w:hAnsi="宋体" w:cs="宋体"/>
                <w:sz w:val="24"/>
                <w:szCs w:val="24"/>
                <w:highlight w:val="white"/>
              </w:rPr>
              <w:t>泉江镇四农村</w:t>
            </w:r>
          </w:p>
        </w:tc>
        <w:tc>
          <w:tcPr>
            <w:tcW w:w="1061" w:type="dxa"/>
            <w:vAlign w:val="center"/>
          </w:tcPr>
          <w:p>
            <w:pPr>
              <w:widowControl/>
              <w:adjustRightInd w:val="0"/>
              <w:snapToGrid w:val="0"/>
              <w:jc w:val="center"/>
              <w:rPr>
                <w:rFonts w:hint="eastAsia" w:hAnsi="宋体" w:cs="宋体"/>
                <w:sz w:val="24"/>
                <w:szCs w:val="24"/>
                <w:highlight w:val="white"/>
              </w:rPr>
            </w:pPr>
            <w:r>
              <w:rPr>
                <w:rFonts w:hint="eastAsia" w:hAnsi="宋体" w:cs="宋体"/>
                <w:sz w:val="24"/>
                <w:szCs w:val="24"/>
                <w:highlight w:val="white"/>
              </w:rPr>
              <w:t>小(1)型</w:t>
            </w:r>
          </w:p>
        </w:tc>
        <w:tc>
          <w:tcPr>
            <w:tcW w:w="1906" w:type="dxa"/>
            <w:vAlign w:val="center"/>
          </w:tcPr>
          <w:p>
            <w:pPr>
              <w:widowControl/>
              <w:adjustRightInd w:val="0"/>
              <w:snapToGrid w:val="0"/>
              <w:jc w:val="right"/>
              <w:rPr>
                <w:rFonts w:hint="eastAsia" w:hAnsi="宋体" w:cs="宋体"/>
                <w:sz w:val="24"/>
                <w:szCs w:val="24"/>
                <w:highlight w:val="white"/>
              </w:rPr>
            </w:pPr>
            <w:r>
              <w:rPr>
                <w:rFonts w:hAnsi="宋体" w:cs="宋体"/>
                <w:sz w:val="24"/>
                <w:szCs w:val="24"/>
                <w:highlight w:val="white"/>
              </w:rPr>
              <w:t>234.3</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highlight w:val="white"/>
              </w:rPr>
            </w:pPr>
            <w:r>
              <w:rPr>
                <w:rFonts w:hint="eastAsia" w:hAnsi="宋体" w:cs="宋体"/>
                <w:sz w:val="24"/>
                <w:szCs w:val="24"/>
                <w:highlight w:val="white"/>
              </w:rPr>
              <w:t>2</w:t>
            </w:r>
          </w:p>
        </w:tc>
        <w:tc>
          <w:tcPr>
            <w:tcW w:w="2055" w:type="dxa"/>
            <w:vAlign w:val="center"/>
          </w:tcPr>
          <w:p>
            <w:pPr>
              <w:widowControl/>
              <w:adjustRightInd w:val="0"/>
              <w:snapToGrid w:val="0"/>
              <w:jc w:val="center"/>
              <w:rPr>
                <w:rFonts w:hint="eastAsia" w:hAnsi="宋体" w:cs="宋体"/>
                <w:sz w:val="24"/>
                <w:szCs w:val="24"/>
                <w:highlight w:val="white"/>
              </w:rPr>
            </w:pPr>
            <w:r>
              <w:rPr>
                <w:rFonts w:hint="eastAsia" w:hAnsi="宋体" w:cs="宋体"/>
                <w:sz w:val="24"/>
                <w:szCs w:val="24"/>
                <w:highlight w:val="white"/>
              </w:rPr>
              <w:t>南澳陂水库</w:t>
            </w:r>
          </w:p>
        </w:tc>
        <w:tc>
          <w:tcPr>
            <w:tcW w:w="2363" w:type="dxa"/>
            <w:vAlign w:val="center"/>
          </w:tcPr>
          <w:p>
            <w:pPr>
              <w:widowControl/>
              <w:adjustRightInd w:val="0"/>
              <w:snapToGrid w:val="0"/>
              <w:jc w:val="center"/>
              <w:rPr>
                <w:rFonts w:hint="eastAsia" w:hAnsi="宋体" w:cs="宋体"/>
                <w:sz w:val="24"/>
                <w:szCs w:val="24"/>
                <w:highlight w:val="white"/>
              </w:rPr>
            </w:pPr>
            <w:r>
              <w:rPr>
                <w:rFonts w:hint="eastAsia" w:hAnsi="宋体" w:cs="宋体"/>
                <w:sz w:val="24"/>
                <w:szCs w:val="24"/>
                <w:highlight w:val="white"/>
              </w:rPr>
              <w:t>珠田镇南村村</w:t>
            </w:r>
          </w:p>
        </w:tc>
        <w:tc>
          <w:tcPr>
            <w:tcW w:w="1061" w:type="dxa"/>
            <w:vAlign w:val="center"/>
          </w:tcPr>
          <w:p>
            <w:pPr>
              <w:widowControl/>
              <w:adjustRightInd w:val="0"/>
              <w:snapToGrid w:val="0"/>
              <w:jc w:val="center"/>
              <w:rPr>
                <w:rFonts w:hint="eastAsia" w:hAnsi="宋体" w:cs="宋体"/>
                <w:sz w:val="24"/>
                <w:szCs w:val="24"/>
                <w:highlight w:val="white"/>
              </w:rPr>
            </w:pPr>
            <w:r>
              <w:rPr>
                <w:rFonts w:hint="eastAsia" w:hAnsi="宋体" w:cs="宋体"/>
                <w:sz w:val="24"/>
                <w:szCs w:val="24"/>
                <w:highlight w:val="white"/>
              </w:rPr>
              <w:t>小(1)型</w:t>
            </w:r>
          </w:p>
        </w:tc>
        <w:tc>
          <w:tcPr>
            <w:tcW w:w="1906" w:type="dxa"/>
            <w:vAlign w:val="center"/>
          </w:tcPr>
          <w:p>
            <w:pPr>
              <w:widowControl/>
              <w:adjustRightInd w:val="0"/>
              <w:snapToGrid w:val="0"/>
              <w:jc w:val="right"/>
              <w:rPr>
                <w:rFonts w:hint="eastAsia" w:hAnsi="宋体" w:cs="宋体"/>
                <w:sz w:val="24"/>
                <w:szCs w:val="24"/>
                <w:highlight w:val="white"/>
              </w:rPr>
            </w:pPr>
            <w:r>
              <w:rPr>
                <w:rFonts w:hAnsi="宋体" w:cs="宋体"/>
                <w:sz w:val="24"/>
                <w:szCs w:val="24"/>
                <w:highlight w:val="white"/>
              </w:rPr>
              <w:t>167.8</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3</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横陂水库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雩田镇村口村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小(1)型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392.0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4</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同裕水库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泉江镇洲上村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小(1)型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158.4</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5</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龙长岭水库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巾石镇巾石村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小(1)型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136.7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6</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西澳陂水库</w:t>
            </w:r>
          </w:p>
        </w:tc>
        <w:tc>
          <w:tcPr>
            <w:tcW w:w="2363"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泉江镇良头村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小(1)型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142.2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7</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大东坑水库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巾石镇巾石村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17.0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8</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密岭水库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巾石镇密岭村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18.8</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9</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西溪水库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巾石镇新安村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33.4</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10</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坛子口水库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巾石镇界溪村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65.6</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11</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东坑水库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巾石镇东坑村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17.7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12</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巾石龙上水库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巾石镇东坑村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16.5</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13</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米筛段水库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于田镇常木村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22.3</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14</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塘背水库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于田镇下塘村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36.7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15</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珊田水库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于田镇珊田村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58.1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16</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马机塘水库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于田镇皋村村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13.2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17</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黄岗水库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碧洲镇黄岗村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56.8</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18</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三里坑水库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枚江乡园岭村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29.0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19</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岩坑水库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草林镇大坪村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18.1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20</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井坑水库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大汾镇螺汾村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11.0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21</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猪谷山水库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泉江镇云岗村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15.2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22</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神山寺水库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泉江镇云岗村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12.7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23</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大屋水库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泉江镇大屋村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61.4</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24</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路吉坑水库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泉江镇盆珠村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23.5</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25</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泉江龙上水库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泉江镇龙上村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19.0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noWrap/>
            <w:vAlign w:val="center"/>
          </w:tcPr>
          <w:p>
            <w:pPr>
              <w:widowControl/>
              <w:adjustRightInd w:val="0"/>
              <w:snapToGrid w:val="0"/>
              <w:jc w:val="center"/>
              <w:rPr>
                <w:rFonts w:hint="eastAsia" w:hAnsi="宋体" w:cs="宋体"/>
                <w:sz w:val="24"/>
                <w:szCs w:val="24"/>
              </w:rPr>
            </w:pPr>
            <w:r>
              <w:rPr>
                <w:rFonts w:hint="eastAsia" w:hAnsi="宋体" w:cs="宋体"/>
                <w:sz w:val="24"/>
                <w:szCs w:val="24"/>
              </w:rPr>
              <w:t>26</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横仚水库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泉江镇高源村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10.0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rPr>
        <w:tc>
          <w:tcPr>
            <w:tcW w:w="901" w:type="dxa"/>
            <w:vAlign w:val="center"/>
          </w:tcPr>
          <w:p>
            <w:pPr>
              <w:widowControl/>
              <w:adjustRightInd w:val="0"/>
              <w:snapToGrid w:val="0"/>
              <w:jc w:val="center"/>
              <w:rPr>
                <w:rFonts w:hint="eastAsia" w:hAnsi="宋体" w:cs="宋体"/>
                <w:sz w:val="24"/>
                <w:szCs w:val="24"/>
              </w:rPr>
            </w:pPr>
            <w:r>
              <w:rPr>
                <w:rFonts w:hint="eastAsia" w:hAnsi="宋体" w:cs="宋体"/>
                <w:sz w:val="24"/>
                <w:szCs w:val="24"/>
              </w:rPr>
              <w:t>27</w:t>
            </w:r>
          </w:p>
        </w:tc>
        <w:tc>
          <w:tcPr>
            <w:tcW w:w="2055"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南村水库</w:t>
            </w:r>
          </w:p>
        </w:tc>
        <w:tc>
          <w:tcPr>
            <w:tcW w:w="2363"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珠田镇南村村</w:t>
            </w:r>
          </w:p>
        </w:tc>
        <w:tc>
          <w:tcPr>
            <w:tcW w:w="1061" w:type="dxa"/>
            <w:vAlign w:val="center"/>
          </w:tcPr>
          <w:p>
            <w:pPr>
              <w:widowControl/>
              <w:adjustRightInd w:val="0"/>
              <w:snapToGrid w:val="0"/>
              <w:jc w:val="center"/>
              <w:rPr>
                <w:rFonts w:hint="eastAsia" w:hAnsi="宋体" w:cs="宋体"/>
                <w:sz w:val="24"/>
                <w:szCs w:val="24"/>
              </w:rPr>
            </w:pPr>
            <w:r>
              <w:rPr>
                <w:rFonts w:hint="eastAsia" w:hAnsi="宋体" w:cs="宋体"/>
                <w:sz w:val="24"/>
                <w:szCs w:val="24"/>
                <w:highlight w:val="white"/>
              </w:rPr>
              <w:t>小(2)型</w:t>
            </w:r>
          </w:p>
        </w:tc>
        <w:tc>
          <w:tcPr>
            <w:tcW w:w="1906" w:type="dxa"/>
            <w:vAlign w:val="center"/>
          </w:tcPr>
          <w:p>
            <w:pPr>
              <w:widowControl/>
              <w:adjustRightInd w:val="0"/>
              <w:snapToGrid w:val="0"/>
              <w:jc w:val="right"/>
              <w:rPr>
                <w:rFonts w:hint="eastAsia" w:hAnsi="宋体" w:cs="宋体"/>
                <w:sz w:val="24"/>
                <w:szCs w:val="24"/>
              </w:rPr>
            </w:pPr>
            <w:r>
              <w:rPr>
                <w:rFonts w:hint="eastAsia" w:hAnsi="宋体" w:cs="宋体"/>
                <w:sz w:val="24"/>
                <w:szCs w:val="24"/>
                <w:highlight w:val="white"/>
              </w:rPr>
              <w:t>14.7</w:t>
            </w:r>
          </w:p>
        </w:tc>
      </w:tr>
    </w:tbl>
    <w:p>
      <w:pPr>
        <w:pStyle w:val="6"/>
        <w:widowControl/>
        <w:tabs>
          <w:tab w:val="left" w:pos="312"/>
        </w:tabs>
        <w:adjustRightInd w:val="0"/>
        <w:snapToGrid w:val="0"/>
        <w:spacing w:line="360" w:lineRule="auto"/>
        <w:ind w:left="482"/>
        <w:contextualSpacing w:val="0"/>
        <w:rPr>
          <w:rFonts w:hint="eastAsia" w:hAnsi="宋体" w:cs="宋体"/>
          <w:b/>
          <w:bCs/>
          <w:sz w:val="24"/>
          <w:szCs w:val="24"/>
        </w:rPr>
      </w:pPr>
      <w:r>
        <w:rPr>
          <w:rFonts w:hint="eastAsia" w:hAnsi="宋体" w:cs="宋体"/>
          <w:b/>
          <w:bCs/>
          <w:sz w:val="24"/>
          <w:szCs w:val="24"/>
        </w:rPr>
        <w:t>1</w:t>
      </w:r>
      <w:r>
        <w:rPr>
          <w:rFonts w:hAnsi="宋体" w:cs="宋体"/>
          <w:b/>
          <w:bCs/>
          <w:sz w:val="24"/>
          <w:szCs w:val="24"/>
        </w:rPr>
        <w:t>.3防洪排涝工程</w:t>
      </w:r>
    </w:p>
    <w:p>
      <w:pPr>
        <w:pStyle w:val="6"/>
        <w:widowControl/>
        <w:tabs>
          <w:tab w:val="left" w:pos="312"/>
        </w:tabs>
        <w:adjustRightInd w:val="0"/>
        <w:snapToGrid w:val="0"/>
        <w:spacing w:line="360" w:lineRule="auto"/>
        <w:ind w:left="482"/>
        <w:contextualSpacing w:val="0"/>
        <w:rPr>
          <w:rFonts w:hint="eastAsia" w:hAnsi="宋体" w:cs="宋体"/>
          <w:sz w:val="24"/>
          <w:szCs w:val="24"/>
        </w:rPr>
      </w:pPr>
      <w:r>
        <w:rPr>
          <w:rFonts w:hint="eastAsia" w:hAnsi="宋体" w:cs="宋体"/>
          <w:sz w:val="24"/>
          <w:szCs w:val="24"/>
          <w:highlight w:val="white"/>
        </w:rPr>
        <w:t>具体见下表。</w:t>
      </w:r>
    </w:p>
    <w:tbl>
      <w:tblPr>
        <w:tblStyle w:val="4"/>
        <w:tblW w:w="8286" w:type="dxa"/>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729"/>
        <w:gridCol w:w="3880"/>
        <w:gridCol w:w="1226"/>
        <w:gridCol w:w="1226"/>
        <w:gridCol w:w="1225"/>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序号</w:t>
            </w:r>
          </w:p>
        </w:tc>
        <w:tc>
          <w:tcPr>
            <w:tcW w:w="3880"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堤防名称</w:t>
            </w:r>
          </w:p>
        </w:tc>
        <w:tc>
          <w:tcPr>
            <w:tcW w:w="1226"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所在乡镇</w:t>
            </w:r>
          </w:p>
        </w:tc>
        <w:tc>
          <w:tcPr>
            <w:tcW w:w="1226"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所在河流</w:t>
            </w:r>
          </w:p>
        </w:tc>
        <w:tc>
          <w:tcPr>
            <w:tcW w:w="1225"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堤防长度（km）</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遂川县县城防洪堤南岸</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泉江镇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遂川江</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9.85</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2</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遂川县县城防洪堤北岸</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泉江镇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遂川江</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6.34</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3</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田心堤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雩田镇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遂川江</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9.60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4</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左安圩镇堤防工程</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左安镇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左溪河</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3.00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5</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草林镇防洪工程左堤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草林镇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左溪河</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2.90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6</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草林镇防洪工程右堤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草林镇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左溪河</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2.90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7</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堂境河堤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雩田镇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遂川江</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2.30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8</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中洲河堤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雩田镇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遂川江</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2.00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9</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汤湖圩镇堤防工程</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汤湖镇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左溪河</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2.80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10</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良头堤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泉江镇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右溪河</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3.81</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11</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窗溪古团防洪堤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泉江镇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遂川江</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2.50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12</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枚江堤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枚江镇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遂川江</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13.65</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13</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黄岭堤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珠田镇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左溪河</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5.5</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rPr>
            </w:pPr>
            <w:r>
              <w:rPr>
                <w:rFonts w:hint="eastAsia" w:hAnsi="宋体" w:cs="宋体"/>
                <w:color w:val="000000"/>
                <w:sz w:val="24"/>
                <w:szCs w:val="24"/>
                <w:highlight w:val="white"/>
              </w:rPr>
              <w:t>14</w:t>
            </w: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盆珠堤</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泉江镇</w:t>
            </w:r>
          </w:p>
        </w:tc>
        <w:tc>
          <w:tcPr>
            <w:tcW w:w="1226"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遂川江</w:t>
            </w: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Ansi="宋体" w:cs="宋体"/>
                <w:color w:val="000000"/>
                <w:sz w:val="24"/>
                <w:szCs w:val="24"/>
                <w:highlight w:val="white"/>
              </w:rPr>
              <w:t>3.7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729" w:type="dxa"/>
            <w:vAlign w:val="center"/>
          </w:tcPr>
          <w:p>
            <w:pPr>
              <w:widowControl/>
              <w:adjustRightInd w:val="0"/>
              <w:snapToGrid w:val="0"/>
              <w:jc w:val="center"/>
              <w:rPr>
                <w:rFonts w:hint="eastAsia" w:hAnsi="宋体" w:cs="宋体"/>
                <w:color w:val="000000"/>
                <w:sz w:val="24"/>
                <w:szCs w:val="24"/>
                <w:highlight w:val="white"/>
              </w:rPr>
            </w:pPr>
          </w:p>
        </w:tc>
        <w:tc>
          <w:tcPr>
            <w:tcW w:w="3880"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合计</w:t>
            </w:r>
          </w:p>
        </w:tc>
        <w:tc>
          <w:tcPr>
            <w:tcW w:w="1226" w:type="dxa"/>
            <w:vAlign w:val="center"/>
          </w:tcPr>
          <w:p>
            <w:pPr>
              <w:widowControl/>
              <w:adjustRightInd w:val="0"/>
              <w:snapToGrid w:val="0"/>
              <w:jc w:val="center"/>
              <w:rPr>
                <w:rFonts w:hint="eastAsia" w:hAnsi="宋体" w:cs="宋体"/>
                <w:color w:val="000000"/>
                <w:sz w:val="24"/>
                <w:szCs w:val="24"/>
                <w:highlight w:val="white"/>
              </w:rPr>
            </w:pPr>
          </w:p>
        </w:tc>
        <w:tc>
          <w:tcPr>
            <w:tcW w:w="1226" w:type="dxa"/>
            <w:vAlign w:val="center"/>
          </w:tcPr>
          <w:p>
            <w:pPr>
              <w:widowControl/>
              <w:adjustRightInd w:val="0"/>
              <w:snapToGrid w:val="0"/>
              <w:jc w:val="center"/>
              <w:rPr>
                <w:rFonts w:hint="eastAsia" w:hAnsi="宋体" w:cs="宋体"/>
                <w:color w:val="000000"/>
                <w:sz w:val="24"/>
                <w:szCs w:val="24"/>
                <w:highlight w:val="white"/>
              </w:rPr>
            </w:pPr>
          </w:p>
        </w:tc>
        <w:tc>
          <w:tcPr>
            <w:tcW w:w="1225" w:type="dxa"/>
            <w:vAlign w:val="center"/>
          </w:tcPr>
          <w:p>
            <w:pPr>
              <w:widowControl/>
              <w:adjustRightInd w:val="0"/>
              <w:snapToGrid w:val="0"/>
              <w:jc w:val="center"/>
              <w:rPr>
                <w:rFonts w:hint="eastAsia" w:hAnsi="宋体" w:cs="宋体"/>
                <w:color w:val="000000"/>
                <w:sz w:val="24"/>
                <w:szCs w:val="24"/>
                <w:highlight w:val="white"/>
              </w:rPr>
            </w:pPr>
            <w:r>
              <w:rPr>
                <w:rFonts w:hint="eastAsia" w:hAnsi="宋体" w:cs="宋体"/>
                <w:color w:val="000000"/>
                <w:sz w:val="24"/>
                <w:szCs w:val="24"/>
                <w:highlight w:val="white"/>
              </w:rPr>
              <w:t>70.85</w:t>
            </w:r>
          </w:p>
        </w:tc>
      </w:tr>
    </w:tbl>
    <w:p>
      <w:pPr>
        <w:widowControl/>
        <w:adjustRightInd w:val="0"/>
        <w:snapToGrid w:val="0"/>
        <w:spacing w:line="360" w:lineRule="auto"/>
        <w:ind w:firstLine="480" w:firstLineChars="200"/>
        <w:rPr>
          <w:rFonts w:hint="eastAsia" w:hAnsi="宋体" w:cs="宋体"/>
          <w:sz w:val="24"/>
          <w:szCs w:val="24"/>
          <w:highlight w:val="white"/>
        </w:rPr>
      </w:pPr>
      <w:r>
        <w:rPr>
          <w:rFonts w:hint="eastAsia" w:hAnsi="宋体" w:cs="宋体"/>
          <w:sz w:val="24"/>
          <w:szCs w:val="24"/>
          <w:highlight w:val="white"/>
        </w:rPr>
        <w:t>县城防洪堤含堤上的排涝泵站、自排闸等。</w:t>
      </w:r>
    </w:p>
    <w:p>
      <w:pPr>
        <w:widowControl/>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1.4县城拦河坝工程</w:t>
      </w:r>
    </w:p>
    <w:p>
      <w:pPr>
        <w:widowControl/>
        <w:adjustRightInd w:val="0"/>
        <w:snapToGrid w:val="0"/>
        <w:spacing w:line="360" w:lineRule="auto"/>
        <w:ind w:firstLine="480" w:firstLineChars="200"/>
        <w:rPr>
          <w:rFonts w:hint="eastAsia" w:hAnsi="宋体" w:cs="宋体"/>
          <w:sz w:val="24"/>
          <w:szCs w:val="24"/>
        </w:rPr>
      </w:pPr>
      <w:r>
        <w:rPr>
          <w:rFonts w:hint="eastAsia" w:hAnsi="宋体" w:cs="宋体"/>
          <w:sz w:val="24"/>
          <w:szCs w:val="24"/>
        </w:rPr>
        <w:t>含县城拦河坝汽盾坝及相关的配电设备、充（放）气设施、管理房、备用柴油发电机组及其它附属设施等。</w:t>
      </w:r>
    </w:p>
    <w:p>
      <w:pPr>
        <w:widowControl/>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1.</w:t>
      </w:r>
      <w:r>
        <w:rPr>
          <w:rFonts w:hint="eastAsia" w:hAnsi="宋体" w:cs="宋体"/>
          <w:b/>
          <w:bCs/>
          <w:sz w:val="24"/>
          <w:szCs w:val="24"/>
        </w:rPr>
        <w:t>5</w:t>
      </w:r>
      <w:r>
        <w:rPr>
          <w:rFonts w:hAnsi="宋体" w:cs="宋体"/>
          <w:b/>
          <w:bCs/>
          <w:sz w:val="24"/>
          <w:szCs w:val="24"/>
        </w:rPr>
        <w:t>县城河</w:t>
      </w:r>
      <w:r>
        <w:rPr>
          <w:rFonts w:hint="eastAsia" w:hAnsi="宋体" w:cs="宋体"/>
          <w:b/>
          <w:bCs/>
          <w:sz w:val="24"/>
          <w:szCs w:val="24"/>
        </w:rPr>
        <w:t>(渠)</w:t>
      </w:r>
      <w:r>
        <w:rPr>
          <w:rFonts w:hAnsi="宋体" w:cs="宋体"/>
          <w:b/>
          <w:bCs/>
          <w:sz w:val="24"/>
          <w:szCs w:val="24"/>
        </w:rPr>
        <w:t>道水面保洁</w:t>
      </w:r>
    </w:p>
    <w:p>
      <w:pPr>
        <w:widowControl/>
        <w:adjustRightInd w:val="0"/>
        <w:snapToGrid w:val="0"/>
        <w:spacing w:line="360" w:lineRule="auto"/>
        <w:ind w:firstLine="480" w:firstLineChars="200"/>
        <w:rPr>
          <w:rFonts w:hint="eastAsia" w:hAnsi="宋体" w:cs="宋体"/>
          <w:sz w:val="24"/>
          <w:szCs w:val="24"/>
        </w:rPr>
      </w:pPr>
      <w:r>
        <w:rPr>
          <w:rFonts w:hint="eastAsia" w:hAnsi="宋体" w:cs="宋体"/>
          <w:sz w:val="24"/>
          <w:szCs w:val="24"/>
        </w:rPr>
        <w:t>1.5.1 保洁范围</w:t>
      </w:r>
    </w:p>
    <w:p>
      <w:pPr>
        <w:widowControl/>
        <w:adjustRightInd w:val="0"/>
        <w:snapToGrid w:val="0"/>
        <w:spacing w:line="360" w:lineRule="auto"/>
        <w:ind w:firstLine="480" w:firstLineChars="200"/>
        <w:rPr>
          <w:rFonts w:hint="eastAsia" w:hAnsi="宋体" w:cs="宋体"/>
          <w:sz w:val="24"/>
          <w:szCs w:val="24"/>
        </w:rPr>
      </w:pPr>
      <w:r>
        <w:rPr>
          <w:rFonts w:hint="eastAsia" w:hAnsi="宋体" w:cs="宋体"/>
          <w:sz w:val="24"/>
          <w:szCs w:val="24"/>
        </w:rPr>
        <w:t>遂川县县城河（渠）道水面包括遂川江及左溪河城区段9.5km及南、北澳陂骨干渠道城区段。遂川江城区段上起北澳陂进水闸、下至牛头脑水厂拦水坝，左溪河城区段上起左溪河文化公园起始点、下至左右溪汇合口。水面保洁区域为河（渠）道两岸岸堤顶线以内的迎水坡（墙）面、滩地、水域、陂（闸）坝等。</w:t>
      </w:r>
    </w:p>
    <w:p>
      <w:pPr>
        <w:widowControl/>
        <w:adjustRightInd w:val="0"/>
        <w:snapToGrid w:val="0"/>
        <w:spacing w:line="360" w:lineRule="auto"/>
        <w:ind w:firstLine="480" w:firstLineChars="200"/>
        <w:rPr>
          <w:rFonts w:hint="eastAsia" w:hAnsi="宋体" w:cs="宋体"/>
          <w:sz w:val="24"/>
          <w:szCs w:val="24"/>
        </w:rPr>
      </w:pPr>
      <w:r>
        <w:rPr>
          <w:rFonts w:hint="eastAsia" w:hAnsi="宋体" w:cs="宋体"/>
          <w:sz w:val="24"/>
          <w:szCs w:val="24"/>
        </w:rPr>
        <w:t>1.5.2 保洁内容</w:t>
      </w:r>
    </w:p>
    <w:p>
      <w:pPr>
        <w:widowControl/>
        <w:adjustRightInd w:val="0"/>
        <w:snapToGrid w:val="0"/>
        <w:spacing w:line="360" w:lineRule="auto"/>
        <w:ind w:firstLine="480" w:firstLineChars="200"/>
        <w:rPr>
          <w:rFonts w:hint="eastAsia" w:hAnsi="宋体" w:cs="宋体"/>
          <w:sz w:val="24"/>
          <w:szCs w:val="24"/>
          <w:highlight w:val="white"/>
        </w:rPr>
      </w:pPr>
      <w:r>
        <w:rPr>
          <w:rFonts w:hint="eastAsia" w:hAnsi="宋体" w:cs="宋体"/>
          <w:sz w:val="24"/>
          <w:szCs w:val="24"/>
        </w:rPr>
        <w:t>对保洁范围内水面漂浮物、垃圾、水草（含水葫芦、絮草等水生生物）、岸滩杂草灌木等进行打捞、割除、清理、清运。</w:t>
      </w:r>
    </w:p>
    <w:p>
      <w:pPr>
        <w:widowControl/>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1.6其它</w:t>
      </w:r>
    </w:p>
    <w:p>
      <w:pPr>
        <w:widowControl/>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以上工程清单内容经甲、乙双方协商一致，可在不改变总体工作量的前提下，根据实际情况（工程废弃、新建、改造和需求）做部分调整。</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2</w:t>
      </w:r>
      <w:r>
        <w:rPr>
          <w:rFonts w:hint="eastAsia" w:hAnsi="宋体" w:cs="宋体"/>
          <w:kern w:val="2"/>
          <w:sz w:val="24"/>
          <w:szCs w:val="24"/>
          <w:highlight w:val="white"/>
        </w:rPr>
        <w:t>．</w:t>
      </w:r>
      <w:r>
        <w:rPr>
          <w:rFonts w:hint="eastAsia" w:hAnsi="宋体" w:cs="宋体"/>
          <w:b/>
          <w:bCs/>
          <w:sz w:val="24"/>
          <w:szCs w:val="24"/>
          <w:highlight w:val="white"/>
        </w:rPr>
        <w:t>管护事项</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2.1</w:t>
      </w:r>
      <w:r>
        <w:rPr>
          <w:rFonts w:hint="eastAsia" w:hAnsi="宋体" w:cs="宋体"/>
          <w:b/>
          <w:sz w:val="24"/>
          <w:szCs w:val="24"/>
          <w:highlight w:val="white"/>
        </w:rPr>
        <w:t>巡查巡检：</w:t>
      </w:r>
      <w:r>
        <w:rPr>
          <w:rFonts w:hint="eastAsia" w:hAnsi="宋体" w:cs="宋体"/>
          <w:sz w:val="24"/>
          <w:szCs w:val="24"/>
          <w:highlight w:val="white"/>
        </w:rPr>
        <w:t>乙方需根据本合同约定和</w:t>
      </w:r>
      <w:r>
        <w:rPr>
          <w:rFonts w:hint="eastAsia" w:hAnsi="宋体" w:cs="宋体"/>
          <w:sz w:val="24"/>
          <w:szCs w:val="24"/>
        </w:rPr>
        <w:t>《遂川县水利工程物业化管护标准》明确</w:t>
      </w:r>
      <w:r>
        <w:rPr>
          <w:rFonts w:hint="eastAsia" w:hAnsi="宋体" w:cs="宋体"/>
          <w:sz w:val="24"/>
          <w:szCs w:val="24"/>
          <w:highlight w:val="white"/>
        </w:rPr>
        <w:t>的频次、甲方所派工单，对管护范围内的水工建筑物和标识标牌、管理道路、管理用房等管护设施开展日常和临时性的巡查，对水闸、启闭机、水泵、视频监控设备、用水量测设施等金属结构和机电设备的日常和临时性的巡检。</w:t>
      </w:r>
    </w:p>
    <w:p>
      <w:pPr>
        <w:adjustRightInd w:val="0"/>
        <w:snapToGrid w:val="0"/>
        <w:spacing w:line="360" w:lineRule="auto"/>
        <w:ind w:firstLine="480" w:firstLineChars="200"/>
        <w:rPr>
          <w:rFonts w:hint="eastAsia" w:hAnsi="宋体" w:cs="宋体"/>
          <w:sz w:val="24"/>
          <w:szCs w:val="24"/>
        </w:rPr>
      </w:pPr>
      <w:r>
        <w:rPr>
          <w:rFonts w:hint="eastAsia" w:hAnsi="宋体" w:cs="宋体"/>
          <w:b/>
          <w:sz w:val="24"/>
          <w:szCs w:val="24"/>
          <w:highlight w:val="white"/>
        </w:rPr>
        <w:t>2.2维修养护：</w:t>
      </w:r>
      <w:r>
        <w:rPr>
          <w:rFonts w:hint="eastAsia" w:hAnsi="宋体" w:cs="宋体"/>
          <w:sz w:val="24"/>
          <w:szCs w:val="24"/>
          <w:highlight w:val="white"/>
        </w:rPr>
        <w:t>维修养护包括日常维修养护和大修。日常维修养护是指乙方需根据本合同约定和</w:t>
      </w:r>
      <w:r>
        <w:rPr>
          <w:rFonts w:hint="eastAsia" w:hAnsi="宋体" w:cs="宋体"/>
          <w:sz w:val="24"/>
          <w:szCs w:val="24"/>
        </w:rPr>
        <w:t>《遂川县水利工程物业化管护标准》明确的</w:t>
      </w:r>
      <w:r>
        <w:rPr>
          <w:rFonts w:hint="eastAsia" w:hAnsi="宋体" w:cs="宋体"/>
          <w:sz w:val="24"/>
          <w:szCs w:val="24"/>
          <w:highlight w:val="white"/>
        </w:rPr>
        <w:t>频次和标准，对管护范围内的水工建筑物、金属结构、机电设备、管护设施的日常</w:t>
      </w:r>
      <w:r>
        <w:rPr>
          <w:rFonts w:hint="eastAsia" w:hAnsi="宋体" w:cs="宋体"/>
          <w:sz w:val="24"/>
          <w:szCs w:val="24"/>
        </w:rPr>
        <w:t>维修保养及城区水域开展保洁作业,但不包括水库堤防白蚁防治和水库监测设施运维。大修是指乙方根据甲方派发的工单，开展工程估算投资在1.0万元以上的水工建筑物大修和金属结构、机电设备、管护设施的大修或更换等（但不包括已含在日常维养范围内的清淤、清杂、上油、电站及信息化设施设备维修保养）。</w:t>
      </w:r>
    </w:p>
    <w:p>
      <w:pPr>
        <w:adjustRightInd w:val="0"/>
        <w:snapToGrid w:val="0"/>
        <w:spacing w:line="360" w:lineRule="auto"/>
        <w:ind w:firstLine="480" w:firstLineChars="200"/>
        <w:rPr>
          <w:rFonts w:hint="eastAsia" w:hAnsi="宋体" w:cs="宋体"/>
          <w:sz w:val="24"/>
          <w:szCs w:val="24"/>
        </w:rPr>
      </w:pPr>
      <w:r>
        <w:rPr>
          <w:rFonts w:hint="eastAsia" w:hAnsi="宋体" w:cs="宋体"/>
          <w:b/>
          <w:bCs/>
          <w:sz w:val="24"/>
          <w:szCs w:val="24"/>
          <w:highlight w:val="white"/>
        </w:rPr>
        <w:t>2.3</w:t>
      </w:r>
      <w:r>
        <w:rPr>
          <w:rFonts w:hint="eastAsia" w:hAnsi="宋体" w:cs="宋体"/>
          <w:b/>
          <w:sz w:val="24"/>
          <w:szCs w:val="24"/>
          <w:highlight w:val="white"/>
        </w:rPr>
        <w:t>运行操作：</w:t>
      </w:r>
      <w:r>
        <w:rPr>
          <w:rFonts w:hint="eastAsia" w:hAnsi="宋体" w:cs="宋体"/>
          <w:sz w:val="24"/>
          <w:szCs w:val="24"/>
          <w:highlight w:val="white"/>
        </w:rPr>
        <w:t>根据甲方的调度指令，乙方需按本合同约定和</w:t>
      </w:r>
      <w:r>
        <w:rPr>
          <w:rFonts w:hint="eastAsia" w:hAnsi="宋体" w:cs="宋体"/>
          <w:sz w:val="24"/>
          <w:szCs w:val="24"/>
        </w:rPr>
        <w:t>《遂川县水利工程物业化管护标准》要求</w:t>
      </w:r>
      <w:r>
        <w:rPr>
          <w:rFonts w:hint="eastAsia" w:hAnsi="宋体" w:cs="宋体"/>
          <w:sz w:val="24"/>
          <w:szCs w:val="24"/>
          <w:highlight w:val="white"/>
        </w:rPr>
        <w:t>开展灌区进水闸、分水闸（涵）、节制闸、排沙闸、泄洪闸，堤防自排闸、排涝站，县城拦河坝汽盾闸等闸（涵）开展启闭、流量调节等操作，开展灌区上里口电站、柏树下电站发电运行。</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3</w:t>
      </w:r>
      <w:r>
        <w:rPr>
          <w:rFonts w:hint="eastAsia" w:hAnsi="宋体" w:cs="宋体"/>
          <w:kern w:val="2"/>
          <w:sz w:val="24"/>
          <w:szCs w:val="24"/>
          <w:highlight w:val="white"/>
        </w:rPr>
        <w:t>．</w:t>
      </w:r>
      <w:r>
        <w:rPr>
          <w:rFonts w:hint="eastAsia" w:hAnsi="宋体" w:cs="宋体"/>
          <w:b/>
          <w:bCs/>
          <w:sz w:val="24"/>
          <w:szCs w:val="24"/>
          <w:highlight w:val="white"/>
        </w:rPr>
        <w:t>管护标准</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rPr>
        <w:t>见附件1《遂川县水利工程物业化管护标准》(2026.6)。</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4</w:t>
      </w:r>
      <w:r>
        <w:rPr>
          <w:rFonts w:hint="eastAsia" w:hAnsi="宋体" w:cs="宋体"/>
          <w:kern w:val="2"/>
          <w:sz w:val="24"/>
          <w:szCs w:val="24"/>
          <w:highlight w:val="white"/>
        </w:rPr>
        <w:t>．</w:t>
      </w:r>
      <w:r>
        <w:rPr>
          <w:rFonts w:hint="eastAsia" w:hAnsi="宋体" w:cs="宋体"/>
          <w:b/>
          <w:bCs/>
          <w:sz w:val="24"/>
          <w:szCs w:val="24"/>
          <w:highlight w:val="white"/>
        </w:rPr>
        <w:t>管护要求</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乙方开展物业化管护需按照以下要求开展标准化管理、智慧化管理，强化人员管理、安全生产和档案管理工作。</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4.1 标准化管理</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4.1.1乙方应按照水利部和江西省水利厅的有关要求开展标准化管理，编制标准化管理相关资料，保持并逐年提高纳入标准化管理创建工程的评价等级。</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4.1.2甲方应协助和指导乙方开展标准化管理工作，并上报相关标准化管理资料。</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4.2 智慧化管理</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4.2.1甲方负责建立智慧化的运行管理平台。</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4.2.2乙方开展物业化管护的行为应使用智慧化管理平台，巡查巡检应在APP上进行“打卡”、发现隐患应“随手拍”并上传，维修养护应上传前、中、后照片。</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4.3 人员管理</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4.3.1乙方应组建包括</w:t>
      </w:r>
      <w:r>
        <w:rPr>
          <w:rFonts w:hint="eastAsia" w:hAnsi="宋体" w:cs="宋体"/>
          <w:sz w:val="24"/>
          <w:szCs w:val="24"/>
        </w:rPr>
        <w:t>1</w:t>
      </w:r>
      <w:r>
        <w:rPr>
          <w:rFonts w:hint="eastAsia" w:hAnsi="宋体" w:cs="宋体"/>
          <w:sz w:val="24"/>
          <w:szCs w:val="24"/>
          <w:highlight w:val="white"/>
        </w:rPr>
        <w:t>名项目负责人、</w:t>
      </w:r>
      <w:r>
        <w:rPr>
          <w:rFonts w:hint="eastAsia" w:hAnsi="宋体" w:cs="宋体"/>
          <w:sz w:val="24"/>
          <w:szCs w:val="24"/>
        </w:rPr>
        <w:t>1</w:t>
      </w:r>
      <w:r>
        <w:rPr>
          <w:rFonts w:hint="eastAsia" w:hAnsi="宋体" w:cs="宋体"/>
          <w:sz w:val="24"/>
          <w:szCs w:val="24"/>
          <w:highlight w:val="white"/>
        </w:rPr>
        <w:t>名技术负责人、</w:t>
      </w:r>
      <w:r>
        <w:rPr>
          <w:rFonts w:hint="eastAsia" w:hAnsi="宋体" w:cs="宋体"/>
          <w:sz w:val="24"/>
          <w:szCs w:val="24"/>
        </w:rPr>
        <w:t>1</w:t>
      </w:r>
      <w:r>
        <w:rPr>
          <w:rFonts w:hint="eastAsia" w:hAnsi="宋体" w:cs="宋体"/>
          <w:sz w:val="24"/>
          <w:szCs w:val="24"/>
          <w:highlight w:val="white"/>
        </w:rPr>
        <w:t>名具有水利安全生产C证的安全员组成的物业化管护工作管理人员团队，</w:t>
      </w:r>
      <w:r>
        <w:rPr>
          <w:rFonts w:hint="eastAsia" w:hAnsi="宋体" w:cs="宋体"/>
          <w:sz w:val="24"/>
          <w:szCs w:val="24"/>
        </w:rPr>
        <w:t>应落实</w:t>
      </w:r>
      <w:r>
        <w:rPr>
          <w:rFonts w:hAnsi="宋体" w:cs="宋体"/>
          <w:sz w:val="24"/>
          <w:szCs w:val="24"/>
        </w:rPr>
        <w:t>不少于13人的专职管护人员（其中灌区不少于7人，电站不少于6人）和不少于</w:t>
      </w:r>
      <w:r>
        <w:rPr>
          <w:rFonts w:hint="eastAsia" w:hAnsi="宋体" w:cs="宋体"/>
          <w:sz w:val="24"/>
          <w:szCs w:val="24"/>
        </w:rPr>
        <w:t>50人的水库堤防兼职</w:t>
      </w:r>
      <w:r>
        <w:rPr>
          <w:rFonts w:hAnsi="宋体" w:cs="宋体"/>
          <w:sz w:val="24"/>
          <w:szCs w:val="24"/>
        </w:rPr>
        <w:t>管护人员</w:t>
      </w:r>
      <w:r>
        <w:rPr>
          <w:rFonts w:hint="eastAsia" w:hAnsi="宋体" w:cs="宋体"/>
          <w:sz w:val="24"/>
          <w:szCs w:val="24"/>
        </w:rPr>
        <w:t>。</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4.3.2乙方从事工程管护的人员应先培训后上岗，从事特种行业作业的工作人员应持相关资格证书。甲方应委派技术人员配合做好乙方工作人员的培训工作。</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rPr>
        <w:t>4.3.3乙方应建立与工程管护质量、考核成果挂钩的绩效薪酬制度,其中里口电站、柏树下电站发电人员绩效工资需与电站发电量挂钩，灌区巡查管护人员绩效工程应根据每月由遂川县水利工程建设管护中心评定的巡护绩效分值挂钩，绩效工资方案应报甲方备案同意。</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4.4 安全生产</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4.4.1乙方应按有关要求建立健全安全生产各项制度，保障安全生产投入，加强人员安全生产教育培训，切实防范安全生产事故，并配合乙方做好防汛抢险有关工作。</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4.4.2乙方要做好管护作业安全生产工作，上路作业必须穿着带有反光标志的橘红色工作服装，戴安全帽，设置维修养护作业的交通标志，涉水作业必须穿戴救生衣，做好劳动保护措施，确保人身安全。乙方应按安全生产有关要求配备安全员。</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4.5 档案管理</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乙方应按标准化管理的有关要求，建立工程巡查巡检、维修养护、运行操作的台帐记录，落实档案管理人员，做好档案整编、管理工作。</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rPr>
        <w:t>5</w:t>
      </w:r>
      <w:r>
        <w:rPr>
          <w:rFonts w:hint="eastAsia" w:hAnsi="宋体" w:cs="宋体"/>
          <w:b/>
          <w:bCs/>
          <w:sz w:val="24"/>
          <w:szCs w:val="24"/>
          <w:highlight w:val="white"/>
        </w:rPr>
        <w:t>　其它</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乙方应承担管护范围内管护设施的水费、电费、通讯费（含信息化设施物联网卡通讯费）、燃料费（含应急备用柴油），负责管护工程范围内防溺水“四个一”设施、防汛物料的维护、补全，负责管护工程范围内信息化设施设备</w:t>
      </w:r>
      <w:r>
        <w:rPr>
          <w:rFonts w:hint="eastAsia" w:hAnsi="宋体" w:cs="宋体"/>
          <w:b/>
          <w:bCs/>
          <w:sz w:val="24"/>
          <w:szCs w:val="24"/>
        </w:rPr>
        <w:t>维修维护（除水库监测设施外），以上费用均做为日常管护费用。</w:t>
      </w:r>
    </w:p>
    <w:bookmarkEnd w:id="6"/>
    <w:p>
      <w:pPr>
        <w:pStyle w:val="2"/>
        <w:adjustRightInd w:val="0"/>
        <w:snapToGrid w:val="0"/>
        <w:spacing w:before="0" w:after="0" w:line="360" w:lineRule="auto"/>
        <w:ind w:firstLine="482" w:firstLineChars="200"/>
        <w:rPr>
          <w:rFonts w:hint="eastAsia" w:ascii="黑体" w:hAnsi="黑体" w:eastAsia="黑体" w:cs="宋体"/>
          <w:color w:val="auto"/>
          <w:sz w:val="24"/>
          <w:szCs w:val="24"/>
          <w:highlight w:val="white"/>
        </w:rPr>
      </w:pPr>
      <w:bookmarkStart w:id="7" w:name="_Toc7200"/>
      <w:r>
        <w:rPr>
          <w:rFonts w:hint="eastAsia" w:ascii="黑体" w:hAnsi="黑体" w:cs="宋体"/>
          <w:color w:val="auto"/>
          <w:sz w:val="24"/>
          <w:szCs w:val="24"/>
          <w:highlight w:val="white"/>
          <w:lang w:val="en-US" w:eastAsia="zh-CN"/>
        </w:rPr>
        <w:t>三</w:t>
      </w:r>
      <w:r>
        <w:rPr>
          <w:rFonts w:hint="eastAsia" w:ascii="黑体" w:hAnsi="黑体" w:eastAsia="黑体" w:cs="宋体"/>
          <w:color w:val="auto"/>
          <w:sz w:val="24"/>
          <w:szCs w:val="24"/>
          <w:highlight w:val="white"/>
        </w:rPr>
        <w:t>、</w:t>
      </w:r>
      <w:bookmarkEnd w:id="3"/>
      <w:bookmarkEnd w:id="4"/>
      <w:r>
        <w:rPr>
          <w:rFonts w:hint="eastAsia" w:ascii="黑体" w:hAnsi="黑体" w:eastAsia="黑体" w:cs="宋体"/>
          <w:color w:val="auto"/>
          <w:sz w:val="24"/>
          <w:szCs w:val="24"/>
          <w:highlight w:val="white"/>
        </w:rPr>
        <w:t>商务要求</w:t>
      </w:r>
      <w:r>
        <w:rPr>
          <w:rFonts w:hint="eastAsia" w:ascii="宋体" w:hAnsi="宋体" w:eastAsia="宋体" w:cs="宋体"/>
          <w:color w:val="auto"/>
          <w:sz w:val="24"/>
          <w:szCs w:val="24"/>
          <w:highlight w:val="white"/>
        </w:rPr>
        <w:t>(投标人须完全响应,不得出现负偏离,否则视为无效标)</w:t>
      </w:r>
      <w:bookmarkEnd w:id="5"/>
      <w:bookmarkEnd w:id="7"/>
    </w:p>
    <w:p>
      <w:pPr>
        <w:adjustRightInd w:val="0"/>
        <w:snapToGrid w:val="0"/>
        <w:spacing w:line="360" w:lineRule="auto"/>
        <w:ind w:firstLine="480" w:firstLineChars="200"/>
        <w:rPr>
          <w:rFonts w:hint="eastAsia" w:hAnsi="宋体" w:cs="宋体"/>
          <w:color w:val="0000FF"/>
          <w:sz w:val="24"/>
          <w:szCs w:val="24"/>
        </w:rPr>
      </w:pPr>
      <w:bookmarkStart w:id="8" w:name="_Toc7298_WPSOffice_Level1"/>
      <w:bookmarkStart w:id="9" w:name="_Toc26964_WPSOffice_Level1"/>
      <w:r>
        <w:rPr>
          <w:rFonts w:hint="eastAsia" w:hAnsi="宋体" w:cs="宋体"/>
          <w:b/>
          <w:bCs/>
          <w:sz w:val="24"/>
          <w:szCs w:val="24"/>
          <w:highlight w:val="white"/>
        </w:rPr>
        <w:t>1</w:t>
      </w:r>
      <w:r>
        <w:rPr>
          <w:rFonts w:hint="eastAsia" w:hAnsi="宋体" w:cs="宋体"/>
          <w:b/>
          <w:bCs/>
          <w:kern w:val="2"/>
          <w:sz w:val="24"/>
          <w:szCs w:val="24"/>
          <w:highlight w:val="white"/>
        </w:rPr>
        <w:t>．</w:t>
      </w:r>
      <w:r>
        <w:rPr>
          <w:rFonts w:hint="eastAsia" w:hAnsi="宋体" w:cs="宋体"/>
          <w:b/>
          <w:bCs/>
          <w:sz w:val="24"/>
          <w:szCs w:val="24"/>
          <w:highlight w:val="white"/>
        </w:rPr>
        <w:t>服务期：</w:t>
      </w:r>
      <w:r>
        <w:rPr>
          <w:rFonts w:hint="eastAsia" w:hAnsi="宋体" w:cs="宋体"/>
          <w:sz w:val="24"/>
          <w:szCs w:val="24"/>
          <w:highlight w:val="white"/>
        </w:rPr>
        <w:t>本合同服务周期为</w:t>
      </w:r>
      <w:r>
        <w:rPr>
          <w:rFonts w:hint="eastAsia" w:hAnsi="宋体" w:cs="宋体"/>
          <w:b/>
          <w:bCs/>
          <w:sz w:val="24"/>
          <w:szCs w:val="24"/>
          <w:highlight w:val="white"/>
          <w:u w:val="single"/>
        </w:rPr>
        <w:t>叁拾个月</w:t>
      </w:r>
      <w:r>
        <w:rPr>
          <w:rFonts w:hint="eastAsia" w:hAnsi="宋体" w:cs="宋体"/>
          <w:sz w:val="24"/>
          <w:szCs w:val="24"/>
          <w:highlight w:val="white"/>
        </w:rPr>
        <w:t>（采购合同签订之日起</w:t>
      </w:r>
      <w:r>
        <w:rPr>
          <w:rFonts w:hint="eastAsia" w:hAnsi="宋体" w:cs="宋体"/>
          <w:b/>
          <w:bCs/>
          <w:sz w:val="24"/>
          <w:szCs w:val="24"/>
          <w:highlight w:val="white"/>
          <w:u w:val="single"/>
        </w:rPr>
        <w:t>30个月</w:t>
      </w:r>
      <w:r>
        <w:rPr>
          <w:rFonts w:hint="eastAsia" w:hAnsi="宋体" w:cs="宋体"/>
          <w:sz w:val="24"/>
          <w:szCs w:val="24"/>
          <w:highlight w:val="white"/>
        </w:rPr>
        <w:t>）。</w:t>
      </w:r>
    </w:p>
    <w:p>
      <w:pPr>
        <w:adjustRightInd w:val="0"/>
        <w:snapToGrid w:val="0"/>
        <w:spacing w:line="360" w:lineRule="auto"/>
        <w:ind w:firstLine="480" w:firstLineChars="200"/>
        <w:rPr>
          <w:rFonts w:hint="eastAsia" w:hAnsi="宋体" w:cs="宋体"/>
          <w:sz w:val="24"/>
          <w:szCs w:val="24"/>
        </w:rPr>
      </w:pPr>
      <w:r>
        <w:rPr>
          <w:rFonts w:hint="eastAsia" w:hAnsi="宋体" w:cs="宋体"/>
          <w:b/>
          <w:bCs/>
          <w:sz w:val="24"/>
          <w:szCs w:val="24"/>
          <w:highlight w:val="white"/>
        </w:rPr>
        <w:t>2</w:t>
      </w:r>
      <w:r>
        <w:rPr>
          <w:rFonts w:hint="eastAsia" w:hAnsi="宋体" w:cs="宋体"/>
          <w:b/>
          <w:bCs/>
          <w:kern w:val="2"/>
          <w:sz w:val="24"/>
          <w:szCs w:val="24"/>
          <w:highlight w:val="white"/>
        </w:rPr>
        <w:t>．</w:t>
      </w:r>
      <w:r>
        <w:rPr>
          <w:rFonts w:hint="eastAsia" w:hAnsi="宋体" w:cs="宋体"/>
          <w:b/>
          <w:bCs/>
          <w:sz w:val="24"/>
          <w:szCs w:val="24"/>
          <w:highlight w:val="white"/>
        </w:rPr>
        <w:t>服务地点：</w:t>
      </w:r>
      <w:r>
        <w:rPr>
          <w:rFonts w:hint="eastAsia" w:hAnsi="宋体" w:cs="宋体"/>
          <w:sz w:val="24"/>
          <w:szCs w:val="24"/>
          <w:highlight w:val="white"/>
        </w:rPr>
        <w:t>采购人指定地点。</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3</w:t>
      </w:r>
      <w:r>
        <w:rPr>
          <w:rFonts w:hint="eastAsia" w:hAnsi="宋体" w:cs="宋体"/>
          <w:b/>
          <w:bCs/>
          <w:kern w:val="2"/>
          <w:sz w:val="24"/>
          <w:szCs w:val="24"/>
          <w:highlight w:val="white"/>
        </w:rPr>
        <w:t>．</w:t>
      </w:r>
      <w:r>
        <w:rPr>
          <w:rFonts w:hint="eastAsia" w:hAnsi="宋体" w:cs="宋体"/>
          <w:b/>
          <w:bCs/>
          <w:sz w:val="24"/>
          <w:szCs w:val="24"/>
          <w:highlight w:val="white"/>
        </w:rPr>
        <w:t>付款方式</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3.1本合同采取分期方式支付，每年分</w:t>
      </w:r>
      <w:r>
        <w:rPr>
          <w:rFonts w:hint="eastAsia" w:hAnsi="宋体" w:cs="宋体"/>
          <w:b/>
          <w:bCs/>
          <w:sz w:val="24"/>
          <w:szCs w:val="24"/>
          <w:highlight w:val="white"/>
          <w:u w:val="single"/>
        </w:rPr>
        <w:t>4</w:t>
      </w:r>
      <w:r>
        <w:rPr>
          <w:rFonts w:hint="eastAsia" w:hAnsi="宋体" w:cs="宋体"/>
          <w:sz w:val="24"/>
          <w:szCs w:val="24"/>
          <w:highlight w:val="white"/>
        </w:rPr>
        <w:t>期支付，即每季度开展1次季度考核和季度结算。每期支付金额为日常管护部分合同总价的</w:t>
      </w:r>
      <w:r>
        <w:rPr>
          <w:rFonts w:hint="eastAsia" w:hAnsi="宋体" w:cs="宋体"/>
          <w:b/>
          <w:bCs/>
          <w:sz w:val="24"/>
          <w:szCs w:val="24"/>
          <w:highlight w:val="white"/>
          <w:u w:val="single"/>
        </w:rPr>
        <w:t>10%</w:t>
      </w:r>
      <w:r>
        <w:rPr>
          <w:rFonts w:hint="eastAsia" w:hAnsi="宋体" w:cs="宋体"/>
          <w:sz w:val="24"/>
          <w:szCs w:val="24"/>
          <w:highlight w:val="white"/>
        </w:rPr>
        <w:t>（需乘以考核后的绩效系数）加上经甲方验收合格的、实际发生的大修理费。具体考核办法见附件2。</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3.2季度考核评分“优秀、良好、合格、不合格”四个等次。评分f&lt;70 分为不合格，评分f≥70且&lt;80 分为合格，评分f≥80且&lt;90 分为良好，评分f≥90为优秀。根据考核分值不同，各等次的绩效系数k按以下办法取值：</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考核等次为优秀时，k＝1.00；</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考核等次为优良时，k＝0.90+（f</w:t>
      </w:r>
      <w:r>
        <w:rPr>
          <w:rFonts w:hint="eastAsia" w:hAnsi="宋体" w:cs="宋体"/>
          <w:sz w:val="24"/>
          <w:szCs w:val="24"/>
          <w:highlight w:val="white"/>
        </w:rPr>
        <w:softHyphen/>
      </w:r>
      <w:r>
        <w:rPr>
          <w:rFonts w:hint="eastAsia" w:hAnsi="宋体" w:cs="宋体"/>
          <w:sz w:val="24"/>
          <w:szCs w:val="24"/>
          <w:highlight w:val="white"/>
        </w:rPr>
        <w:t>－</w:t>
      </w:r>
      <w:r>
        <w:rPr>
          <w:rFonts w:hint="eastAsia" w:hAnsi="宋体" w:cs="宋体"/>
          <w:sz w:val="24"/>
          <w:szCs w:val="24"/>
          <w:highlight w:val="white"/>
        </w:rPr>
        <w:softHyphen/>
      </w:r>
      <w:r>
        <w:rPr>
          <w:rFonts w:hint="eastAsia" w:hAnsi="宋体" w:cs="宋体"/>
          <w:sz w:val="24"/>
          <w:szCs w:val="24"/>
          <w:highlight w:val="white"/>
        </w:rPr>
        <w:t>80）/100；</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考核等次为合格时，k＝0.80+（f</w:t>
      </w:r>
      <w:r>
        <w:rPr>
          <w:rFonts w:hint="eastAsia" w:hAnsi="宋体" w:cs="宋体"/>
          <w:sz w:val="24"/>
          <w:szCs w:val="24"/>
          <w:highlight w:val="white"/>
        </w:rPr>
        <w:softHyphen/>
      </w:r>
      <w:r>
        <w:rPr>
          <w:rFonts w:hint="eastAsia" w:hAnsi="宋体" w:cs="宋体"/>
          <w:sz w:val="24"/>
          <w:szCs w:val="24"/>
          <w:highlight w:val="white"/>
        </w:rPr>
        <w:t>－</w:t>
      </w:r>
      <w:r>
        <w:rPr>
          <w:rFonts w:hint="eastAsia" w:hAnsi="宋体" w:cs="宋体"/>
          <w:sz w:val="24"/>
          <w:szCs w:val="24"/>
          <w:highlight w:val="white"/>
        </w:rPr>
        <w:softHyphen/>
      </w:r>
      <w:r>
        <w:rPr>
          <w:rFonts w:hint="eastAsia" w:hAnsi="宋体" w:cs="宋体"/>
          <w:sz w:val="24"/>
          <w:szCs w:val="24"/>
          <w:highlight w:val="white"/>
        </w:rPr>
        <w:t>70）/100；</w:t>
      </w:r>
    </w:p>
    <w:p>
      <w:pPr>
        <w:adjustRightInd w:val="0"/>
        <w:snapToGrid w:val="0"/>
        <w:spacing w:line="360" w:lineRule="auto"/>
        <w:ind w:firstLine="480" w:firstLineChars="200"/>
        <w:rPr>
          <w:rFonts w:hint="eastAsia" w:hAnsi="宋体" w:cs="宋体"/>
          <w:bCs/>
          <w:sz w:val="24"/>
          <w:szCs w:val="24"/>
        </w:rPr>
      </w:pPr>
      <w:r>
        <w:rPr>
          <w:rFonts w:hint="eastAsia" w:hAnsi="宋体" w:cs="宋体"/>
          <w:bCs/>
          <w:sz w:val="24"/>
          <w:szCs w:val="24"/>
          <w:highlight w:val="white"/>
        </w:rPr>
        <w:t>考核等次为不合格时，k＝0，且甲方有权中止本合同，且不承担违约责任。</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rPr>
        <w:t>4</w:t>
      </w:r>
      <w:r>
        <w:rPr>
          <w:rFonts w:hint="eastAsia" w:hAnsi="宋体" w:cs="宋体"/>
          <w:b/>
          <w:bCs/>
          <w:kern w:val="2"/>
          <w:sz w:val="24"/>
          <w:szCs w:val="24"/>
          <w:highlight w:val="white"/>
        </w:rPr>
        <w:t>．</w:t>
      </w:r>
      <w:r>
        <w:rPr>
          <w:rFonts w:hint="eastAsia" w:hAnsi="宋体" w:cs="宋体"/>
          <w:b/>
          <w:bCs/>
          <w:sz w:val="24"/>
          <w:szCs w:val="24"/>
          <w:highlight w:val="white"/>
        </w:rPr>
        <w:t>结算方式</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4.1日常管护部分采用固定价合同，实际结算时按中标价乘以当期考核的绩效系数结算；大修理部分采用单价合同，据实际发生工程量计算。</w:t>
      </w:r>
    </w:p>
    <w:p>
      <w:pPr>
        <w:adjustRightInd w:val="0"/>
        <w:snapToGrid w:val="0"/>
        <w:spacing w:line="360" w:lineRule="auto"/>
        <w:ind w:firstLine="480" w:firstLineChars="200"/>
        <w:rPr>
          <w:rFonts w:hint="eastAsia" w:hAnsi="宋体" w:cs="宋体"/>
          <w:sz w:val="24"/>
          <w:szCs w:val="24"/>
        </w:rPr>
      </w:pPr>
      <w:r>
        <w:rPr>
          <w:rFonts w:hint="eastAsia" w:hAnsi="宋体" w:cs="宋体"/>
          <w:sz w:val="24"/>
          <w:szCs w:val="24"/>
          <w:highlight w:val="white"/>
        </w:rPr>
        <w:t>4.2大修理费为暂定价，由甲、乙双方根据大修理工单、结算工程量、由《江西省农村水利预算定额》、《江西省水利工程维修养护预算定额（试行）》及信息价计算的单价办理结算（不计计划利润）。</w:t>
      </w:r>
    </w:p>
    <w:p>
      <w:pPr>
        <w:adjustRightInd w:val="0"/>
        <w:snapToGrid w:val="0"/>
        <w:spacing w:line="360" w:lineRule="auto"/>
        <w:ind w:firstLine="482" w:firstLineChars="200"/>
        <w:rPr>
          <w:rFonts w:hint="eastAsia" w:hAnsi="宋体" w:cs="宋体"/>
          <w:b/>
          <w:bCs/>
          <w:sz w:val="24"/>
          <w:szCs w:val="24"/>
          <w:highlight w:val="none"/>
        </w:rPr>
      </w:pPr>
      <w:r>
        <w:rPr>
          <w:rFonts w:hint="eastAsia" w:asciiTheme="minorEastAsia" w:hAnsiTheme="minorEastAsia" w:eastAsiaTheme="minorEastAsia" w:cstheme="minorEastAsia"/>
          <w:b/>
          <w:sz w:val="24"/>
          <w:szCs w:val="24"/>
          <w:lang w:val="en-US" w:eastAsia="zh-CN"/>
        </w:rPr>
        <w:t>5、由于工期紧，</w:t>
      </w:r>
      <w:r>
        <w:rPr>
          <w:rFonts w:hint="eastAsia" w:asciiTheme="minorEastAsia" w:hAnsiTheme="minorEastAsia" w:eastAsiaTheme="minorEastAsia" w:cstheme="minorEastAsia"/>
          <w:b/>
          <w:sz w:val="24"/>
          <w:szCs w:val="24"/>
        </w:rPr>
        <w:t>中标企业须在领取中标通知书5日内与</w:t>
      </w:r>
      <w:r>
        <w:rPr>
          <w:rFonts w:hint="eastAsia" w:asciiTheme="minorEastAsia" w:hAnsiTheme="minorEastAsia" w:eastAsiaTheme="minorEastAsia" w:cstheme="minorEastAsia"/>
          <w:b/>
          <w:sz w:val="24"/>
          <w:szCs w:val="24"/>
          <w:lang w:val="en-US" w:eastAsia="zh-CN"/>
        </w:rPr>
        <w:t>采购人</w:t>
      </w:r>
      <w:r>
        <w:rPr>
          <w:rFonts w:hint="eastAsia" w:asciiTheme="minorEastAsia" w:hAnsiTheme="minorEastAsia" w:eastAsiaTheme="minorEastAsia" w:cstheme="minorEastAsia"/>
          <w:b/>
          <w:sz w:val="24"/>
          <w:szCs w:val="24"/>
        </w:rPr>
        <w:t>签订合同。</w:t>
      </w:r>
    </w:p>
    <w:p>
      <w:pPr>
        <w:adjustRightInd w:val="0"/>
        <w:snapToGrid w:val="0"/>
        <w:spacing w:line="360" w:lineRule="auto"/>
        <w:ind w:firstLine="480" w:firstLineChars="200"/>
        <w:rPr>
          <w:rFonts w:hint="eastAsia" w:hAnsi="宋体" w:cs="宋体"/>
          <w:b/>
          <w:bCs/>
          <w:sz w:val="24"/>
          <w:szCs w:val="24"/>
        </w:rPr>
      </w:pPr>
      <w:r>
        <w:rPr>
          <w:rFonts w:hint="eastAsia" w:hAnsi="宋体" w:cs="宋体"/>
          <w:b/>
          <w:bCs/>
          <w:sz w:val="24"/>
          <w:szCs w:val="24"/>
          <w:highlight w:val="white"/>
          <w:lang w:val="en-US" w:eastAsia="zh-CN"/>
        </w:rPr>
        <w:t>6</w:t>
      </w:r>
      <w:r>
        <w:rPr>
          <w:rFonts w:hint="eastAsia" w:hAnsi="宋体" w:cs="宋体"/>
          <w:kern w:val="2"/>
          <w:sz w:val="24"/>
          <w:szCs w:val="24"/>
          <w:highlight w:val="white"/>
        </w:rPr>
        <w:t>．</w:t>
      </w:r>
      <w:r>
        <w:rPr>
          <w:rFonts w:hint="eastAsia" w:hAnsi="宋体" w:cs="宋体"/>
          <w:b/>
          <w:bCs/>
          <w:sz w:val="24"/>
          <w:szCs w:val="24"/>
          <w:highlight w:val="white"/>
        </w:rPr>
        <w:t>考核</w:t>
      </w:r>
      <w:r>
        <w:rPr>
          <w:rFonts w:hint="eastAsia" w:hAnsi="宋体" w:cs="宋体"/>
          <w:b/>
          <w:bCs/>
          <w:sz w:val="24"/>
          <w:szCs w:val="24"/>
        </w:rPr>
        <w:t>方案</w:t>
      </w:r>
    </w:p>
    <w:p>
      <w:pPr>
        <w:widowControl/>
        <w:adjustRightInd w:val="0"/>
        <w:snapToGrid w:val="0"/>
        <w:spacing w:line="360" w:lineRule="auto"/>
        <w:ind w:firstLine="480" w:firstLineChars="200"/>
        <w:rPr>
          <w:rFonts w:hint="eastAsia" w:hAnsi="宋体" w:cs="宋体"/>
          <w:sz w:val="24"/>
          <w:szCs w:val="24"/>
        </w:rPr>
      </w:pPr>
      <w:r>
        <w:rPr>
          <w:rFonts w:hint="eastAsia" w:hAnsi="宋体" w:cs="宋体"/>
          <w:sz w:val="24"/>
          <w:szCs w:val="24"/>
        </w:rPr>
        <w:t>见附件2《遂川县水利工程物业化管护服务（二期）考核评分表》。</w:t>
      </w:r>
    </w:p>
    <w:p>
      <w:pPr>
        <w:adjustRightInd w:val="0"/>
        <w:snapToGrid w:val="0"/>
        <w:spacing w:line="360" w:lineRule="auto"/>
        <w:ind w:firstLine="480" w:firstLineChars="200"/>
        <w:rPr>
          <w:rFonts w:hint="eastAsia" w:hAnsi="宋体" w:cs="宋体"/>
          <w:kern w:val="2"/>
          <w:sz w:val="24"/>
          <w:szCs w:val="24"/>
        </w:rPr>
      </w:pPr>
      <w:r>
        <w:rPr>
          <w:rFonts w:hint="eastAsia" w:hAnsi="宋体" w:cs="宋体"/>
          <w:kern w:val="2"/>
          <w:sz w:val="24"/>
          <w:szCs w:val="24"/>
          <w:lang w:val="en-US" w:eastAsia="zh-CN"/>
        </w:rPr>
        <w:t>7</w:t>
      </w:r>
      <w:r>
        <w:rPr>
          <w:rFonts w:hint="eastAsia" w:hAnsi="宋体" w:cs="宋体"/>
          <w:kern w:val="2"/>
          <w:sz w:val="24"/>
          <w:szCs w:val="24"/>
          <w:highlight w:val="white"/>
        </w:rPr>
        <w:t>．</w:t>
      </w:r>
      <w:r>
        <w:rPr>
          <w:rFonts w:hint="eastAsia" w:hAnsi="宋体" w:cs="宋体"/>
          <w:kern w:val="2"/>
          <w:sz w:val="24"/>
          <w:szCs w:val="24"/>
        </w:rPr>
        <w:t>项目在实施过程中，因招标内容中细节或细化的事项没有做出说明的，以采购人和中标人双方最终协商决定为准。</w:t>
      </w:r>
    </w:p>
    <w:p>
      <w:pPr>
        <w:adjustRightInd w:val="0"/>
        <w:snapToGrid w:val="0"/>
        <w:spacing w:line="360" w:lineRule="auto"/>
        <w:ind w:firstLine="480" w:firstLineChars="200"/>
        <w:rPr>
          <w:rFonts w:hint="eastAsia" w:hAnsi="宋体" w:cs="宋体"/>
          <w:kern w:val="2"/>
          <w:sz w:val="24"/>
          <w:szCs w:val="24"/>
        </w:rPr>
      </w:pPr>
      <w:r>
        <w:rPr>
          <w:rFonts w:hint="eastAsia" w:hAnsi="宋体" w:cs="宋体"/>
          <w:kern w:val="2"/>
          <w:sz w:val="24"/>
          <w:szCs w:val="24"/>
          <w:lang w:val="en-US" w:eastAsia="zh-CN"/>
        </w:rPr>
        <w:t>8</w:t>
      </w:r>
      <w:r>
        <w:rPr>
          <w:rFonts w:hint="eastAsia" w:hAnsi="宋体" w:cs="宋体"/>
          <w:kern w:val="2"/>
          <w:sz w:val="24"/>
          <w:szCs w:val="24"/>
          <w:highlight w:val="white"/>
        </w:rPr>
        <w:t>．</w:t>
      </w:r>
      <w:r>
        <w:rPr>
          <w:rFonts w:hint="eastAsia" w:hAnsi="宋体" w:cs="宋体"/>
          <w:kern w:val="2"/>
          <w:sz w:val="24"/>
          <w:szCs w:val="24"/>
        </w:rPr>
        <w:t>所有服务的知识产权问题，由各投标服务商自行负责。</w:t>
      </w:r>
    </w:p>
    <w:p>
      <w:pPr>
        <w:adjustRightInd w:val="0"/>
        <w:snapToGrid w:val="0"/>
        <w:spacing w:line="360" w:lineRule="auto"/>
        <w:ind w:firstLine="480" w:firstLineChars="200"/>
        <w:rPr>
          <w:rFonts w:hint="eastAsia" w:hAnsi="宋体" w:cs="宋体"/>
          <w:b/>
          <w:bCs/>
          <w:kern w:val="2"/>
          <w:sz w:val="24"/>
          <w:szCs w:val="24"/>
        </w:rPr>
      </w:pPr>
      <w:r>
        <w:rPr>
          <w:rFonts w:hint="eastAsia" w:hAnsi="宋体" w:cs="宋体"/>
          <w:b/>
          <w:bCs/>
          <w:kern w:val="2"/>
          <w:sz w:val="24"/>
          <w:szCs w:val="24"/>
          <w:lang w:val="en-US" w:eastAsia="zh-CN"/>
        </w:rPr>
        <w:t>9</w:t>
      </w:r>
      <w:r>
        <w:rPr>
          <w:rFonts w:hint="eastAsia" w:hAnsi="宋体" w:cs="宋体"/>
          <w:kern w:val="2"/>
          <w:sz w:val="24"/>
          <w:szCs w:val="24"/>
          <w:highlight w:val="white"/>
        </w:rPr>
        <w:t>．</w:t>
      </w:r>
      <w:r>
        <w:rPr>
          <w:rFonts w:hint="eastAsia" w:hAnsi="宋体" w:cs="宋体"/>
          <w:b/>
          <w:bCs/>
          <w:kern w:val="2"/>
          <w:sz w:val="24"/>
          <w:szCs w:val="24"/>
        </w:rPr>
        <w:t>中标人服务人员在服务期间发生伤亡事故，或在服务过程中造成第三人伤亡的，责任由中标人承担。</w:t>
      </w:r>
    </w:p>
    <w:p>
      <w:pPr>
        <w:adjustRightInd w:val="0"/>
        <w:snapToGrid w:val="0"/>
        <w:spacing w:line="360" w:lineRule="auto"/>
        <w:ind w:firstLine="480" w:firstLineChars="200"/>
        <w:rPr>
          <w:rFonts w:hint="eastAsia" w:hAnsi="宋体" w:cs="宋体"/>
          <w:b/>
          <w:bCs/>
          <w:kern w:val="2"/>
          <w:sz w:val="24"/>
          <w:szCs w:val="24"/>
        </w:rPr>
      </w:pPr>
      <w:r>
        <w:rPr>
          <w:rFonts w:hint="eastAsia" w:hAnsi="宋体" w:cs="宋体"/>
          <w:b/>
          <w:bCs/>
          <w:kern w:val="2"/>
          <w:sz w:val="24"/>
          <w:szCs w:val="24"/>
          <w:lang w:val="en-US" w:eastAsia="zh-CN"/>
        </w:rPr>
        <w:t>10</w:t>
      </w:r>
      <w:r>
        <w:rPr>
          <w:rFonts w:hint="eastAsia" w:hAnsi="宋体" w:cs="宋体"/>
          <w:kern w:val="2"/>
          <w:sz w:val="24"/>
          <w:szCs w:val="24"/>
          <w:highlight w:val="white"/>
        </w:rPr>
        <w:t>．</w:t>
      </w:r>
      <w:r>
        <w:rPr>
          <w:rFonts w:hAnsi="宋体" w:cs="宋体"/>
          <w:b/>
          <w:bCs/>
          <w:kern w:val="2"/>
          <w:sz w:val="24"/>
          <w:szCs w:val="24"/>
        </w:rPr>
        <w:t>开标结束后2天内第一中标排序人需提供管护人员相关证书，管护车辆、机械、工器具产权证书原件或正式购置税票原件，并带采购人到现场核查。如核查发现投标人提供虚假材料骗取中标的将取消其中标资格并没收其投标保证金。并按《中华人民共和国政府采购法》第七十七条第一款第（一）项规定的 “提供虚假材料谋取中标、成交”违法情形。经调查属实的，自觉接受政府采购行政监管部门按照《中华人民共和国政府采购法》第七十七条：“处以采购金额千分之五以上千分之十以下的罚款，列入不良行为记录名单，在一至三年内禁止参加政府 采购活动，有违法所得的，并处没收违法所得，情节严重的，由市场监管部门吊销营业执照；构成犯罪的，依法追究刑事责任。”处理。</w:t>
      </w:r>
    </w:p>
    <w:p>
      <w:pPr>
        <w:adjustRightInd w:val="0"/>
        <w:snapToGrid w:val="0"/>
        <w:spacing w:line="360" w:lineRule="auto"/>
        <w:ind w:firstLine="480" w:firstLineChars="200"/>
        <w:rPr>
          <w:rFonts w:hint="eastAsia" w:hAnsi="宋体" w:cs="宋体"/>
          <w:kern w:val="2"/>
          <w:sz w:val="24"/>
          <w:szCs w:val="24"/>
        </w:rPr>
      </w:pPr>
      <w:r>
        <w:rPr>
          <w:rFonts w:hint="eastAsia" w:hAnsi="宋体" w:cs="宋体"/>
          <w:kern w:val="2"/>
          <w:sz w:val="24"/>
          <w:szCs w:val="24"/>
          <w:highlight w:val="white"/>
        </w:rPr>
        <w:t>1</w:t>
      </w:r>
      <w:r>
        <w:rPr>
          <w:rFonts w:hint="eastAsia" w:hAnsi="宋体" w:cs="宋体"/>
          <w:kern w:val="2"/>
          <w:sz w:val="24"/>
          <w:szCs w:val="24"/>
          <w:highlight w:val="white"/>
          <w:lang w:val="en-US" w:eastAsia="zh-CN"/>
        </w:rPr>
        <w:t>1</w:t>
      </w:r>
      <w:r>
        <w:rPr>
          <w:rFonts w:hint="eastAsia" w:hAnsi="宋体" w:cs="宋体"/>
          <w:kern w:val="2"/>
          <w:sz w:val="24"/>
          <w:szCs w:val="24"/>
          <w:highlight w:val="white"/>
        </w:rPr>
        <w:t>．未尽事宜与采购人联系。</w:t>
      </w:r>
      <w:bookmarkEnd w:id="8"/>
      <w:bookmarkEnd w:id="9"/>
    </w:p>
    <w:p>
      <w:pPr>
        <w:rPr>
          <w:rFonts w:hint="eastAsia" w:eastAsiaTheme="minorEastAsia"/>
          <w:lang w:eastAsia="zh-CN"/>
        </w:rPr>
      </w:pPr>
      <w:bookmarkStart w:id="10" w:name="_GoBack"/>
      <w:bookmarkEnd w:id="1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A35FC4"/>
    <w:rsid w:val="40BA2799"/>
    <w:rsid w:val="5A8A1E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after="160" w:line="278" w:lineRule="auto"/>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paragraph" w:styleId="6">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2026-05-20T08:01:00Z</dcterms:created>
  <dc:creator>Administrator</dc:creator>
  <cp:lastModifiedBy>Administrator</cp:lastModifiedBy>
  <dcterms:modified xsi:type="dcterms:W3CDTF">2026-06-22T09:45:03Z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