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0" w:beforeLines="100" w:after="0" w:afterLines="100" w:line="240" w:lineRule="auto"/>
        <w:ind w:left="0" w:leftChars="0" w:firstLine="0" w:firstLineChars="0"/>
        <w:jc w:val="center"/>
        <w:textAlignment w:val="baseline"/>
        <w:outlineLvl w:val="0"/>
        <w:rPr>
          <w:rFonts w:hint="eastAsia" w:ascii="宋体" w:hAnsi="宋体" w:eastAsia="宋体" w:cs="宋体"/>
          <w:b/>
          <w:bCs/>
          <w:color w:val="auto"/>
          <w:spacing w:val="0"/>
          <w:w w:val="100"/>
          <w:kern w:val="0"/>
          <w:position w:val="0"/>
          <w:sz w:val="48"/>
          <w:szCs w:val="48"/>
          <w:shd w:val="clear" w:color="auto" w:fill="FFFFFF"/>
          <w:lang w:val="en-US" w:eastAsia="zh-CN"/>
        </w:rPr>
      </w:pPr>
      <w:bookmarkStart w:id="0" w:name="_Toc9175"/>
      <w:r>
        <w:rPr>
          <w:rFonts w:hint="eastAsia" w:ascii="宋体" w:hAnsi="宋体" w:eastAsia="宋体" w:cs="宋体"/>
          <w:b/>
          <w:bCs/>
          <w:color w:val="auto"/>
          <w:spacing w:val="0"/>
          <w:w w:val="100"/>
          <w:kern w:val="0"/>
          <w:position w:val="0"/>
          <w:sz w:val="48"/>
          <w:szCs w:val="48"/>
          <w:shd w:val="clear" w:color="auto" w:fill="FFFFFF"/>
          <w:lang w:val="en-US" w:eastAsia="zh-CN"/>
        </w:rPr>
        <w:t>采购需求</w:t>
      </w:r>
      <w:bookmarkEnd w:id="0"/>
    </w:p>
    <w:p w14:paraId="0F2A714C">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240" w:beforeLines="100" w:after="240" w:afterLines="100"/>
        <w:ind w:firstLine="0"/>
        <w:jc w:val="center"/>
        <w:textAlignment w:val="baseline"/>
        <w:outlineLvl w:val="1"/>
        <w:rPr>
          <w:rFonts w:hint="eastAsia" w:ascii="宋体" w:hAnsi="宋体" w:eastAsia="宋体" w:cs="宋体"/>
          <w:b/>
          <w:bCs/>
          <w:color w:val="auto"/>
          <w:spacing w:val="0"/>
          <w:kern w:val="21"/>
          <w:sz w:val="32"/>
          <w:szCs w:val="32"/>
          <w:highlight w:val="none"/>
          <w:lang w:val="en-US" w:eastAsia="zh-CN"/>
        </w:rPr>
      </w:pPr>
      <w:bookmarkStart w:id="1" w:name="_Toc24681"/>
      <w:r>
        <w:rPr>
          <w:rFonts w:hint="eastAsia" w:ascii="宋体" w:hAnsi="宋体" w:eastAsia="宋体" w:cs="宋体"/>
          <w:b/>
          <w:bCs/>
          <w:color w:val="auto"/>
          <w:spacing w:val="0"/>
          <w:kern w:val="21"/>
          <w:sz w:val="32"/>
          <w:szCs w:val="32"/>
          <w:highlight w:val="none"/>
          <w:lang w:val="en-US" w:eastAsia="zh-CN"/>
        </w:rPr>
        <w:t>采购需求表</w:t>
      </w:r>
      <w:bookmarkEnd w:id="1"/>
    </w:p>
    <w:tbl>
      <w:tblPr>
        <w:tblStyle w:val="7"/>
        <w:tblW w:w="901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2865"/>
        <w:gridCol w:w="6150"/>
      </w:tblGrid>
      <w:tr w14:paraId="1C8660B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292" w:hRule="atLeast"/>
          <w:jc w:val="center"/>
        </w:trPr>
        <w:tc>
          <w:tcPr>
            <w:tcW w:w="2865" w:type="dxa"/>
            <w:tcBorders>
              <w:tl2br w:val="nil"/>
              <w:tr2bl w:val="nil"/>
            </w:tcBorders>
            <w:vAlign w:val="center"/>
            <mc:AlternateContent>
              <mc:Choice Requires="wpsCustomData">
                <wpsCustomData:diagonals>
                  <wpsCustomData:diagonal from="10000" to="30000">
                    <wpsCustomData:border w:val="single" w:color="000000" w:sz="4" w:space="0"/>
                  </wpsCustomData:diagonal>
                </wpsCustomData:diagonals>
              </mc:Choice>
            </mc:AlternateContent>
          </w:tcPr>
          <w:p w14:paraId="32D32111">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p>
          <w:p w14:paraId="21A1F8C8">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p>
          <w:p w14:paraId="65136131">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p>
          <w:p w14:paraId="6943E47B">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p>
          <w:p w14:paraId="537402C6">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mc:AlternateContent>
                <mc:Choice Requires="wpsCustomData">
                  <wpsCustomData:diagonalParaType/>
                </mc:Choice>
              </mc:AlternateContent>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名称</w:t>
            </w:r>
          </w:p>
          <w:p w14:paraId="2C7871CE">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p>
          <w:p w14:paraId="15BF016E">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内容</w:t>
            </w:r>
          </w:p>
        </w:tc>
        <w:tc>
          <w:tcPr>
            <w:tcW w:w="6150" w:type="dxa"/>
            <w:tcBorders>
              <w:tl2br w:val="nil"/>
              <w:tr2bl w:val="nil"/>
            </w:tcBorders>
            <w:vAlign w:val="center"/>
          </w:tcPr>
          <w:p w14:paraId="08CE9823">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电子胃肠镜维保</w:t>
            </w:r>
          </w:p>
        </w:tc>
      </w:tr>
      <w:tr w14:paraId="23D2DFA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904" w:hRule="atLeast"/>
          <w:jc w:val="center"/>
        </w:trPr>
        <w:tc>
          <w:tcPr>
            <w:tcW w:w="2865" w:type="dxa"/>
            <w:tcBorders>
              <w:tl2br w:val="nil"/>
              <w:tr2bl w:val="nil"/>
            </w:tcBorders>
            <w:vAlign w:val="center"/>
          </w:tcPr>
          <w:p w14:paraId="4F837650">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150" w:type="dxa"/>
            <w:tcBorders>
              <w:tl2br w:val="nil"/>
              <w:tr2bl w:val="nil"/>
            </w:tcBorders>
            <w:vAlign w:val="center"/>
          </w:tcPr>
          <w:p w14:paraId="0E4CD573">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1项</w:t>
            </w:r>
          </w:p>
        </w:tc>
      </w:tr>
      <w:tr w14:paraId="612DA0B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904" w:hRule="atLeast"/>
          <w:jc w:val="center"/>
        </w:trPr>
        <w:tc>
          <w:tcPr>
            <w:tcW w:w="2865" w:type="dxa"/>
            <w:tcBorders>
              <w:tl2br w:val="nil"/>
              <w:tr2bl w:val="nil"/>
            </w:tcBorders>
            <w:vAlign w:val="center"/>
          </w:tcPr>
          <w:p w14:paraId="74E77148">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r>
              <w:rPr>
                <w:rFonts w:hint="eastAsia" w:ascii="宋体" w:hAnsi="宋体" w:eastAsia="宋体" w:cs="宋体"/>
                <w:color w:val="auto"/>
                <w:spacing w:val="0"/>
                <w:position w:val="0"/>
                <w:sz w:val="24"/>
                <w:szCs w:val="24"/>
                <w:highlight w:val="none"/>
                <w:lang w:eastAsia="zh-CN"/>
              </w:rPr>
              <w:t>限</w:t>
            </w:r>
          </w:p>
        </w:tc>
        <w:tc>
          <w:tcPr>
            <w:tcW w:w="6150" w:type="dxa"/>
            <w:tcBorders>
              <w:tl2br w:val="nil"/>
              <w:tr2bl w:val="nil"/>
            </w:tcBorders>
            <w:vAlign w:val="center"/>
          </w:tcPr>
          <w:p w14:paraId="2856DFA6">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合同签订后2年。</w:t>
            </w:r>
          </w:p>
        </w:tc>
      </w:tr>
      <w:tr w14:paraId="19CBEEE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904" w:hRule="atLeast"/>
          <w:jc w:val="center"/>
        </w:trPr>
        <w:tc>
          <w:tcPr>
            <w:tcW w:w="2865" w:type="dxa"/>
            <w:tcBorders>
              <w:tl2br w:val="nil"/>
              <w:tr2bl w:val="nil"/>
            </w:tcBorders>
            <w:vAlign w:val="center"/>
          </w:tcPr>
          <w:p w14:paraId="69591CCF">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地点</w:t>
            </w:r>
          </w:p>
        </w:tc>
        <w:tc>
          <w:tcPr>
            <w:tcW w:w="6150" w:type="dxa"/>
            <w:tcBorders>
              <w:tl2br w:val="nil"/>
              <w:tr2bl w:val="nil"/>
            </w:tcBorders>
            <w:vAlign w:val="center"/>
          </w:tcPr>
          <w:p w14:paraId="4BB6DCE7">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采购人指定地点。</w:t>
            </w:r>
          </w:p>
        </w:tc>
      </w:tr>
      <w:tr w14:paraId="31E8564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909" w:hRule="atLeast"/>
          <w:jc w:val="center"/>
        </w:trPr>
        <w:tc>
          <w:tcPr>
            <w:tcW w:w="2865" w:type="dxa"/>
            <w:tcBorders>
              <w:tl2br w:val="nil"/>
              <w:tr2bl w:val="nil"/>
            </w:tcBorders>
            <w:vAlign w:val="center"/>
          </w:tcPr>
          <w:p w14:paraId="62C91BD2">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150" w:type="dxa"/>
            <w:tcBorders>
              <w:tl2br w:val="nil"/>
              <w:tr2bl w:val="nil"/>
            </w:tcBorders>
            <w:vAlign w:val="center"/>
          </w:tcPr>
          <w:p w14:paraId="350793D5">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w:t>
            </w:r>
          </w:p>
        </w:tc>
      </w:tr>
    </w:tbl>
    <w:p w14:paraId="4F86D054">
      <w:pPr>
        <w:pageBreakBefore w:val="0"/>
        <w:widowControl w:val="0"/>
        <w:wordWrap/>
        <w:overflowPunct/>
        <w:topLinePunct w:val="0"/>
        <w:bidi w:val="0"/>
        <w:rPr>
          <w:rFonts w:eastAsia="宋体"/>
          <w:color w:val="auto"/>
          <w:spacing w:val="0"/>
          <w:position w:val="0"/>
          <w:highlight w:val="none"/>
        </w:rPr>
      </w:pPr>
    </w:p>
    <w:p w14:paraId="0C0723DB">
      <w:pPr>
        <w:pageBreakBefore w:val="0"/>
        <w:widowControl w:val="0"/>
        <w:wordWrap/>
        <w:overflowPunct/>
        <w:topLinePunct w:val="0"/>
        <w:bidi w:val="0"/>
        <w:rPr>
          <w:rFonts w:eastAsia="宋体"/>
          <w:color w:val="auto"/>
          <w:spacing w:val="0"/>
          <w:position w:val="0"/>
          <w:highlight w:val="none"/>
        </w:rPr>
        <w:sectPr>
          <w:pgSz w:w="11906" w:h="16838"/>
          <w:pgMar w:top="1417" w:right="1417" w:bottom="1417" w:left="1417" w:header="624" w:footer="624" w:gutter="0"/>
          <w:paperSrc/>
          <w:pgBorders w:offsetFrom="page">
            <w:top w:val="thickThinMediumGap" w:color="auto" w:sz="24" w:space="24"/>
            <w:left w:val="thickThinMediumGap" w:color="auto" w:sz="24" w:space="24"/>
            <w:bottom w:val="thickThinMediumGap" w:color="auto" w:sz="24" w:space="24"/>
            <w:right w:val="thickThinMediumGap" w:color="auto" w:sz="24" w:space="24"/>
          </w:pgBorders>
          <w:pgNumType w:fmt="decimal"/>
          <w:cols w:space="0" w:num="1"/>
          <w:rtlGutter w:val="0"/>
          <w:docGrid w:linePitch="0" w:charSpace="0"/>
        </w:sectPr>
      </w:pPr>
    </w:p>
    <w:p w14:paraId="63C46ABF">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before="240" w:beforeLines="100" w:after="240" w:afterLines="100"/>
        <w:ind w:firstLine="0"/>
        <w:jc w:val="center"/>
        <w:textAlignment w:val="baseline"/>
        <w:outlineLvl w:val="1"/>
        <w:rPr>
          <w:rFonts w:hint="eastAsia" w:ascii="宋体" w:hAnsi="宋体" w:eastAsia="宋体" w:cs="宋体"/>
          <w:b/>
          <w:bCs/>
          <w:color w:val="auto"/>
          <w:spacing w:val="0"/>
          <w:kern w:val="21"/>
          <w:sz w:val="32"/>
          <w:szCs w:val="32"/>
          <w:highlight w:val="none"/>
          <w:lang w:val="en-US" w:eastAsia="zh-CN"/>
        </w:rPr>
      </w:pPr>
      <w:bookmarkStart w:id="2" w:name="bookmark81"/>
      <w:bookmarkEnd w:id="2"/>
      <w:bookmarkStart w:id="3" w:name="_Toc16198"/>
      <w:r>
        <w:rPr>
          <w:rFonts w:hint="eastAsia" w:ascii="宋体" w:hAnsi="宋体" w:eastAsia="宋体" w:cs="宋体"/>
          <w:b/>
          <w:bCs/>
          <w:color w:val="auto"/>
          <w:spacing w:val="0"/>
          <w:kern w:val="21"/>
          <w:sz w:val="32"/>
          <w:szCs w:val="32"/>
          <w:highlight w:val="none"/>
          <w:lang w:val="en-US" w:eastAsia="zh-CN"/>
        </w:rPr>
        <w:t>采购要求</w:t>
      </w:r>
      <w:bookmarkEnd w:id="3"/>
    </w:p>
    <w:p w14:paraId="213747FE">
      <w:pPr>
        <w:widowControl w:val="0"/>
        <w:numPr>
          <w:ilvl w:val="0"/>
          <w:numId w:val="3"/>
        </w:numPr>
        <w:spacing w:before="240" w:beforeLines="100" w:after="240" w:afterLines="100"/>
        <w:ind w:firstLine="0"/>
        <w:jc w:val="center"/>
        <w:outlineLvl w:val="2"/>
        <w:rPr>
          <w:rFonts w:ascii="宋体" w:hAnsi="宋体" w:eastAsia="宋体" w:cs="宋体"/>
          <w:b/>
          <w:bCs/>
          <w:color w:val="auto"/>
          <w:spacing w:val="0"/>
          <w:kern w:val="21"/>
          <w:sz w:val="32"/>
          <w:szCs w:val="32"/>
          <w:highlight w:val="none"/>
        </w:rPr>
      </w:pPr>
      <w:r>
        <w:rPr>
          <w:rFonts w:hint="eastAsia" w:ascii="宋体" w:hAnsi="宋体" w:eastAsia="宋体" w:cs="宋体"/>
          <w:b/>
          <w:bCs/>
          <w:color w:val="auto"/>
          <w:spacing w:val="0"/>
          <w:kern w:val="21"/>
          <w:sz w:val="32"/>
          <w:szCs w:val="32"/>
          <w:highlight w:val="none"/>
          <w:lang w:val="en-US" w:eastAsia="zh-CN"/>
        </w:rPr>
        <w:t>服务</w:t>
      </w:r>
      <w:r>
        <w:rPr>
          <w:rFonts w:hint="eastAsia" w:ascii="宋体" w:hAnsi="宋体" w:eastAsia="宋体" w:cs="宋体"/>
          <w:b/>
          <w:bCs/>
          <w:color w:val="auto"/>
          <w:spacing w:val="0"/>
          <w:kern w:val="21"/>
          <w:sz w:val="32"/>
          <w:szCs w:val="32"/>
          <w:highlight w:val="none"/>
          <w:lang w:eastAsia="zh-CN"/>
        </w:rPr>
        <w:t>要求</w:t>
      </w:r>
    </w:p>
    <w:p w14:paraId="0449BC33">
      <w:pPr>
        <w:pStyle w:val="8"/>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1、维保设备：电子内镜：11条</w:t>
      </w:r>
      <w:r>
        <w:rPr>
          <w:rFonts w:hint="eastAsia" w:asciiTheme="minorEastAsia" w:hAnsiTheme="minorEastAsia" w:eastAsiaTheme="minorEastAsia" w:cstheme="minorEastAsia"/>
          <w:b/>
          <w:bCs/>
          <w:color w:val="000000"/>
          <w:sz w:val="24"/>
          <w:szCs w:val="24"/>
          <w:lang w:eastAsia="zh-CN"/>
        </w:rPr>
        <w:t>（详见附件 1：奥林巴斯内镜维保清单）</w:t>
      </w:r>
    </w:p>
    <w:p w14:paraId="33EB2CCA">
      <w:pPr>
        <w:pStyle w:val="8"/>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2、定期保养：制定完整有效的保养计划，以保证设备处于最佳运行状态。</w:t>
      </w:r>
    </w:p>
    <w:p w14:paraId="6154922A">
      <w:pPr>
        <w:pStyle w:val="8"/>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（1）合同期内每季度巡检清点保养一次；</w:t>
      </w:r>
    </w:p>
    <w:p w14:paraId="51981A51">
      <w:pPr>
        <w:pStyle w:val="8"/>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（2）按照保养计划检查设备整体运行情况；</w:t>
      </w:r>
    </w:p>
    <w:p w14:paraId="3C58AEAB">
      <w:pPr>
        <w:pStyle w:val="8"/>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（3）确认奥林巴斯主机和镜子的各项技术指标及性能是否正常；</w:t>
      </w:r>
    </w:p>
    <w:p w14:paraId="373472E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（4）记录设备运行状况；</w:t>
      </w:r>
    </w:p>
    <w:p w14:paraId="441E1724">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（5）每年要把设备的安全检查，运行状态检查，维修情况等以正式书面形式提供给医院；</w:t>
      </w:r>
    </w:p>
    <w:p w14:paraId="4E5160E6">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3、保养工作包括提供奥林巴斯镜子检漏、外观检查、水气及吸引按钮功能、角度、遥控按钮功能、图像质量、成像主机、冷光源等方面保养。</w:t>
      </w:r>
    </w:p>
    <w:p w14:paraId="4C4FD047">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4、维保期内,工程师不定期到医院进行巡检，提供24小时*7天的电话支持服务。</w:t>
      </w:r>
    </w:p>
    <w:p w14:paraId="4EE6DDBF">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5、接到采购人的报修通知后，供应商的售后服务人员能在12小时内到达现场进行服务，维修周期最长不超过20天。</w:t>
      </w:r>
    </w:p>
    <w:p w14:paraId="00F6FDB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6、维保方拟配备本项目的维修工程师团队需具有相应设备维修能力，至少配备三名具有奥林巴斯内镜设备维修能力且接受过奥林巴斯原厂培训合格的工程师。</w:t>
      </w:r>
      <w:r>
        <w:rPr>
          <w:rFonts w:hint="eastAsia" w:asciiTheme="minorEastAsia" w:hAnsiTheme="minorEastAsia" w:eastAsiaTheme="minorEastAsia" w:cstheme="minorEastAsia"/>
          <w:b/>
          <w:bCs/>
          <w:color w:val="auto"/>
          <w:sz w:val="24"/>
          <w:szCs w:val="24"/>
          <w:highlight w:val="none"/>
          <w:lang w:eastAsia="zh-CN"/>
        </w:rPr>
        <w:t>（响应文件中提供工程师的培训合格证书或资格证明，未提供作无效响应处理）</w:t>
      </w:r>
    </w:p>
    <w:p w14:paraId="7B84D91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7、对需外送拆卸维修的设备，维保方应提供奥林巴斯内镜检修情况报告，并附检测故障的报告和图片。</w:t>
      </w:r>
      <w:bookmarkStart w:id="4" w:name="_GoBack"/>
      <w:bookmarkEnd w:id="4"/>
    </w:p>
    <w:p w14:paraId="16F04E62">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8、设备（含奥林巴斯内镜）外送维修期间，维保方须及时提供同品牌备用设备，保证采购人的正常运行。</w:t>
      </w:r>
    </w:p>
    <w:p w14:paraId="7BA86237">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9、维保方半年向采购人提供维保情况小结（包括维修保养次数、更换备件清单等维修资料），维保期满提供维保期内的服务情况总结，备件必须是原厂原装全新配件。</w:t>
      </w:r>
    </w:p>
    <w:p w14:paraId="286C204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10、保修期内维修中由供应商视故障情况自行决定是否修理或更换零部件,但应事先告知采购人并征采购人同意。</w:t>
      </w:r>
    </w:p>
    <w:p w14:paraId="48EE6CE6">
      <w:pPr>
        <w:pStyle w:val="9"/>
        <w:keepNext w:val="0"/>
        <w:keepLines w:val="0"/>
        <w:pageBreakBefore w:val="0"/>
        <w:widowControl/>
        <w:numPr>
          <w:ilvl w:val="0"/>
          <w:numId w:val="4"/>
        </w:numPr>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提供的所有更换的备件为原厂原装同品牌同型号全新且为该设备制造商认证产品或为经该设备制造商测试合格产品。</w:t>
      </w:r>
    </w:p>
    <w:p w14:paraId="3E2DFF9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12、维保方须保证维保期内设备开机率不低于95%(即≥95%)，开机率=(1-出现停机状况的日历日(累计)÷365日)*100%。由于维保方的原因开机率未能达到95%以上，停机每超过一天，质保期顺延5天，并提供备用机给采购方正常使用。</w:t>
      </w:r>
    </w:p>
    <w:p w14:paraId="442ACFF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13、保修期内总价已包含采购人所有应付款项，维保方承诺保修期间在保目录内设备的维修服务不另收取配件费、运输费、检测费、保养费、上门费及工时费等,且所有维修没有次数限制。</w:t>
      </w:r>
    </w:p>
    <w:p w14:paraId="472648B0">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14、在保修合同执行期间，经采购人同意后免费软件升级。</w:t>
      </w:r>
    </w:p>
    <w:p w14:paraId="446678C6">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15、培训服务：每年至少提供2次及以上临床应用新进展培训或提供维保、升级使用等相关培训。</w:t>
      </w:r>
    </w:p>
    <w:p w14:paraId="056C2DB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0" w:firstLineChars="200"/>
        <w:jc w:val="left"/>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16、供应商在国内设有专业、充足的设备零备件及备用镜，有同品牌同型号来源合法合规的奥林巴斯290系列型号备用镜不少于</w:t>
      </w:r>
      <w:r>
        <w:rPr>
          <w:rFonts w:hint="eastAsia" w:asciiTheme="minorEastAsia" w:hAnsiTheme="minorEastAsia" w:eastAsiaTheme="minorEastAsia" w:cstheme="minorEastAsia"/>
          <w:color w:val="auto"/>
          <w:sz w:val="24"/>
          <w:szCs w:val="24"/>
          <w:lang w:val="en-US" w:eastAsia="zh-CN"/>
        </w:rPr>
        <w:t>11</w:t>
      </w:r>
      <w:r>
        <w:rPr>
          <w:rFonts w:hint="eastAsia" w:asciiTheme="minorEastAsia" w:hAnsiTheme="minorEastAsia" w:eastAsiaTheme="minorEastAsia" w:cstheme="minorEastAsia"/>
          <w:color w:val="auto"/>
          <w:sz w:val="24"/>
          <w:szCs w:val="24"/>
          <w:lang w:eastAsia="zh-CN"/>
        </w:rPr>
        <w:t>条，并能获取原厂系统升级服务。</w:t>
      </w:r>
    </w:p>
    <w:p w14:paraId="630989C7">
      <w:pPr>
        <w:pStyle w:val="9"/>
        <w:keepNext w:val="0"/>
        <w:keepLines w:val="0"/>
        <w:pageBreakBefore w:val="0"/>
        <w:widowControl/>
        <w:kinsoku/>
        <w:wordWrap/>
        <w:overflowPunct/>
        <w:topLinePunct w:val="0"/>
        <w:autoSpaceDE/>
        <w:autoSpaceDN/>
        <w:bidi w:val="0"/>
        <w:adjustRightInd/>
        <w:snapToGrid/>
        <w:spacing w:before="0" w:beforeLines="100" w:after="0" w:afterLines="100" w:line="240" w:lineRule="auto"/>
        <w:jc w:val="center"/>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t>奥林巴斯内镜维保清单（附件1）</w:t>
      </w:r>
    </w:p>
    <w:tbl>
      <w:tblPr>
        <w:tblStyle w:val="5"/>
        <w:tblW w:w="921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1"/>
        <w:gridCol w:w="2550"/>
        <w:gridCol w:w="2813"/>
        <w:gridCol w:w="2884"/>
      </w:tblGrid>
      <w:tr w14:paraId="6AD1915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376099F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t>序号</w:t>
            </w:r>
          </w:p>
        </w:tc>
        <w:tc>
          <w:tcPr>
            <w:tcW w:w="2550" w:type="dxa"/>
            <w:tcBorders>
              <w:tl2br w:val="nil"/>
              <w:tr2bl w:val="nil"/>
            </w:tcBorders>
            <w:noWrap w:val="0"/>
            <w:vAlign w:val="center"/>
          </w:tcPr>
          <w:p w14:paraId="79386AA3">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t>型号</w:t>
            </w:r>
          </w:p>
        </w:tc>
        <w:tc>
          <w:tcPr>
            <w:tcW w:w="2813" w:type="dxa"/>
            <w:tcBorders>
              <w:tl2br w:val="nil"/>
              <w:tr2bl w:val="nil"/>
            </w:tcBorders>
            <w:noWrap w:val="0"/>
            <w:vAlign w:val="center"/>
          </w:tcPr>
          <w:p w14:paraId="341CF87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t>名称</w:t>
            </w:r>
          </w:p>
        </w:tc>
        <w:tc>
          <w:tcPr>
            <w:tcW w:w="2884" w:type="dxa"/>
            <w:tcBorders>
              <w:tl2br w:val="nil"/>
              <w:tr2bl w:val="nil"/>
            </w:tcBorders>
            <w:noWrap w:val="0"/>
            <w:vAlign w:val="center"/>
          </w:tcPr>
          <w:p w14:paraId="5D293062">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eastAsia="zh-CN"/>
              </w:rPr>
              <w:t>机身号</w:t>
            </w:r>
          </w:p>
        </w:tc>
      </w:tr>
      <w:tr w14:paraId="3D87F0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1B93B11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w:t>
            </w:r>
          </w:p>
        </w:tc>
        <w:tc>
          <w:tcPr>
            <w:tcW w:w="2550" w:type="dxa"/>
            <w:tcBorders>
              <w:tl2br w:val="nil"/>
              <w:tr2bl w:val="nil"/>
            </w:tcBorders>
            <w:noWrap w:val="0"/>
            <w:vAlign w:val="center"/>
          </w:tcPr>
          <w:p w14:paraId="17C66EE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CF-H290I</w:t>
            </w:r>
          </w:p>
        </w:tc>
        <w:tc>
          <w:tcPr>
            <w:tcW w:w="2813" w:type="dxa"/>
            <w:tcBorders>
              <w:tl2br w:val="nil"/>
              <w:tr2bl w:val="nil"/>
            </w:tcBorders>
            <w:noWrap w:val="0"/>
            <w:vAlign w:val="center"/>
          </w:tcPr>
          <w:p w14:paraId="1F2DD65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4814CB86">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2046065</w:t>
            </w:r>
          </w:p>
        </w:tc>
      </w:tr>
      <w:tr w14:paraId="47454F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11485AA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w:t>
            </w:r>
          </w:p>
        </w:tc>
        <w:tc>
          <w:tcPr>
            <w:tcW w:w="2550" w:type="dxa"/>
            <w:tcBorders>
              <w:tl2br w:val="nil"/>
              <w:tr2bl w:val="nil"/>
            </w:tcBorders>
            <w:noWrap w:val="0"/>
            <w:vAlign w:val="center"/>
          </w:tcPr>
          <w:p w14:paraId="4D502FD2">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CF-H290I</w:t>
            </w:r>
          </w:p>
        </w:tc>
        <w:tc>
          <w:tcPr>
            <w:tcW w:w="2813" w:type="dxa"/>
            <w:tcBorders>
              <w:tl2br w:val="nil"/>
              <w:tr2bl w:val="nil"/>
            </w:tcBorders>
            <w:noWrap w:val="0"/>
            <w:vAlign w:val="center"/>
          </w:tcPr>
          <w:p w14:paraId="0255E5C5">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4F68AF9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2046062</w:t>
            </w:r>
          </w:p>
        </w:tc>
      </w:tr>
      <w:tr w14:paraId="5C8848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2CC41FD6">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3</w:t>
            </w:r>
          </w:p>
        </w:tc>
        <w:tc>
          <w:tcPr>
            <w:tcW w:w="2550" w:type="dxa"/>
            <w:tcBorders>
              <w:tl2br w:val="nil"/>
              <w:tr2bl w:val="nil"/>
            </w:tcBorders>
            <w:noWrap w:val="0"/>
            <w:vAlign w:val="center"/>
          </w:tcPr>
          <w:p w14:paraId="115CFACF">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CF-H290I</w:t>
            </w:r>
          </w:p>
        </w:tc>
        <w:tc>
          <w:tcPr>
            <w:tcW w:w="2813" w:type="dxa"/>
            <w:tcBorders>
              <w:tl2br w:val="nil"/>
              <w:tr2bl w:val="nil"/>
            </w:tcBorders>
            <w:noWrap w:val="0"/>
            <w:vAlign w:val="center"/>
          </w:tcPr>
          <w:p w14:paraId="0F06E126">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0E48A830">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2046070</w:t>
            </w:r>
          </w:p>
        </w:tc>
      </w:tr>
      <w:tr w14:paraId="75D26E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2684C0C5">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4</w:t>
            </w:r>
          </w:p>
        </w:tc>
        <w:tc>
          <w:tcPr>
            <w:tcW w:w="2550" w:type="dxa"/>
            <w:tcBorders>
              <w:tl2br w:val="nil"/>
              <w:tr2bl w:val="nil"/>
            </w:tcBorders>
            <w:noWrap w:val="0"/>
            <w:vAlign w:val="center"/>
          </w:tcPr>
          <w:p w14:paraId="1A3A171E">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CF-H290I</w:t>
            </w:r>
          </w:p>
        </w:tc>
        <w:tc>
          <w:tcPr>
            <w:tcW w:w="2813" w:type="dxa"/>
            <w:tcBorders>
              <w:tl2br w:val="nil"/>
              <w:tr2bl w:val="nil"/>
            </w:tcBorders>
            <w:noWrap w:val="0"/>
            <w:vAlign w:val="center"/>
          </w:tcPr>
          <w:p w14:paraId="4C2FFA4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1CE53A5D">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2046067</w:t>
            </w:r>
          </w:p>
        </w:tc>
      </w:tr>
      <w:tr w14:paraId="17A16E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611E0C39">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5</w:t>
            </w:r>
          </w:p>
        </w:tc>
        <w:tc>
          <w:tcPr>
            <w:tcW w:w="2550" w:type="dxa"/>
            <w:tcBorders>
              <w:tl2br w:val="nil"/>
              <w:tr2bl w:val="nil"/>
            </w:tcBorders>
            <w:noWrap w:val="0"/>
            <w:vAlign w:val="center"/>
          </w:tcPr>
          <w:p w14:paraId="61FAFD00">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CF-HQ290ZI</w:t>
            </w:r>
          </w:p>
        </w:tc>
        <w:tc>
          <w:tcPr>
            <w:tcW w:w="2813" w:type="dxa"/>
            <w:tcBorders>
              <w:tl2br w:val="nil"/>
              <w:tr2bl w:val="nil"/>
            </w:tcBorders>
            <w:noWrap w:val="0"/>
            <w:vAlign w:val="center"/>
          </w:tcPr>
          <w:p w14:paraId="2DD11776">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4F92AADF">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2022570</w:t>
            </w:r>
          </w:p>
        </w:tc>
      </w:tr>
      <w:tr w14:paraId="2CC0DF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7C66BD84">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6</w:t>
            </w:r>
          </w:p>
        </w:tc>
        <w:tc>
          <w:tcPr>
            <w:tcW w:w="2550" w:type="dxa"/>
            <w:tcBorders>
              <w:tl2br w:val="nil"/>
              <w:tr2bl w:val="nil"/>
            </w:tcBorders>
            <w:noWrap w:val="0"/>
            <w:vAlign w:val="center"/>
          </w:tcPr>
          <w:p w14:paraId="2E7C0E6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PCF-H290DI</w:t>
            </w:r>
          </w:p>
        </w:tc>
        <w:tc>
          <w:tcPr>
            <w:tcW w:w="2813" w:type="dxa"/>
            <w:tcBorders>
              <w:tl2br w:val="nil"/>
              <w:tr2bl w:val="nil"/>
            </w:tcBorders>
            <w:noWrap w:val="0"/>
            <w:vAlign w:val="center"/>
          </w:tcPr>
          <w:p w14:paraId="1AB1EFC8">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35A57503">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2030568</w:t>
            </w:r>
          </w:p>
        </w:tc>
      </w:tr>
      <w:tr w14:paraId="373109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639F8C1C">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7</w:t>
            </w:r>
          </w:p>
        </w:tc>
        <w:tc>
          <w:tcPr>
            <w:tcW w:w="2550" w:type="dxa"/>
            <w:tcBorders>
              <w:tl2br w:val="nil"/>
              <w:tr2bl w:val="nil"/>
            </w:tcBorders>
            <w:noWrap w:val="0"/>
            <w:vAlign w:val="center"/>
          </w:tcPr>
          <w:p w14:paraId="69F7265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CF-HQ290ZI</w:t>
            </w:r>
          </w:p>
        </w:tc>
        <w:tc>
          <w:tcPr>
            <w:tcW w:w="2813" w:type="dxa"/>
            <w:tcBorders>
              <w:tl2br w:val="nil"/>
              <w:tr2bl w:val="nil"/>
            </w:tcBorders>
            <w:noWrap w:val="0"/>
            <w:vAlign w:val="center"/>
          </w:tcPr>
          <w:p w14:paraId="1506428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电子结肠镜</w:t>
            </w:r>
          </w:p>
        </w:tc>
        <w:tc>
          <w:tcPr>
            <w:tcW w:w="2884" w:type="dxa"/>
            <w:tcBorders>
              <w:tl2br w:val="nil"/>
              <w:tr2bl w:val="nil"/>
            </w:tcBorders>
            <w:noWrap w:val="0"/>
            <w:vAlign w:val="center"/>
          </w:tcPr>
          <w:p w14:paraId="5A4B0D80">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2022557</w:t>
            </w:r>
          </w:p>
        </w:tc>
      </w:tr>
      <w:tr w14:paraId="3E7E81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3D2AD5B7">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8</w:t>
            </w:r>
          </w:p>
        </w:tc>
        <w:tc>
          <w:tcPr>
            <w:tcW w:w="2550" w:type="dxa"/>
            <w:tcBorders>
              <w:tl2br w:val="nil"/>
              <w:tr2bl w:val="nil"/>
            </w:tcBorders>
            <w:noWrap w:val="0"/>
            <w:vAlign w:val="center"/>
          </w:tcPr>
          <w:p w14:paraId="43668784">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GIF-H290Z</w:t>
            </w:r>
          </w:p>
        </w:tc>
        <w:tc>
          <w:tcPr>
            <w:tcW w:w="2813" w:type="dxa"/>
            <w:tcBorders>
              <w:tl2br w:val="nil"/>
              <w:tr2bl w:val="nil"/>
            </w:tcBorders>
            <w:noWrap w:val="0"/>
            <w:vAlign w:val="center"/>
          </w:tcPr>
          <w:p w14:paraId="73461C97">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电子胃镜</w:t>
            </w:r>
          </w:p>
        </w:tc>
        <w:tc>
          <w:tcPr>
            <w:tcW w:w="2884" w:type="dxa"/>
            <w:tcBorders>
              <w:tl2br w:val="nil"/>
              <w:tr2bl w:val="nil"/>
            </w:tcBorders>
            <w:noWrap w:val="0"/>
            <w:vAlign w:val="center"/>
          </w:tcPr>
          <w:p w14:paraId="450EA5CB">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2036307</w:t>
            </w:r>
          </w:p>
        </w:tc>
      </w:tr>
      <w:tr w14:paraId="22433F1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0F4C6391">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9</w:t>
            </w:r>
          </w:p>
        </w:tc>
        <w:tc>
          <w:tcPr>
            <w:tcW w:w="2550" w:type="dxa"/>
            <w:tcBorders>
              <w:tl2br w:val="nil"/>
              <w:tr2bl w:val="nil"/>
            </w:tcBorders>
            <w:noWrap w:val="0"/>
            <w:vAlign w:val="center"/>
          </w:tcPr>
          <w:p w14:paraId="71E2179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GIF-H290</w:t>
            </w:r>
          </w:p>
        </w:tc>
        <w:tc>
          <w:tcPr>
            <w:tcW w:w="2813" w:type="dxa"/>
            <w:tcBorders>
              <w:tl2br w:val="nil"/>
              <w:tr2bl w:val="nil"/>
            </w:tcBorders>
            <w:noWrap w:val="0"/>
            <w:vAlign w:val="center"/>
          </w:tcPr>
          <w:p w14:paraId="3298EE05">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电子胃镜</w:t>
            </w:r>
          </w:p>
        </w:tc>
        <w:tc>
          <w:tcPr>
            <w:tcW w:w="2884" w:type="dxa"/>
            <w:tcBorders>
              <w:tl2br w:val="nil"/>
              <w:tr2bl w:val="nil"/>
            </w:tcBorders>
            <w:noWrap w:val="0"/>
            <w:vAlign w:val="center"/>
          </w:tcPr>
          <w:p w14:paraId="4EF363AE">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2054576</w:t>
            </w:r>
          </w:p>
        </w:tc>
      </w:tr>
      <w:tr w14:paraId="47E844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60E00B9B">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10</w:t>
            </w:r>
          </w:p>
        </w:tc>
        <w:tc>
          <w:tcPr>
            <w:tcW w:w="2550" w:type="dxa"/>
            <w:tcBorders>
              <w:tl2br w:val="nil"/>
              <w:tr2bl w:val="nil"/>
            </w:tcBorders>
            <w:noWrap w:val="0"/>
            <w:vAlign w:val="center"/>
          </w:tcPr>
          <w:p w14:paraId="36EE5960">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GIF-Q260J</w:t>
            </w:r>
          </w:p>
        </w:tc>
        <w:tc>
          <w:tcPr>
            <w:tcW w:w="2813" w:type="dxa"/>
            <w:tcBorders>
              <w:tl2br w:val="nil"/>
              <w:tr2bl w:val="nil"/>
            </w:tcBorders>
            <w:noWrap w:val="0"/>
            <w:vAlign w:val="center"/>
          </w:tcPr>
          <w:p w14:paraId="59973F68">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电子胃镜</w:t>
            </w:r>
          </w:p>
        </w:tc>
        <w:tc>
          <w:tcPr>
            <w:tcW w:w="2884" w:type="dxa"/>
            <w:tcBorders>
              <w:tl2br w:val="nil"/>
              <w:tr2bl w:val="nil"/>
            </w:tcBorders>
            <w:noWrap w:val="0"/>
            <w:vAlign w:val="center"/>
          </w:tcPr>
          <w:p w14:paraId="092C0E66">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2028157</w:t>
            </w:r>
          </w:p>
        </w:tc>
      </w:tr>
      <w:tr w14:paraId="4A0FA53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971" w:type="dxa"/>
            <w:tcBorders>
              <w:tl2br w:val="nil"/>
              <w:tr2bl w:val="nil"/>
            </w:tcBorders>
            <w:noWrap w:val="0"/>
            <w:vAlign w:val="center"/>
          </w:tcPr>
          <w:p w14:paraId="637E9124">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11</w:t>
            </w:r>
          </w:p>
        </w:tc>
        <w:tc>
          <w:tcPr>
            <w:tcW w:w="2550" w:type="dxa"/>
            <w:tcBorders>
              <w:tl2br w:val="nil"/>
              <w:tr2bl w:val="nil"/>
            </w:tcBorders>
            <w:noWrap w:val="0"/>
            <w:vAlign w:val="center"/>
          </w:tcPr>
          <w:p w14:paraId="6918EA78">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GIF-H290</w:t>
            </w:r>
          </w:p>
        </w:tc>
        <w:tc>
          <w:tcPr>
            <w:tcW w:w="2813" w:type="dxa"/>
            <w:tcBorders>
              <w:tl2br w:val="nil"/>
              <w:tr2bl w:val="nil"/>
            </w:tcBorders>
            <w:noWrap w:val="0"/>
            <w:vAlign w:val="center"/>
          </w:tcPr>
          <w:p w14:paraId="6DDB7D0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lang w:eastAsia="zh-CN"/>
              </w:rPr>
              <w:t>电子胃镜</w:t>
            </w:r>
          </w:p>
        </w:tc>
        <w:tc>
          <w:tcPr>
            <w:tcW w:w="2884" w:type="dxa"/>
            <w:tcBorders>
              <w:tl2br w:val="nil"/>
              <w:tr2bl w:val="nil"/>
            </w:tcBorders>
            <w:noWrap w:val="0"/>
            <w:vAlign w:val="center"/>
          </w:tcPr>
          <w:p w14:paraId="1AA3AD7A">
            <w:pPr>
              <w:pStyle w:val="9"/>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eastAsia="zh-CN"/>
              </w:rPr>
              <w:t>2054606</w:t>
            </w:r>
          </w:p>
        </w:tc>
      </w:tr>
    </w:tbl>
    <w:p w14:paraId="46ADB8F1">
      <w:pPr>
        <w:pStyle w:val="4"/>
        <w:sectPr>
          <w:footerReference r:id="rId3" w:type="default"/>
          <w:pgSz w:w="11906" w:h="16838"/>
          <w:pgMar w:top="1417" w:right="1417" w:bottom="1417" w:left="1417" w:header="624" w:footer="624" w:gutter="0"/>
          <w:paperSrc/>
          <w:pgBorders w:offsetFrom="page">
            <w:top w:val="thickThinMediumGap" w:color="auto" w:sz="24" w:space="24"/>
            <w:left w:val="thickThinMediumGap" w:color="auto" w:sz="24" w:space="24"/>
            <w:bottom w:val="thickThinMediumGap" w:color="auto" w:sz="24" w:space="24"/>
            <w:right w:val="thickThinMediumGap" w:color="auto" w:sz="24" w:space="24"/>
          </w:pgBorders>
          <w:pgNumType w:fmt="decimal"/>
          <w:cols w:space="0" w:num="1"/>
          <w:rtlGutter w:val="0"/>
          <w:docGrid w:linePitch="0" w:charSpace="0"/>
        </w:sectPr>
      </w:pPr>
    </w:p>
    <w:p w14:paraId="6CD0063E">
      <w:pPr>
        <w:widowControl w:val="0"/>
        <w:numPr>
          <w:ilvl w:val="0"/>
          <w:numId w:val="3"/>
        </w:numPr>
        <w:spacing w:before="240" w:beforeLines="100" w:after="240" w:afterLines="100"/>
        <w:ind w:firstLine="0"/>
        <w:jc w:val="center"/>
        <w:outlineLvl w:val="2"/>
        <w:rPr>
          <w:rFonts w:hint="eastAsia" w:ascii="宋体" w:hAnsi="宋体" w:eastAsia="宋体" w:cs="宋体"/>
          <w:b/>
          <w:bCs/>
          <w:color w:val="auto"/>
          <w:spacing w:val="0"/>
          <w:kern w:val="21"/>
          <w:sz w:val="32"/>
          <w:szCs w:val="32"/>
          <w:highlight w:val="none"/>
          <w:lang w:val="en-US" w:eastAsia="zh-CN"/>
        </w:rPr>
      </w:pPr>
      <w:r>
        <w:rPr>
          <w:rFonts w:hint="eastAsia" w:ascii="宋体" w:hAnsi="宋体" w:eastAsia="宋体" w:cs="宋体"/>
          <w:b/>
          <w:bCs/>
          <w:color w:val="auto"/>
          <w:spacing w:val="0"/>
          <w:kern w:val="21"/>
          <w:sz w:val="32"/>
          <w:szCs w:val="32"/>
          <w:highlight w:val="none"/>
          <w:lang w:val="en-US" w:eastAsia="zh-CN"/>
        </w:rPr>
        <w:t>商务条件</w:t>
      </w:r>
    </w:p>
    <w:p w14:paraId="6D627EEC">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auto"/>
          <w:sz w:val="24"/>
          <w:szCs w:val="24"/>
          <w:lang w:eastAsia="zh-CN"/>
        </w:rPr>
        <w:t>1、</w:t>
      </w:r>
      <w:r>
        <w:rPr>
          <w:rFonts w:hint="eastAsia" w:asciiTheme="minorEastAsia" w:hAnsiTheme="minorEastAsia" w:eastAsiaTheme="minorEastAsia" w:cstheme="minorEastAsia"/>
          <w:b/>
          <w:bCs/>
          <w:color w:val="000000"/>
          <w:sz w:val="24"/>
          <w:szCs w:val="24"/>
          <w:lang w:val="en-US" w:eastAsia="zh-CN"/>
        </w:rPr>
        <w:t>服务地点：</w:t>
      </w:r>
      <w:r>
        <w:rPr>
          <w:rFonts w:hint="eastAsia" w:asciiTheme="minorEastAsia" w:hAnsiTheme="minorEastAsia" w:eastAsiaTheme="minorEastAsia" w:cstheme="minorEastAsia"/>
          <w:b w:val="0"/>
          <w:bCs w:val="0"/>
          <w:color w:val="000000"/>
          <w:sz w:val="24"/>
          <w:szCs w:val="24"/>
          <w:lang w:val="en-US" w:eastAsia="zh-CN"/>
        </w:rPr>
        <w:t>采购人指定地点。</w:t>
      </w:r>
    </w:p>
    <w:p w14:paraId="3DB84C9F">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2</w:t>
      </w:r>
      <w:r>
        <w:rPr>
          <w:rFonts w:hint="eastAsia" w:asciiTheme="minorEastAsia" w:hAnsiTheme="minorEastAsia" w:eastAsiaTheme="minorEastAsia" w:cstheme="minorEastAsia"/>
          <w:b/>
          <w:bCs/>
          <w:color w:val="000000"/>
          <w:sz w:val="24"/>
          <w:szCs w:val="24"/>
          <w:lang w:eastAsia="zh-CN"/>
        </w:rPr>
        <w:t>、合同履行期限：</w:t>
      </w:r>
      <w:r>
        <w:rPr>
          <w:rFonts w:hint="eastAsia" w:asciiTheme="minorEastAsia" w:hAnsiTheme="minorEastAsia" w:eastAsiaTheme="minorEastAsia" w:cstheme="minorEastAsia"/>
          <w:b w:val="0"/>
          <w:bCs w:val="0"/>
          <w:color w:val="000000"/>
          <w:sz w:val="24"/>
          <w:szCs w:val="24"/>
          <w:lang w:val="en-US" w:eastAsia="zh-CN"/>
        </w:rPr>
        <w:t>在成交通知书发出二十日内和采购人签订合同，自合同签订之日起履约期限为2年。</w:t>
      </w:r>
    </w:p>
    <w:p w14:paraId="352FCFA9">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val="0"/>
          <w:bCs w:val="0"/>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3、履约保证金：</w:t>
      </w:r>
      <w:r>
        <w:rPr>
          <w:rFonts w:hint="eastAsia" w:asciiTheme="minorEastAsia" w:hAnsiTheme="minorEastAsia" w:eastAsiaTheme="minorEastAsia" w:cstheme="minorEastAsia"/>
          <w:b w:val="0"/>
          <w:bCs w:val="0"/>
          <w:color w:val="000000"/>
          <w:sz w:val="24"/>
          <w:szCs w:val="24"/>
          <w:lang w:val="en-US" w:eastAsia="zh-CN"/>
        </w:rPr>
        <w:t>成交供应商须在中标（成交）通知书发出之日起20天内向采购人提交成交（合同）金额5%的履约保证金（履约保证金以银行转账（电汇）、支票、汇票、本票或者金融机构、担保机构出具的保函等非现金形式提交）。如履约保证金是以保函的形式提交，成交供应商须按采购人要求的保函格式提供，保函有效期至少到合同期满。履约保证金由采购人收取，如发生违约，采购人可从履约保证金中扣除，于合同期满或合同中止后结算。履约保证金在成交供应商履行完合同约定义务事项后，经成交供应商申请后一个月内一次性不计息退还。</w:t>
      </w:r>
    </w:p>
    <w:p w14:paraId="5C952683">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4</w:t>
      </w:r>
      <w:r>
        <w:rPr>
          <w:rFonts w:hint="eastAsia" w:asciiTheme="minorEastAsia" w:hAnsiTheme="minorEastAsia" w:eastAsiaTheme="minorEastAsia" w:cstheme="minorEastAsia"/>
          <w:b/>
          <w:bCs/>
          <w:color w:val="000000"/>
          <w:sz w:val="24"/>
          <w:szCs w:val="24"/>
          <w:lang w:eastAsia="zh-CN"/>
        </w:rPr>
        <w:t>、</w:t>
      </w:r>
      <w:r>
        <w:rPr>
          <w:rFonts w:hint="eastAsia" w:asciiTheme="minorEastAsia" w:hAnsiTheme="minorEastAsia" w:eastAsiaTheme="minorEastAsia" w:cstheme="minorEastAsia"/>
          <w:b/>
          <w:bCs/>
          <w:color w:val="000000"/>
          <w:sz w:val="24"/>
          <w:szCs w:val="24"/>
          <w:lang w:val="en-US" w:eastAsia="zh-CN"/>
        </w:rPr>
        <w:t>结算及支付方式</w:t>
      </w:r>
      <w:r>
        <w:rPr>
          <w:rFonts w:hint="eastAsia" w:asciiTheme="minorEastAsia" w:hAnsiTheme="minorEastAsia" w:eastAsiaTheme="minorEastAsia" w:cstheme="minorEastAsia"/>
          <w:b/>
          <w:bCs/>
          <w:color w:val="000000"/>
          <w:sz w:val="24"/>
          <w:szCs w:val="24"/>
          <w:lang w:eastAsia="zh-CN"/>
        </w:rPr>
        <w:t>：</w:t>
      </w:r>
    </w:p>
    <w:p w14:paraId="16FD6E1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b w:val="0"/>
          <w:bCs w:val="0"/>
          <w:color w:val="000000"/>
          <w:sz w:val="24"/>
          <w:szCs w:val="24"/>
          <w:lang w:val="en-US" w:eastAsia="zh-CN"/>
        </w:rPr>
        <w:t>4.1每笔款项以人民币方式支付，支付的方式和进度如下：</w:t>
      </w:r>
      <w:r>
        <w:rPr>
          <w:rFonts w:hint="eastAsia" w:asciiTheme="minorEastAsia" w:hAnsiTheme="minorEastAsia" w:eastAsiaTheme="minorEastAsia" w:cstheme="minorEastAsia"/>
          <w:color w:val="000000"/>
          <w:sz w:val="24"/>
          <w:szCs w:val="24"/>
          <w:lang w:eastAsia="zh-CN"/>
        </w:rPr>
        <w:t>先服务后付款，维保费共分</w:t>
      </w:r>
      <w:r>
        <w:rPr>
          <w:rFonts w:hint="eastAsia" w:asciiTheme="minorEastAsia" w:hAnsiTheme="minorEastAsia" w:eastAsiaTheme="minorEastAsia" w:cstheme="minorEastAsia"/>
          <w:color w:val="000000"/>
          <w:sz w:val="24"/>
          <w:szCs w:val="24"/>
          <w:lang w:val="en-US" w:eastAsia="zh-CN"/>
        </w:rPr>
        <w:t>4</w:t>
      </w:r>
      <w:r>
        <w:rPr>
          <w:rFonts w:hint="eastAsia" w:asciiTheme="minorEastAsia" w:hAnsiTheme="minorEastAsia" w:eastAsiaTheme="minorEastAsia" w:cstheme="minorEastAsia"/>
          <w:color w:val="000000"/>
          <w:sz w:val="24"/>
          <w:szCs w:val="24"/>
          <w:lang w:eastAsia="zh-CN"/>
        </w:rPr>
        <w:t>期支付，每满</w:t>
      </w:r>
      <w:r>
        <w:rPr>
          <w:rFonts w:hint="eastAsia" w:asciiTheme="minorEastAsia" w:hAnsiTheme="minorEastAsia" w:eastAsiaTheme="minorEastAsia" w:cstheme="minorEastAsia"/>
          <w:color w:val="000000"/>
          <w:sz w:val="24"/>
          <w:szCs w:val="24"/>
          <w:lang w:val="en-US" w:eastAsia="zh-CN"/>
        </w:rPr>
        <w:t>半</w:t>
      </w:r>
      <w:r>
        <w:rPr>
          <w:rFonts w:hint="eastAsia" w:asciiTheme="minorEastAsia" w:hAnsiTheme="minorEastAsia" w:eastAsiaTheme="minorEastAsia" w:cstheme="minorEastAsia"/>
          <w:color w:val="000000"/>
          <w:sz w:val="24"/>
          <w:szCs w:val="24"/>
          <w:lang w:eastAsia="zh-CN"/>
        </w:rPr>
        <w:t>年支付一次（服务当期满后且设备运行正常、收到完整服务报告后一个月内支付）。</w:t>
      </w:r>
      <w:r>
        <w:rPr>
          <w:rFonts w:hint="eastAsia" w:asciiTheme="minorEastAsia" w:hAnsiTheme="minorEastAsia" w:eastAsiaTheme="minorEastAsia" w:cstheme="minorEastAsia"/>
          <w:color w:val="000000"/>
          <w:sz w:val="24"/>
          <w:szCs w:val="24"/>
          <w:lang w:val="en-US" w:eastAsia="zh-CN"/>
        </w:rPr>
        <w:t>乙方</w:t>
      </w:r>
      <w:r>
        <w:rPr>
          <w:rFonts w:hint="eastAsia" w:asciiTheme="minorEastAsia" w:hAnsiTheme="minorEastAsia" w:eastAsiaTheme="minorEastAsia" w:cstheme="minorEastAsia"/>
          <w:color w:val="000000"/>
          <w:sz w:val="24"/>
          <w:szCs w:val="24"/>
          <w:lang w:eastAsia="zh-CN"/>
        </w:rPr>
        <w:t>每次结算时必须提供两份设备维护保养服务报告（每半年一份）作为付款依据。</w:t>
      </w:r>
    </w:p>
    <w:p w14:paraId="51E08E1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 xml:space="preserve">4.2成交供应商向采购人提供质保证明，其质保期应当覆盖本合同约定的质保期。若质保证明期限小于本合同约定设备质保期，采购人有权扣除未支付的全部款项，待质保期满后（且无任何质量问题及应扣款项的）无息返还给成交供应商，由此造成的全部损失由成交供应商承担。 </w:t>
      </w:r>
    </w:p>
    <w:p w14:paraId="4A9EDD8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sz w:val="24"/>
          <w:szCs w:val="24"/>
          <w:lang w:val="en-US" w:eastAsia="zh-CN"/>
        </w:rPr>
        <w:t>4.3采购人向</w:t>
      </w:r>
      <w:r>
        <w:rPr>
          <w:rFonts w:hint="eastAsia" w:asciiTheme="minorEastAsia" w:hAnsiTheme="minorEastAsia" w:eastAsiaTheme="minorEastAsia" w:cstheme="minorEastAsia"/>
          <w:b w:val="0"/>
          <w:bCs w:val="0"/>
          <w:color w:val="000000"/>
          <w:sz w:val="24"/>
          <w:szCs w:val="24"/>
          <w:lang w:val="en-US" w:eastAsia="zh-CN"/>
        </w:rPr>
        <w:t>成交供应商</w:t>
      </w:r>
      <w:r>
        <w:rPr>
          <w:rFonts w:hint="eastAsia" w:asciiTheme="minorEastAsia" w:hAnsiTheme="minorEastAsia" w:eastAsiaTheme="minorEastAsia" w:cstheme="minorEastAsia"/>
          <w:color w:val="000000"/>
          <w:sz w:val="24"/>
          <w:szCs w:val="24"/>
          <w:lang w:val="en-US" w:eastAsia="zh-CN"/>
        </w:rPr>
        <w:t>支付每一笔合同款额前，</w:t>
      </w:r>
      <w:r>
        <w:rPr>
          <w:rFonts w:hint="eastAsia" w:asciiTheme="minorEastAsia" w:hAnsiTheme="minorEastAsia" w:eastAsiaTheme="minorEastAsia" w:cstheme="minorEastAsia"/>
          <w:b w:val="0"/>
          <w:bCs w:val="0"/>
          <w:color w:val="000000"/>
          <w:sz w:val="24"/>
          <w:szCs w:val="24"/>
          <w:lang w:val="en-US" w:eastAsia="zh-CN"/>
        </w:rPr>
        <w:t>成交供应商</w:t>
      </w:r>
      <w:r>
        <w:rPr>
          <w:rFonts w:hint="eastAsia" w:asciiTheme="minorEastAsia" w:hAnsiTheme="minorEastAsia" w:eastAsiaTheme="minorEastAsia" w:cstheme="minorEastAsia"/>
          <w:color w:val="000000"/>
          <w:sz w:val="24"/>
          <w:szCs w:val="24"/>
          <w:lang w:val="en-US" w:eastAsia="zh-CN"/>
        </w:rPr>
        <w:t>向采购人出具与支付款等额的符合采购人财务管理规定的正式发票，否则采购人有权拒绝付款且不承担任何违约责任，</w:t>
      </w:r>
      <w:r>
        <w:rPr>
          <w:rFonts w:hint="eastAsia" w:asciiTheme="minorEastAsia" w:hAnsiTheme="minorEastAsia" w:eastAsiaTheme="minorEastAsia" w:cstheme="minorEastAsia"/>
          <w:b w:val="0"/>
          <w:bCs w:val="0"/>
          <w:color w:val="000000"/>
          <w:sz w:val="24"/>
          <w:szCs w:val="24"/>
          <w:lang w:val="en-US" w:eastAsia="zh-CN"/>
        </w:rPr>
        <w:t>成交供应商</w:t>
      </w:r>
      <w:r>
        <w:rPr>
          <w:rFonts w:hint="eastAsia" w:asciiTheme="minorEastAsia" w:hAnsiTheme="minorEastAsia" w:eastAsiaTheme="minorEastAsia" w:cstheme="minorEastAsia"/>
          <w:color w:val="000000"/>
          <w:sz w:val="24"/>
          <w:szCs w:val="24"/>
          <w:lang w:val="en-US" w:eastAsia="zh-CN"/>
        </w:rPr>
        <w:t xml:space="preserve">不得以此为由拒绝或延迟履行合同义务。 </w:t>
      </w:r>
    </w:p>
    <w:p w14:paraId="0EA620AF">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sz w:val="24"/>
          <w:szCs w:val="24"/>
          <w:lang w:val="en-US" w:eastAsia="zh-CN"/>
        </w:rPr>
        <w:t>4.4因</w:t>
      </w:r>
      <w:r>
        <w:rPr>
          <w:rFonts w:hint="eastAsia" w:asciiTheme="minorEastAsia" w:hAnsiTheme="minorEastAsia" w:eastAsiaTheme="minorEastAsia" w:cstheme="minorEastAsia"/>
          <w:b w:val="0"/>
          <w:bCs w:val="0"/>
          <w:color w:val="000000"/>
          <w:sz w:val="24"/>
          <w:szCs w:val="24"/>
          <w:lang w:val="en-US" w:eastAsia="zh-CN"/>
        </w:rPr>
        <w:t>成交供应商</w:t>
      </w:r>
      <w:r>
        <w:rPr>
          <w:rFonts w:hint="eastAsia" w:asciiTheme="minorEastAsia" w:hAnsiTheme="minorEastAsia" w:eastAsiaTheme="minorEastAsia" w:cstheme="minorEastAsia"/>
          <w:color w:val="000000"/>
          <w:sz w:val="24"/>
          <w:szCs w:val="24"/>
          <w:lang w:val="en-US" w:eastAsia="zh-CN"/>
        </w:rPr>
        <w:t xml:space="preserve">账户问题造成的付款延迟，采购人不承担违约责任。 </w:t>
      </w:r>
    </w:p>
    <w:p w14:paraId="4EF34532">
      <w:pPr>
        <w:pStyle w:val="9"/>
        <w:keepNext w:val="0"/>
        <w:keepLines w:val="0"/>
        <w:pageBreakBefore w:val="0"/>
        <w:widowControl/>
        <w:numPr>
          <w:ilvl w:val="0"/>
          <w:numId w:val="0"/>
        </w:numPr>
        <w:kinsoku/>
        <w:wordWrap/>
        <w:overflowPunct/>
        <w:topLinePunct w:val="0"/>
        <w:autoSpaceDE/>
        <w:autoSpaceDN/>
        <w:bidi w:val="0"/>
        <w:adjustRightInd/>
        <w:snapToGrid w:val="0"/>
        <w:spacing w:before="0" w:after="0" w:line="500" w:lineRule="exact"/>
        <w:ind w:left="0" w:leftChars="0" w:firstLine="482" w:firstLineChars="200"/>
        <w:jc w:val="left"/>
        <w:textAlignment w:val="auto"/>
        <w:rPr>
          <w:rFonts w:hint="default" w:asciiTheme="minorEastAsia" w:hAnsiTheme="minorEastAsia" w:eastAsiaTheme="minorEastAsia" w:cstheme="minorEastAsia"/>
          <w:b/>
          <w:bCs/>
          <w:color w:val="auto"/>
          <w:sz w:val="24"/>
          <w:szCs w:val="24"/>
          <w:highlight w:val="none"/>
          <w:lang w:val="en-US" w:eastAsia="zh-CN" w:bidi="ar-SA"/>
        </w:rPr>
      </w:pPr>
      <w:r>
        <w:rPr>
          <w:rFonts w:hint="eastAsia" w:asciiTheme="minorEastAsia" w:hAnsiTheme="minorEastAsia" w:eastAsiaTheme="minorEastAsia" w:cstheme="minorEastAsia"/>
          <w:b/>
          <w:bCs/>
          <w:color w:val="auto"/>
          <w:sz w:val="24"/>
          <w:szCs w:val="24"/>
          <w:highlight w:val="none"/>
          <w:lang w:val="en-US" w:eastAsia="zh-CN" w:bidi="ar-SA"/>
        </w:rPr>
        <w:t>5、质保期：</w:t>
      </w:r>
      <w:r>
        <w:rPr>
          <w:rFonts w:hint="eastAsia" w:asciiTheme="minorEastAsia" w:hAnsiTheme="minorEastAsia" w:eastAsiaTheme="minorEastAsia" w:cstheme="minorEastAsia"/>
          <w:b w:val="0"/>
          <w:bCs w:val="0"/>
          <w:color w:val="auto"/>
          <w:sz w:val="24"/>
          <w:szCs w:val="24"/>
          <w:highlight w:val="none"/>
          <w:lang w:val="en-US" w:eastAsia="zh-CN" w:bidi="ar-SA"/>
        </w:rPr>
        <w:t>响应供应商所提供服务质保期至少1年，质保期自设备维修完成并验收合格之日起算。</w:t>
      </w:r>
    </w:p>
    <w:p w14:paraId="440E9E93">
      <w:pPr>
        <w:pStyle w:val="9"/>
        <w:keepNext w:val="0"/>
        <w:keepLines w:val="0"/>
        <w:pageBreakBefore w:val="0"/>
        <w:widowControl/>
        <w:numPr>
          <w:ilvl w:val="0"/>
          <w:numId w:val="0"/>
        </w:numPr>
        <w:kinsoku/>
        <w:wordWrap/>
        <w:overflowPunct/>
        <w:topLinePunct w:val="0"/>
        <w:autoSpaceDE/>
        <w:autoSpaceDN/>
        <w:bidi w:val="0"/>
        <w:adjustRightInd/>
        <w:snapToGrid w:val="0"/>
        <w:spacing w:before="0" w:after="0" w:line="500" w:lineRule="exact"/>
        <w:ind w:left="0" w:leftChars="0" w:firstLine="482" w:firstLineChars="200"/>
        <w:jc w:val="left"/>
        <w:textAlignment w:val="auto"/>
        <w:rPr>
          <w:rFonts w:hint="eastAsia" w:asciiTheme="minorEastAsia" w:hAnsiTheme="minorEastAsia" w:eastAsiaTheme="minorEastAsia" w:cstheme="minorEastAsia"/>
          <w:b w:val="0"/>
          <w:bCs w:val="0"/>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bidi="ar-SA"/>
        </w:rPr>
        <w:t>6、</w:t>
      </w:r>
      <w:r>
        <w:rPr>
          <w:rFonts w:hint="eastAsia" w:asciiTheme="minorEastAsia" w:hAnsiTheme="minorEastAsia" w:eastAsiaTheme="minorEastAsia" w:cstheme="minorEastAsia"/>
          <w:b/>
          <w:bCs/>
          <w:color w:val="000000"/>
          <w:sz w:val="24"/>
          <w:szCs w:val="24"/>
          <w:lang w:val="en-US" w:eastAsia="zh-CN"/>
        </w:rPr>
        <w:t>合同有效期限：</w:t>
      </w:r>
      <w:r>
        <w:rPr>
          <w:rFonts w:hint="eastAsia" w:asciiTheme="minorEastAsia" w:hAnsiTheme="minorEastAsia" w:eastAsiaTheme="minorEastAsia" w:cstheme="minorEastAsia"/>
          <w:b w:val="0"/>
          <w:bCs w:val="0"/>
          <w:color w:val="000000"/>
          <w:sz w:val="24"/>
          <w:szCs w:val="24"/>
          <w:lang w:val="en-US" w:eastAsia="zh-CN"/>
        </w:rPr>
        <w:t>自合同签订之日起，至合同项下服务质保期结束之日止。</w:t>
      </w:r>
    </w:p>
    <w:p w14:paraId="043774B0">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7、</w:t>
      </w:r>
      <w:r>
        <w:rPr>
          <w:rFonts w:hint="eastAsia" w:asciiTheme="minorEastAsia" w:hAnsiTheme="minorEastAsia" w:eastAsiaTheme="minorEastAsia" w:cstheme="minorEastAsia"/>
          <w:b/>
          <w:bCs/>
          <w:color w:val="000000"/>
          <w:sz w:val="24"/>
          <w:szCs w:val="24"/>
          <w:lang w:eastAsia="zh-CN"/>
        </w:rPr>
        <w:t>验收内容及时间：</w:t>
      </w:r>
      <w:r>
        <w:rPr>
          <w:rFonts w:hint="eastAsia" w:asciiTheme="minorEastAsia" w:hAnsiTheme="minorEastAsia" w:eastAsiaTheme="minorEastAsia" w:cstheme="minorEastAsia"/>
          <w:color w:val="000000"/>
          <w:sz w:val="24"/>
          <w:szCs w:val="24"/>
          <w:lang w:eastAsia="zh-CN"/>
        </w:rPr>
        <w:t>按照响应文件及合同内容技术和商务要求进行履约,验收的时间节点按付款要求进行。</w:t>
      </w:r>
    </w:p>
    <w:p w14:paraId="27E2A5E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8、</w:t>
      </w:r>
      <w:r>
        <w:rPr>
          <w:rFonts w:hint="eastAsia" w:asciiTheme="minorEastAsia" w:hAnsiTheme="minorEastAsia" w:eastAsiaTheme="minorEastAsia" w:cstheme="minorEastAsia"/>
          <w:b/>
          <w:bCs/>
          <w:color w:val="000000"/>
          <w:sz w:val="24"/>
          <w:szCs w:val="24"/>
          <w:lang w:eastAsia="zh-CN"/>
        </w:rPr>
        <w:t>验收方法：</w:t>
      </w:r>
    </w:p>
    <w:p w14:paraId="4FB8409E">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.1、定期保养：制定完整有效的保养计划，以保证设备处于最佳运行状态。</w:t>
      </w:r>
    </w:p>
    <w:p w14:paraId="4EC3A287">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.1.1 合同期内每季度巡检清点保养一次；</w:t>
      </w:r>
    </w:p>
    <w:p w14:paraId="7DC6550B">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.1.2 按照保养计划检查设备整体运行情况；</w:t>
      </w:r>
    </w:p>
    <w:p w14:paraId="49B7FB8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.1.3 确认奥林巴斯主机和镜子的各项技术指标及性能是否正常；</w:t>
      </w:r>
    </w:p>
    <w:p w14:paraId="25A09E9C">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.1.4 记录设备运行状况；</w:t>
      </w:r>
    </w:p>
    <w:p w14:paraId="652857DF">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color w:val="000000"/>
          <w:sz w:val="24"/>
          <w:szCs w:val="24"/>
          <w:lang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.1.5 每年要把设备的安全检查，运行状态检查，维修情况等以正式书面形式提供给医院。</w:t>
      </w:r>
    </w:p>
    <w:p w14:paraId="015F4144">
      <w:pPr>
        <w:pStyle w:val="9"/>
        <w:keepNext w:val="0"/>
        <w:keepLines w:val="0"/>
        <w:pageBreakBefore w:val="0"/>
        <w:widowControl/>
        <w:numPr>
          <w:ilvl w:val="0"/>
          <w:numId w:val="0"/>
        </w:numPr>
        <w:kinsoku/>
        <w:wordWrap/>
        <w:overflowPunct/>
        <w:topLinePunct w:val="0"/>
        <w:autoSpaceDE/>
        <w:autoSpaceDN/>
        <w:bidi w:val="0"/>
        <w:adjustRightInd/>
        <w:snapToGrid w:val="0"/>
        <w:spacing w:before="0" w:after="0" w:line="500" w:lineRule="exact"/>
        <w:ind w:leftChars="0" w:firstLine="600" w:firstLineChars="250"/>
        <w:jc w:val="left"/>
        <w:textAlignment w:val="auto"/>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lang w:eastAsia="zh-CN"/>
        </w:rPr>
        <w:t>.2、对需外送拆卸维修的设备，维保方应提供内镜检修情况报告，并附检测故障的报告和图片，疑故障或其它特殊情况下不能完成应提供备用镜给采购人。</w:t>
      </w:r>
    </w:p>
    <w:p w14:paraId="3289793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rPr>
        <w:t>9、违约与处罚</w:t>
      </w:r>
    </w:p>
    <w:p w14:paraId="307AC66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000000"/>
          <w:sz w:val="24"/>
          <w:szCs w:val="24"/>
          <w:lang w:val="en-US" w:eastAsia="zh-CN"/>
        </w:rPr>
      </w:pPr>
      <w:r>
        <w:rPr>
          <w:rFonts w:hint="eastAsia" w:asciiTheme="minorEastAsia" w:hAnsiTheme="minorEastAsia" w:eastAsiaTheme="minorEastAsia" w:cstheme="minorEastAsia"/>
          <w:b w:val="0"/>
          <w:bCs w:val="0"/>
          <w:color w:val="000000"/>
          <w:sz w:val="24"/>
          <w:szCs w:val="24"/>
          <w:lang w:val="en-US" w:eastAsia="zh-CN"/>
        </w:rPr>
        <w:t>9.1成交供应商未能按合同约定进行服务（包括但不限于合同约定的服务时间及次数）的，每拖延一日，须向采购人支付合同金额的5‰的违约金。拖延时间达到二十日时，采购人有权解除合同，成交供应商应向采购人支付合同金额的10%的违约金。</w:t>
      </w:r>
    </w:p>
    <w:p w14:paraId="4067BAA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000000"/>
          <w:sz w:val="24"/>
          <w:szCs w:val="24"/>
          <w:lang w:val="en-US" w:eastAsia="zh-CN"/>
        </w:rPr>
      </w:pPr>
      <w:r>
        <w:rPr>
          <w:rFonts w:hint="eastAsia" w:asciiTheme="minorEastAsia" w:hAnsiTheme="minorEastAsia" w:eastAsiaTheme="minorEastAsia" w:cstheme="minorEastAsia"/>
          <w:b w:val="0"/>
          <w:bCs w:val="0"/>
          <w:color w:val="000000"/>
          <w:sz w:val="24"/>
          <w:szCs w:val="24"/>
          <w:lang w:val="en-US" w:eastAsia="zh-CN"/>
        </w:rPr>
        <w:t xml:space="preserve">9.2成交供应商提供的服务不符合合同规定的，采购人有权拒绝；如成交供应商二次提供的服务仍不符合合同规定的，采购人有权终止合同，并要求成交供应商支付合同金额的10%的违约金。 </w:t>
      </w:r>
    </w:p>
    <w:p w14:paraId="07D2566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000000"/>
          <w:sz w:val="24"/>
          <w:szCs w:val="24"/>
          <w:lang w:val="en-US" w:eastAsia="zh-CN"/>
        </w:rPr>
      </w:pPr>
      <w:r>
        <w:rPr>
          <w:rFonts w:hint="eastAsia" w:asciiTheme="minorEastAsia" w:hAnsiTheme="minorEastAsia" w:eastAsiaTheme="minorEastAsia" w:cstheme="minorEastAsia"/>
          <w:b w:val="0"/>
          <w:bCs w:val="0"/>
          <w:color w:val="000000"/>
          <w:sz w:val="24"/>
          <w:szCs w:val="24"/>
          <w:lang w:val="en-US" w:eastAsia="zh-CN"/>
        </w:rPr>
        <w:t xml:space="preserve">9.3采购人无正当理由拒绝服务或解除合同，采购人向成交供应商支付合同金额的5%的违约金。 </w:t>
      </w:r>
    </w:p>
    <w:p w14:paraId="3B3D4665">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9.4成交供应商未能按合同约定提供备用机给采购人正常使用的，自采购人报修之日起第4日起算，每延迟一天则本合同服务期限自动延长五天。 </w:t>
      </w:r>
    </w:p>
    <w:p w14:paraId="5D71ADA2">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9.5 成交供应商未能按合同约定保证开机率的，按1:5比例顺延服务时间（即：按天算，开机日每减少一天，服务期顺延五天，顺延服务期不得计费）。 </w:t>
      </w:r>
    </w:p>
    <w:p w14:paraId="4B6492E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9.6 如发现成交供应商存在采用各种违法及不正当手段获得合同标的（包括但不限于利用关联关系、行贿、串通投标、弄虚作假等）导致合同解除，成交供应商承担违约责任，成交供应商应向采购人支付合同款项总额20%的违约金，并承担由此给采购人造成损失的赔偿责任。同时，采购人有权终止合同，成交供应商的合同履约保证金不予退还，并将中标方纳入采购人的黑名单。 </w:t>
      </w:r>
    </w:p>
    <w:p w14:paraId="15D71D64">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rPr>
        <w:t xml:space="preserve">10、索赔 </w:t>
      </w:r>
    </w:p>
    <w:p w14:paraId="649F2DC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000000"/>
          <w:sz w:val="24"/>
          <w:szCs w:val="24"/>
          <w:lang w:val="en-US" w:eastAsia="zh-CN"/>
        </w:rPr>
      </w:pPr>
      <w:r>
        <w:rPr>
          <w:rFonts w:hint="eastAsia" w:asciiTheme="minorEastAsia" w:hAnsiTheme="minorEastAsia" w:eastAsiaTheme="minorEastAsia" w:cstheme="minorEastAsia"/>
          <w:b w:val="0"/>
          <w:bCs w:val="0"/>
          <w:color w:val="000000"/>
          <w:sz w:val="24"/>
          <w:szCs w:val="24"/>
          <w:lang w:val="en-US" w:eastAsia="zh-CN"/>
        </w:rPr>
        <w:t xml:space="preserve">10.1如有异议，采购人有权根据有关政府部门的检验结果向成交供应商提出索赔。 </w:t>
      </w:r>
    </w:p>
    <w:p w14:paraId="680DEA2D">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10.2在合同执行期间，如果成交供应商对采购人提出的索赔和差异负有责任，成交供应商应按照采购人同意的下列一种或多种方式解决索赔事宜： </w:t>
      </w:r>
    </w:p>
    <w:p w14:paraId="0CAAC43F">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（1）成交供应商同意退款，并按合同规定的同种货币将服务款退还给采购人，并承担由此发生的一切损失和费用。 </w:t>
      </w:r>
    </w:p>
    <w:p w14:paraId="69743652">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（2）根据服务低劣程度，以及采购人所遭受损失的数额采购人和成交供应商商定降低服务的价格。 </w:t>
      </w:r>
    </w:p>
    <w:p w14:paraId="674616DC">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720" w:firstLineChars="30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（3）用符合规格、质量和性能要求的新零件、部件或货物来更换有缺陷的部分或修补缺陷的部分，成交供应商应承担一切费用、损失和风险，并负担采购人所发生的一切损失和费用。同时，相应延长服务期。 </w:t>
      </w:r>
    </w:p>
    <w:p w14:paraId="5C00635E">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10.3 如果在采购人发出索赔通知后三十日内，成交供应商未作答复，上述索赔应视为已被成交供应商接受。采购人将从合同款项中扣回索赔金额。如果这些金额不足以补偿索赔金额，采购人有权向成交供应商提出不足部分的补偿。 </w:t>
      </w:r>
    </w:p>
    <w:p w14:paraId="62BE8E5B">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rPr>
        <w:t>11、合同终止：</w:t>
      </w:r>
      <w:r>
        <w:rPr>
          <w:rFonts w:hint="eastAsia" w:asciiTheme="minorEastAsia" w:hAnsiTheme="minorEastAsia" w:eastAsiaTheme="minorEastAsia" w:cstheme="minorEastAsia"/>
          <w:b w:val="0"/>
          <w:bCs w:val="0"/>
          <w:color w:val="000000"/>
          <w:sz w:val="24"/>
          <w:szCs w:val="24"/>
          <w:lang w:val="en-US" w:eastAsia="zh-CN"/>
        </w:rPr>
        <w:t xml:space="preserve">合同履行完毕即终止，如果一方严重违反合同，并在收到守约方违约通知书后在三十日内仍未能改正违约的，守约方可单方书面通知终止本合同。 </w:t>
      </w:r>
    </w:p>
    <w:p w14:paraId="4C6D193A">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val="en-US" w:eastAsia="zh-CN"/>
        </w:rPr>
      </w:pPr>
      <w:r>
        <w:rPr>
          <w:rFonts w:hint="eastAsia" w:asciiTheme="minorEastAsia" w:hAnsiTheme="minorEastAsia" w:eastAsiaTheme="minorEastAsia" w:cstheme="minorEastAsia"/>
          <w:b/>
          <w:bCs/>
          <w:color w:val="000000"/>
          <w:sz w:val="24"/>
          <w:szCs w:val="24"/>
          <w:lang w:val="en-US" w:eastAsia="zh-CN"/>
        </w:rPr>
        <w:t>12、争议解决：</w:t>
      </w:r>
      <w:r>
        <w:rPr>
          <w:rFonts w:hint="eastAsia" w:asciiTheme="minorEastAsia" w:hAnsiTheme="minorEastAsia" w:eastAsiaTheme="minorEastAsia" w:cstheme="minorEastAsia"/>
          <w:b w:val="0"/>
          <w:bCs w:val="0"/>
          <w:color w:val="000000"/>
          <w:sz w:val="24"/>
          <w:szCs w:val="24"/>
          <w:lang w:val="en-US" w:eastAsia="zh-CN"/>
        </w:rPr>
        <w:t>签约双方在履约中发生争执和分歧，双方应通过友好协商解决，若经协商不能达成协议时，则向采购人所在地人民法院提出诉讼。诉讼期间，双方应继续执行合同其余部分。</w:t>
      </w:r>
    </w:p>
    <w:p w14:paraId="6A74A77C">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482" w:firstLineChars="200"/>
        <w:jc w:val="left"/>
        <w:textAlignment w:val="auto"/>
        <w:rPr>
          <w:rFonts w:hint="eastAsia" w:asciiTheme="minorEastAsia" w:hAnsiTheme="minorEastAsia" w:eastAsiaTheme="minorEastAsia" w:cstheme="minorEastAsia"/>
          <w:b/>
          <w:bCs/>
          <w:color w:val="000000"/>
          <w:sz w:val="24"/>
          <w:szCs w:val="24"/>
          <w:lang w:eastAsia="zh-CN"/>
        </w:rPr>
      </w:pPr>
      <w:r>
        <w:rPr>
          <w:rFonts w:hint="eastAsia" w:asciiTheme="minorEastAsia" w:hAnsiTheme="minorEastAsia" w:eastAsiaTheme="minorEastAsia" w:cstheme="minorEastAsia"/>
          <w:b/>
          <w:bCs/>
          <w:color w:val="000000"/>
          <w:sz w:val="24"/>
          <w:szCs w:val="24"/>
          <w:lang w:val="en-US" w:eastAsia="zh-CN"/>
        </w:rPr>
        <w:t>13</w:t>
      </w:r>
      <w:r>
        <w:rPr>
          <w:rFonts w:hint="eastAsia" w:asciiTheme="minorEastAsia" w:hAnsiTheme="minorEastAsia" w:eastAsiaTheme="minorEastAsia" w:cstheme="minorEastAsia"/>
          <w:b/>
          <w:bCs/>
          <w:color w:val="000000"/>
          <w:sz w:val="24"/>
          <w:szCs w:val="24"/>
          <w:lang w:eastAsia="zh-CN"/>
        </w:rPr>
        <w:t>、其他要求：</w:t>
      </w:r>
    </w:p>
    <w:p w14:paraId="58038688">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eastAsia="zh-CN"/>
        </w:rPr>
      </w:pPr>
      <w:r>
        <w:rPr>
          <w:rFonts w:hint="eastAsia" w:asciiTheme="minorEastAsia" w:hAnsiTheme="minorEastAsia" w:eastAsiaTheme="minorEastAsia" w:cstheme="minorEastAsia"/>
          <w:b w:val="0"/>
          <w:bCs w:val="0"/>
          <w:color w:val="auto"/>
          <w:sz w:val="24"/>
          <w:szCs w:val="24"/>
          <w:lang w:val="en-US" w:eastAsia="zh-CN"/>
        </w:rPr>
        <w:t>13.1成交供应商</w:t>
      </w:r>
      <w:r>
        <w:rPr>
          <w:rFonts w:hint="eastAsia" w:asciiTheme="minorEastAsia" w:hAnsiTheme="minorEastAsia" w:eastAsiaTheme="minorEastAsia" w:cstheme="minorEastAsia"/>
          <w:b w:val="0"/>
          <w:bCs w:val="0"/>
          <w:color w:val="auto"/>
          <w:sz w:val="24"/>
          <w:szCs w:val="24"/>
          <w:lang w:eastAsia="zh-CN"/>
        </w:rPr>
        <w:t>应在中标（成交）通知书发出之日起五个工作日内，按采购文件合同格式的要求完成合同文本编制，并递交采购人审核：如出现</w:t>
      </w:r>
      <w:r>
        <w:rPr>
          <w:rFonts w:hint="eastAsia" w:asciiTheme="minorEastAsia" w:hAnsiTheme="minorEastAsia" w:eastAsiaTheme="minorEastAsia" w:cstheme="minorEastAsia"/>
          <w:b w:val="0"/>
          <w:bCs w:val="0"/>
          <w:color w:val="auto"/>
          <w:sz w:val="24"/>
          <w:szCs w:val="24"/>
          <w:lang w:val="en-US" w:eastAsia="zh-CN"/>
        </w:rPr>
        <w:t>成交供应商</w:t>
      </w:r>
      <w:r>
        <w:rPr>
          <w:rFonts w:hint="eastAsia" w:asciiTheme="minorEastAsia" w:hAnsiTheme="minorEastAsia" w:eastAsiaTheme="minorEastAsia" w:cstheme="minorEastAsia"/>
          <w:b w:val="0"/>
          <w:bCs w:val="0"/>
          <w:color w:val="auto"/>
          <w:sz w:val="24"/>
          <w:szCs w:val="24"/>
          <w:lang w:eastAsia="zh-CN"/>
        </w:rPr>
        <w:t>不能按期递交合同文本，拖延合同签订进度的情况，采购人将记录在案；每拖延一日，采购人有权按合同总价的千分之五扣减履约保证金。（如采购项目不要求缴纳履约保证金，则采购人有权在合同支付过程中按合同总价的千分之五扣减支付款项）。</w:t>
      </w:r>
    </w:p>
    <w:p w14:paraId="688FDC19">
      <w:pPr>
        <w:pStyle w:val="9"/>
        <w:keepNext w:val="0"/>
        <w:keepLines w:val="0"/>
        <w:pageBreakBefore w:val="0"/>
        <w:widowControl/>
        <w:kinsoku/>
        <w:wordWrap/>
        <w:overflowPunct/>
        <w:topLinePunct w:val="0"/>
        <w:autoSpaceDE/>
        <w:autoSpaceDN/>
        <w:bidi w:val="0"/>
        <w:adjustRightInd/>
        <w:snapToGrid w:val="0"/>
        <w:spacing w:before="0" w:after="0" w:line="500" w:lineRule="exact"/>
        <w:ind w:left="0" w:firstLine="600" w:firstLineChars="250"/>
        <w:jc w:val="left"/>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13.2耗材相关：如服务维保正常进行中需要专用耗材，以产品厂家专用耗材说明文件为依据纳入采购人医院耗材供应目录管理（专用耗材价格按采购人医院耗材采购制度议价后执行）,若该耗材不属于江西省或赣州市成交目录内产品，则需要成交供应商（成交产品厂家或其授权代理商）协助采购人对相关耗材在医保部门进行备案，备案通过作为验收及付款的条件。</w:t>
      </w:r>
    </w:p>
    <w:sectPr>
      <w:pgSz w:w="11906" w:h="16838"/>
      <w:pgMar w:top="1417" w:right="1417" w:bottom="1417" w:left="1417" w:header="624" w:footer="624" w:gutter="0"/>
      <w:paperSrc/>
      <w:pgBorders w:offsetFrom="page">
        <w:top w:val="thickThinMediumGap" w:color="auto" w:sz="24" w:space="24"/>
        <w:left w:val="thickThinMediumGap" w:color="auto" w:sz="24" w:space="24"/>
        <w:bottom w:val="thickThinMediumGap" w:color="auto" w:sz="24" w:space="24"/>
        <w:right w:val="thickThinMediumGap" w:color="auto" w:sz="24" w:space="24"/>
      </w:pgBorders>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2"/>
      <w:rPr>
        <w:lang w:eastAsia="zh-C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1C91B8"/>
    <w:multiLevelType w:val="singleLevel"/>
    <w:tmpl w:val="CE1C91B8"/>
    <w:lvl w:ilvl="0" w:tentative="0">
      <w:start w:val="1"/>
      <w:numFmt w:val="chineseCounting"/>
      <w:suff w:val="space"/>
      <w:lvlText w:val="第%1章"/>
      <w:lvlJc w:val="left"/>
      <w:pPr>
        <w:ind w:left="0" w:firstLine="420"/>
      </w:pPr>
      <w:rPr>
        <w:rFonts w:hint="eastAsia"/>
      </w:rPr>
    </w:lvl>
  </w:abstractNum>
  <w:abstractNum w:abstractNumId="1">
    <w:nsid w:val="E5EB1FBF"/>
    <w:multiLevelType w:val="singleLevel"/>
    <w:tmpl w:val="E5EB1FBF"/>
    <w:lvl w:ilvl="0" w:tentative="0">
      <w:start w:val="1"/>
      <w:numFmt w:val="chineseCounting"/>
      <w:suff w:val="nothing"/>
      <w:lvlText w:val="%1、"/>
      <w:lvlJc w:val="left"/>
      <w:pPr>
        <w:ind w:left="0" w:firstLine="420"/>
      </w:pPr>
      <w:rPr>
        <w:rFonts w:hint="eastAsia"/>
      </w:rPr>
    </w:lvl>
  </w:abstractNum>
  <w:abstractNum w:abstractNumId="2">
    <w:nsid w:val="F3C780A7"/>
    <w:multiLevelType w:val="singleLevel"/>
    <w:tmpl w:val="F3C780A7"/>
    <w:lvl w:ilvl="0" w:tentative="0">
      <w:start w:val="11"/>
      <w:numFmt w:val="decimal"/>
      <w:suff w:val="nothing"/>
      <w:lvlText w:val="%1、"/>
      <w:lvlJc w:val="left"/>
    </w:lvl>
  </w:abstractNum>
  <w:abstractNum w:abstractNumId="3">
    <w:nsid w:val="5D319F40"/>
    <w:multiLevelType w:val="singleLevel"/>
    <w:tmpl w:val="5D319F40"/>
    <w:lvl w:ilvl="0" w:tentative="0">
      <w:start w:val="1"/>
      <w:numFmt w:val="chineseCounting"/>
      <w:suff w:val="space"/>
      <w:lvlText w:val="第%1节"/>
      <w:lvlJc w:val="left"/>
      <w:pPr>
        <w:ind w:left="0" w:firstLine="420"/>
      </w:pPr>
      <w:rPr>
        <w:rFonts w:hint="eastAsi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HorizontalSpacing w:val="210"/>
  <w:drawingGridVerticalSpacing w:val="99999990"/>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836A48"/>
    <w:rsid w:val="71836A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2"/>
    <w:basedOn w:val="1"/>
    <w:next w:val="1"/>
    <w:qFormat/>
    <w:uiPriority w:val="0"/>
    <w:pPr>
      <w:ind w:left="420" w:leftChars="200"/>
    </w:p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Normal_28"/>
    <w:qFormat/>
    <w:uiPriority w:val="0"/>
    <w:pPr>
      <w:spacing w:before="120" w:after="240"/>
      <w:jc w:val="both"/>
    </w:pPr>
    <w:rPr>
      <w:rFonts w:ascii="Times New Roman" w:hAnsi="Times New Roman" w:eastAsia="Times New Roman" w:cs="Times New Roman"/>
      <w:sz w:val="22"/>
      <w:szCs w:val="22"/>
      <w:lang w:val="en-US" w:eastAsia="en-US" w:bidi="ar-SA"/>
    </w:rPr>
  </w:style>
  <w:style w:type="paragraph" w:customStyle="1" w:styleId="9">
    <w:name w:val="Normal_29"/>
    <w:qFormat/>
    <w:uiPriority w:val="0"/>
    <w:pPr>
      <w:spacing w:before="120" w:after="240"/>
      <w:jc w:val="both"/>
    </w:pPr>
    <w:rPr>
      <w:rFonts w:ascii="Times New Roman" w:hAnsi="Times New Roman" w:eastAsia="Times New Roman" w:cs="Times New Roman"/>
      <w:sz w:val="22"/>
      <w:szCs w:val="22"/>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2026-06-22T08:23:00Z</dcterms:created>
  <dc:creator>Four</dc:creator>
  <cp:lastModifiedBy>Four</cp:lastModifiedBy>
  <dcterms:modified xsi:type="dcterms:W3CDTF">2026-06-22T08:25:09Z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D4C0E7601FCB4184AB83282DA18F13DC_11</vt:lpwstr>
  </property>
  <property fmtid="{D5CDD505-2E9C-101B-9397-08002B2CF9AE}" pid="4" name="KSOTemplateDocerSaveRecord">
    <vt:lpwstr>eyJoZGlkIjoiY2JmZGY2NjFkMjNjNDgwY2EyMTU2MGNkOTg2MTVhNWYiLCJ1c2VySWQiOiIzMzA3NTE2NjcifQ==</vt:lpwstr>
  </property>
</Properties>
</file>